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菜园乡基层政务公开标准目录（试行）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菜园乡政府、各行政村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菜园乡政府、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04261180"/>
    <w:rsid w:val="0B1E254F"/>
    <w:rsid w:val="1CA209B3"/>
    <w:rsid w:val="200E7248"/>
    <w:rsid w:val="3C512F46"/>
    <w:rsid w:val="49900631"/>
    <w:rsid w:val="547646E8"/>
    <w:rsid w:val="677411D9"/>
    <w:rsid w:val="6A2F1087"/>
    <w:rsid w:val="6EE0578C"/>
    <w:rsid w:val="78307460"/>
    <w:rsid w:val="7E8F7E45"/>
    <w:rsid w:val="7EAA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color w:val="000000"/>
      <w:sz w:val="18"/>
      <w:szCs w:val="18"/>
      <w:u w:val="none"/>
    </w:rPr>
  </w:style>
  <w:style w:type="character" w:customStyle="1" w:styleId="5">
    <w:name w:val="font01"/>
    <w:basedOn w:val="3"/>
    <w:qFormat/>
    <w:uiPriority w:val="0"/>
    <w:rPr>
      <w:rFonts w:hint="eastAsia" w:ascii="宋体" w:hAnsi="宋体" w:eastAsia="宋体" w:cs="宋体"/>
      <w:b/>
      <w:color w:val="000000"/>
      <w:sz w:val="16"/>
      <w:szCs w:val="16"/>
      <w:u w:val="none"/>
    </w:rPr>
  </w:style>
  <w:style w:type="character" w:customStyle="1" w:styleId="6">
    <w:name w:val="font51"/>
    <w:basedOn w:val="3"/>
    <w:qFormat/>
    <w:uiPriority w:val="0"/>
    <w:rPr>
      <w:rFonts w:hint="eastAsia" w:ascii="宋体" w:hAnsi="宋体" w:eastAsia="宋体" w:cs="宋体"/>
      <w:b/>
      <w:color w:val="000000"/>
      <w:sz w:val="18"/>
      <w:szCs w:val="18"/>
      <w:u w:val="none"/>
    </w:rPr>
  </w:style>
  <w:style w:type="character" w:customStyle="1" w:styleId="7">
    <w:name w:val="font41"/>
    <w:basedOn w:val="3"/>
    <w:qFormat/>
    <w:uiPriority w:val="0"/>
    <w:rPr>
      <w:rFonts w:hint="eastAsia" w:ascii="宋体" w:hAnsi="宋体" w:eastAsia="宋体" w:cs="宋体"/>
      <w:b/>
      <w:color w:val="000000"/>
      <w:sz w:val="18"/>
      <w:szCs w:val="18"/>
      <w:u w:val="none"/>
    </w:rPr>
  </w:style>
  <w:style w:type="character" w:customStyle="1" w:styleId="8">
    <w:name w:val="font11"/>
    <w:basedOn w:val="3"/>
    <w:uiPriority w:val="0"/>
    <w:rPr>
      <w:rFonts w:hint="eastAsia" w:ascii="宋体" w:hAnsi="宋体" w:eastAsia="宋体" w:cs="宋体"/>
      <w:b/>
      <w:color w:val="000000"/>
      <w:sz w:val="16"/>
      <w:szCs w:val="16"/>
      <w:u w:val="none"/>
    </w:rPr>
  </w:style>
  <w:style w:type="character" w:customStyle="1" w:styleId="9">
    <w:name w:val="font21"/>
    <w:basedOn w:val="3"/>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uiPriority w:val="0"/>
    <w:rPr>
      <w:rFonts w:hint="default" w:ascii="Times New Roman" w:hAnsi="Times New Roman" w:cs="Times New Roman"/>
      <w:color w:val="000000"/>
      <w:sz w:val="18"/>
      <w:szCs w:val="18"/>
      <w:u w:val="none"/>
    </w:rPr>
  </w:style>
  <w:style w:type="character" w:customStyle="1" w:styleId="12">
    <w:name w:val="font91"/>
    <w:basedOn w:val="3"/>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