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2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陕州区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政策解读专家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861"/>
        <w:gridCol w:w="2885"/>
        <w:gridCol w:w="1703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姓名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工作单位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职务或职称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专业领域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王  静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卫健委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人口监测与家庭发展科科长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人口计生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杨高华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区疾控中心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区疾控中心副主任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疾病预防控制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牛晶晶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国家税务总局三门峡市陕州区税务局税政一股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副股长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增值税相关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张喜希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国家税务总局三门峡市陕州区税务局税政一股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一级行政执法员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出口退税与车购税相关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薛晓磊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国家税务总局三门峡市陕州区税务局税政二股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副股长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所得税相关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周婵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国家税务总局三门峡市陕州区税务局办税服务厅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办税服务厅副局长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办税服务厅相关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曲</w:t>
            </w: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斌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陕州分局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食品药品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center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张玉国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陕州分局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bidi="ar-SA"/>
              </w:rPr>
              <w:t>安全生产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center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王晓飞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三门峡市生态环境局第二分局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党组成员、副局长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生态环境保护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default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成新芳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三门峡市生态环境局第二分局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法规与标准股股长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28"/>
                <w:szCs w:val="32"/>
                <w:lang w:val="en"/>
              </w:rPr>
              <w:t>生态环境保护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kern w:val="2"/>
                <w:sz w:val="28"/>
                <w:szCs w:val="32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员高慧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陕州区医疗保障局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医保中心副主任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财务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王海霞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陕州区医疗保障局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基金监督管理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雷芳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陕州区医疗保障局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待遇保障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辛素文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陕州区交通运输局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35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综合规划股副股长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综合规划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崔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攀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116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陕州区交通运输局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建设管理规副股长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建设管理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张俏俐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陕州区公安局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民警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户籍管理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李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陕州区公安局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民警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户籍管理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116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吴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116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区人社局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116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就业促进和人力资源流动管理科科长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tabs>
                <w:tab w:val="left" w:pos="116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劳动就业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吕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华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区人社局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社会保障科科长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社会保障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胡占学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陕州区财政局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副局长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财政业务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 xml:space="preserve">孙 </w:t>
            </w:r>
            <w:r>
              <w:rPr>
                <w:rFonts w:ascii="Times New Roman" w:hAnsi="Times New Roman" w:eastAsia="楷体"/>
                <w:kern w:val="2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蒙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陕州区财政局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 xml:space="preserve">股 </w:t>
            </w:r>
            <w:r>
              <w:rPr>
                <w:rFonts w:ascii="Times New Roman" w:hAnsi="Times New Roman" w:eastAsia="楷体"/>
                <w:kern w:val="2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76" w:afterAutospacing="0" w:line="520" w:lineRule="exact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预算公开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-US" w:eastAsia="zh-CN"/>
              </w:rPr>
              <w:t>柴顺红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乡村振兴局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zh-CN"/>
              </w:rPr>
              <w:t>党组成员、副局长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-US" w:eastAsia="zh-CN"/>
              </w:rPr>
              <w:t>乡村振兴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-US" w:eastAsia="zh-CN"/>
              </w:rPr>
              <w:t>齐世泽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  <w:t>乡村振兴局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zh-CN"/>
              </w:rPr>
              <w:t>政策法规股股长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76" w:afterAutospacing="0" w:line="520" w:lineRule="exact"/>
              <w:ind w:left="0" w:leftChars="0" w:right="0" w:rightChars="0"/>
              <w:jc w:val="left"/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楷体"/>
                <w:kern w:val="2"/>
                <w:sz w:val="32"/>
                <w:szCs w:val="32"/>
                <w:lang w:val="en-US" w:eastAsia="zh-CN"/>
              </w:rPr>
              <w:t>政策法规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杨松芳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三门峡市陕州区农业农村局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研究员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农业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戚守登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三门峡市陕州区农业农村局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研究员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  <w:t>畜牧业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贾新军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区工信科技局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区科技规划政策法规与高新技术科科长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科技政策法规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赵永文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区工信科技局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区工信科技局政策法规和发展规划科科长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工业政策法规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孙晓庆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陕州区自然资源局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开发储备中心主任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土地征收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 xml:space="preserve">赵  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琪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陕州区自然资源局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开发储备中心副主任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土地征收</w:t>
            </w:r>
          </w:p>
        </w:tc>
        <w:tc>
          <w:tcPr>
            <w:tcW w:w="0" w:type="auto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cs="Times New Roman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30550"/>
    <w:rsid w:val="22E47E3B"/>
    <w:rsid w:val="37E21338"/>
    <w:rsid w:val="6A8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Times New Roman" w:eastAsia="仿宋_GB2312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2021-07-30T01:20:00Z</dcterms:created>
  <dc:creator>杜娟</dc:creator>
  <cp:lastModifiedBy>杜娟</cp:lastModifiedBy>
  <dcterms:modified xsi:type="dcterms:W3CDTF">2021-08-03T01:11:38Z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A00FCEEC8ED04FAB97E0BBA19F1BF230</vt:lpwstr>
  </property>
</Properties>
</file>