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AF0F9" w:sz="6" w:space="3"/>
          <w:right w:val="none" w:color="auto" w:sz="0" w:space="0"/>
        </w:pBdr>
        <w:spacing w:before="0" w:beforeAutospacing="0" w:after="150" w:afterAutospacing="0"/>
        <w:ind w:left="0" w:right="0" w:firstLine="0"/>
        <w:rPr>
          <w:rFonts w:ascii="微软雅黑" w:hAnsi="微软雅黑" w:eastAsia="微软雅黑" w:cs="微软雅黑"/>
          <w:b/>
          <w:bCs/>
          <w:caps w:val="0"/>
          <w:color w:val="333333"/>
          <w:spacing w:val="0"/>
          <w:sz w:val="30"/>
          <w:szCs w:val="30"/>
        </w:rPr>
      </w:pPr>
      <w:r>
        <w:rPr>
          <w:rFonts w:hint="eastAsia" w:ascii="微软雅黑" w:hAnsi="微软雅黑" w:eastAsia="微软雅黑" w:cs="微软雅黑"/>
          <w:b/>
          <w:bCs/>
          <w:caps w:val="0"/>
          <w:color w:val="333333"/>
          <w:spacing w:val="0"/>
          <w:sz w:val="30"/>
          <w:szCs w:val="30"/>
          <w:bdr w:val="none" w:color="auto" w:sz="0" w:space="0"/>
        </w:rPr>
        <w:t>　中华人民共和国土地管理法实施条例2022修订【全文】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第一条　根据《中华人民共和国土地管理法》(以下简称《土地管理法》)，制定本条例。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第二章　国土空间规划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第二条　国家建立国土空间规划体系。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土地开发、保护、建设活动应当坚持规划先行。经依法批准的国土空间规划是各类开发、保护、建设活动的基本依据。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已经编制国土空间规划的，不再编制土地利用总体规划和城乡规划。在编制国土空间规划前，经依法批准的土地利用总体规划和城乡规划继续执行。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第三条　国土空间规划应当细化落实国家发展规划提出的国土空间开发保护要求，统筹布局农业、生态、城镇等功能空间，划定落实永久基本农田、生态保护红线和城镇开发边界。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第四条　土地调查应当包括下列内容：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(一)土地权属以及变化情况;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(二)土地利用现状以及变化情况;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(三)土地条件。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土地调查成果是编制国土空间规划以及自然资源管理、保护和利用的重要依据。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土地调查技术规程由国务院自然资源主管部门会同有关部门制定。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第五条　国务院自然资源主管部门会同有关部门制定土地等级评定标准。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根据国民经济和社会发展状况，土地等级每五年重新评定一次。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第七条　县级以上人民政府自然资源主管部门应当加强地籍管理，建立健全地籍数据库。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　第三章　耕地保护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个别省、直辖市需要易地开垦耕地的，依照《土地管理法》第三十二条的规定执行。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第九条　禁止任何单位和个人在国土空间规划确定的禁止开垦的范围内从事土地开发活动。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第十条　县级人民政府应当按照国土空间规划关于统筹布局农业、生态、城镇等功能空间的要求，制定土地整理方案，促进耕地保护和土地节约集约利用。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县、乡(镇)人民政府应当组织农村集体经济组织，实施土地整理方案，对闲散地和废弃地有计划地整治、改造。土地整理新增耕地，可以用作建设所占用耕地的补充。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鼓励社会主体依法参与土地整理。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非农业建设依法占用永久基本农田的，建设单位应当按照省、自治区、直辖市的规定，将所占用耕地耕作层的土壤用于新开垦耕地、劣质地或者其他耕地的土壤改良。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县级以上地方人民政府应当加强对农业结构调整的引导和管理，防止破坏耕地耕作层;设施农业用地不再使用的，应当及时组织恢复种植条件。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耕地应当优先用于粮食和棉、油、糖、蔬菜等农产品生产。按照国家有关规定需要将耕地转为林地、草地、园地等其他农用地的，应当优先使用难以长期稳定利用的耕地。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第十三条　省、自治区、直辖市人民政府对本行政区域耕地保护负总责，其主要负责人是本行政区域耕地保护的第一责任人。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省、自治区、直辖市人民政府应当将国务院确定的耕地保有量和永久基本农田保护任务分解下达，落实到具体地块。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国务院对省、自治区、直辖市人民政府耕地保护责任目标落实情况进行考核。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　第四章　建设用地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第十四条　建设项目需要使用土地的，应当符合国土空间规划、土地利用年度计划和用途管制以及节约资源、保护生态环境的要求，并严格执行建设用地标准，优先使用存量建设用地，提高建设用地使用效率。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从事土地开发利用活动，应当采取有效措施，防止、减少土壤污染，并确保建设用地符合土壤环境质量要求。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第十六条　县级以上地方人民政府自然资源主管部门应当将本级人民政府确定的年度建设用地供应总量、结构、时序、地块、用途等在政府网站上向社会公布，供社会公众查阅。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第十七条　建设单位使用国有土地，应当以有偿使用方式取得;但是，法律、行政法规规定可以以划拨方式取得的除外。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国有土地有偿使用的方式包括：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(一)国有土地使用权出让;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(二)国有土地租赁;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(三)国有土地使用权作价出资或者入股。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第十九条　《土地管理法》第五十五条规定的新增建设用地的土地有偿使用费，是指国家在新增建设用地中应取得的平均土地纯收益。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第二十条　建设项目施工、地质勘查需要临时使用土地的，应当尽量不占或者少占耕地。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临时用地由县级以上人民政府自然资源主管部门批准，期限一般不超过二年;建设周期较长的能源、交通、水利等基础设施建设使用的临时用地，期限不超过四年;法律、行政法规另有规定的除外。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土地使用者应当自临时用地期满之日起一年内完成土地复垦，使其达到可供利用状态，其中占用耕地的应当恢复种植条件。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第二十二条　具有重要生态功能的未利用地应当依法划入生态保护红线，实施严格保护。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建设项目占用国土空间规划确定的未利用地的，按照省、自治区、直辖市的规定办理。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第二节　农用地转用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农用地转用方案应当重点对建设项目安排、是否符合国土空间规划和土地利用年度计划以及补充耕地情况作出说明。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农用地转用方案经批准后，由市、县人民政府组织实施。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(三)农用地转用方案经批准后，由市、县人民政府组织实施。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农用地转用涉及征收土地的，还应当依法办理征收土地手续。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第三节　土地征收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第二十六条　需要征收土地，县级以上地方人民政府认为符合《土地管理法》第四十五条规定的，应当发布征收土地预公告，并开展拟征收土地现状调查和社会稳定风险评估。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土地现状调查应当查明土地的位置、权属、地类、面积，以及农村村民住宅、其他地上附着物和青苗等的权属、种类、数量等情况。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第二十七条　县级以上地方人民政府应当依据社会稳定风险评估结果，结合土地现状调查情况，组织自然资源、财政、农业农村、人力资源和社会保障等有关部门拟定征地补偿安置方案。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征地补偿安置方案应当包括征收范围、土地现状、征收目的、补偿方式和标准、安置对象、安置方式、社会保障等内容。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第二十八条　征地补偿安置方案拟定后，县级以上地方人民政府应当在拟征收土地所在的乡(镇)和村、村民小组范围内公告，公告时间不少于三十日。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征地补偿安置公告应当同时载明办理补偿登记的方式和期限、异议反馈渠道等内容。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多数被征地的农村集体经济组织成员认为拟定的征地补偿安置方案不符合法律、法规规定的，县级以上地方人民政府应当组织听证。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对个别确实难以达成征地补偿安置协议的，县级以上地方人民政府应当在申请征收土地时如实说明。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第三十条　县级以上地方人民政府完成本条例规定的征地前期工作后，方可提出征收土地申请，依照《土地管理法》第四十六条的规定报有批准权的人民政府批准。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有批准权的人民政府应当对征收土地的必要性、合理性、是否符合《土地管理法》第四十五条规定的为了公共利益确需征收土地的情形以及是否符合法定程序进行审查。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第三十二条　省、自治区、直辖市应当制定公布区片综合地价，确定征收农用地的土地补偿费、安置补助费标准，并制定土地补偿费、安置补助费分配办法。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地上附着物和青苗等的补偿费用，归其所有权人所有。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社会保障费用主要用于符合条件的被征地农民的养老保险等社会保险缴费补贴，按照省、自治区、直辖市的规定单独列支。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第四节　宅基地管理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第三十三条　农村居民点布局和建设用地规模应当遵循节约集约、因地制宜的原则合理规划。县级以上地方人民政府应当按照国家规定安排建设用地指标，合理保障本行政区域农村村民宅基地需求。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乡(镇)、县、市国土空间规划和村庄规划应当统筹考虑农村村民生产、生活需求，突出节约集约用地导向，科学划定宅基地范围。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涉及占用农用地的，应当依法办理农用地转用审批手续。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第三十五条　国家允许进城落户的农村村民依法自愿有偿退出宅基地。乡(镇)人民政府和农村集体经济组织、村民委员会等应当将退出的宅基地优先用于保障该农村集体经济组织成员的宅基地需求。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第三十六条　依法取得的宅基地和宅基地上的农村村民住宅及其附属设施受法律保护。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禁止违背农村村民意愿强制流转宅基地，禁止违法收回农村村民依法取得的宅基地，禁止以退出宅基地作为农村村民进城落户的条件，禁止强迫农村村民搬迁退出宅基地。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第五节 集体经营性建设用地管理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第三十七条　国土空间规划应当统筹并合理安排集体经营性建设用地布局和用途，依法控制集体经营性建设用地规模，促进集体经营性建设用地的节约集约利用。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鼓励乡村重点产业和项目使用集体经营性建设用地。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第三十八条　国土空间规划确定为工业、商业等经营性用途，且已依法办理土地所有权登记的集体经营性建设用地，土地所有权人可以通过出让、出租等方式交由单位或者个人在一定年限内有偿使用。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市、县人民政府自然资源主管部门应当会同有关部门提出产业准入和生态环境保护要求。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集体经营性建设用地出让、出租等方案应当载明宗地的土地界址、面积、用途、规划条件、产业准入和生态环境保护要求、使用期限、交易方式、入市价格、集体收益分配安排等内容。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第四十三条　通过出让等方式取得的集体经营性建设用地使用权依法转让、互换、出资、赠与或者抵押的，双方应当签订书面合同，并书面通知土地所有权人。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集体经营性建设用地的出租，集体建设用地使用权的出让及其最高年限、转让、互换、出资、赠与、抵押等，参照同类用途的国有建设用地执行，法律、行政法规另有规定的除外。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第五章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第四十四条　国家自然资源督察机构根据授权对省、自治区、直辖市人民政府以及国务院确定的城市人民政府下列土地利用和土地管理情况进行督察：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(一)耕地保护情况;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(二)土地节约集约利用情况;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(三)国土空间规划编制和实施情况;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(四)国家有关土地管理重大决策落实情况;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(五)土地管理法律、行政法规执行情况;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(六)其他土地利用和土地管理情况。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第四十五条　国家自然资源督察机构进行督察时，有权向有关单位和个人了解督察事项有关情况，有关单位和个人应当支持、协助督察机构工作，如实反映情况，并提供有关材料。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第四十七条　土地管理监督检查人员应当经过培训，经考核合格，取得行政执法证件后，方可从事土地管理监督检查工作。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第四十八条　自然资源主管部门、农业农村主管部门按照职责分工进行监督检查时，可以采取下列措施：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(一)询问违法案件涉及的单位或者个人;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(二)进入被检查单位或者个人涉嫌土地违法的现场进行拍照、摄像;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(三)责令当事人停止正在进行的土地违法行为;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(四)对涉嫌土地违法的单位或者个人，在调查期间暂停办理与该违法案件相关的土地审批、登记等手续;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(五)对可能被转移、销毁、隐匿或者篡改的文件、资料予以封存，责令涉嫌土地违法的单位或者个人在调查期间不得变卖、转移与案件有关的财物;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(六)《土地管理法》第六十八条规定的其他监督检查措施。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第四十九条　依照《土地管理法》第七十三条的规定给予处分的，应当按照管理权限由责令作出行政处罚决定或者直接给予行政处罚的上级人民政府自然资源主管部门或者其他任免机关、单位作出。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　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第五十三条　违反《土地管理法》第六十五条的规定，对建筑物、构筑物进行重建、扩建的，由县级以上人民政府自然资源主管部门责令限期拆除;逾期不拆除的，由作出行政决定的机关依法申请人民法院强制执行。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第五十四条　依照《土地管理法》第七十四条的规定处以罚款的，罚款额为违法所得的10%以上50%以下。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第五十五条　依照《土地管理法》第七十五条的规定处以罚款的，罚款额为耕地开垦费的5倍以上10倍以下;破坏黑土地等优质耕地的，从重处罚。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第五十六条　依照《土地管理法》第七十六条的规定处以罚款的，罚款额为土地复垦费的2倍以上5倍以下。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第五十七条　依照《土地管理法》第七十七条的规定处以罚款的，罚款额为非法占用土地每平方米100元以上1000元以下。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违反本条例规定，在国土空间规划确定的禁止开垦的范围内从事土地开发活动的，由县级以上人民政府自然资源主管部门责令限期改正，并依照《土地管理法》第七十七条的规定处罚。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第五十九条　依照《土地管理法》第八十一条的规定处以罚款的，罚款额为非法占用土地每平方米100元以上500元以下。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第六十条　依照《土地管理法》第八十二条的规定处以罚款的，罚款额为违法所得的10%以上30%以下。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第六十一条　阻碍自然资源主管部门、农业农村主管部门的工作人员依法执行职务，构成违反治安管理行为的，依法给予治安管理处罚。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第六十二条　违反土地管理法律、法规规定，阻挠国家建设征收土地的，由县级以上地方人民政府责令交出土地;拒不交出土地的，依法申请人民法院强制执行。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第六十五条　各级人民政府及自然资源主管部门、农业农村主管部门工作人员玩忽职守、滥用职权、徇私舞弊的，依法给予处分。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第六十六条　违反本条例规定，构成犯罪的，依法追究刑事责任。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第六十七条　本条例自2021年9月1日起施行。</w:t>
      </w:r>
    </w:p>
    <w:p>
      <w:pPr>
        <w:pStyle w:val="3"/>
        <w:keepNext w:val="0"/>
        <w:keepLines w:val="0"/>
        <w:widowControl/>
        <w:suppressLineNumbers w:val="0"/>
        <w:pBdr>
          <w:top w:val="none" w:color="auto" w:sz="0" w:space="0"/>
          <w:left w:val="none" w:color="auto" w:sz="0" w:space="0"/>
          <w:bottom w:val="single" w:color="EAF0F9" w:sz="6" w:space="3"/>
          <w:right w:val="none" w:color="auto" w:sz="0" w:space="0"/>
        </w:pBdr>
        <w:spacing w:before="0" w:beforeAutospacing="0" w:after="150" w:afterAutospacing="0"/>
        <w:ind w:left="0" w:right="0" w:firstLine="0"/>
        <w:rPr>
          <w:rFonts w:ascii="微软雅黑" w:hAnsi="微软雅黑" w:eastAsia="微软雅黑" w:cs="微软雅黑"/>
          <w:b/>
          <w:bCs/>
          <w:caps w:val="0"/>
          <w:color w:val="333333"/>
          <w:spacing w:val="0"/>
          <w:sz w:val="30"/>
          <w:szCs w:val="30"/>
        </w:rPr>
      </w:pPr>
      <w:r>
        <w:rPr>
          <w:rFonts w:hint="eastAsia" w:ascii="微软雅黑" w:hAnsi="微软雅黑" w:eastAsia="微软雅黑" w:cs="微软雅黑"/>
          <w:b/>
          <w:bCs/>
          <w:caps w:val="0"/>
          <w:color w:val="333333"/>
          <w:spacing w:val="0"/>
          <w:sz w:val="30"/>
          <w:szCs w:val="30"/>
          <w:bdr w:val="none" w:color="auto" w:sz="0" w:space="0"/>
        </w:rPr>
        <w:t>　中华人民共和国土地管理法实施条例2022修订【全文】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4105275" cy="295275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105275" cy="2952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第一条　根据《中华人民共和国土地管理法》(以下简称《土地管理法》)，制定本条例。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第二章　国土空间规划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第二条　国家建立国土空间规划体系。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土地开发、保护、建设活动应当坚持规划先行。经依法批准的国土空间规划是各类开发、保护、建设活动的基本依据。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已经编制国土空间规划的，不再编制土地利用总体规划和城乡规划。在编制国土空间规划前，经依法批准的土地利用总体规划和城乡规划继续执行。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第三条　国土空间规划应当细化落实国家发展规划提出的国土空间开发保护要求，统筹布局农业、生态、城镇等功能空间，划定落实永久基本农田、生态保护红线和城镇开发边界。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第四条　土地调查应当包括下列内容：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(一)土地权属以及变化情况;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(二)土地利用现状以及变化情况;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(三)土地条件。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土地调查成果是编制国土空间规划以及自然资源管理、保护和利用的重要依据。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土地调查技术规程由国务院自然资源主管部门会同有关部门制定。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第五条　国务院自然资源主管部门会同有关部门制定土地等级评定标准。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根据国民经济和社会发展状况，土地等级每五年重新评定一次。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第七条　县级以上人民政府自然资源主管部门应当加强地籍管理，建立健全地籍数据库。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　第三章　耕地保护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个别省、直辖市需要易地开垦耕地的，依照《土地管理法》第三十二条的规定执行。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第九条　禁止任何单位和个人在国土空间规划确定的禁止开垦的范围内从事土地开发活动。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第十条　县级人民政府应当按照国土空间规划关于统筹布局农业、生态、城镇等功能空间的要求，制定土地整理方案，促进耕地保护和土地节约集约利用。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县、乡(镇)人民政府应当组织农村集体经济组织，实施土地整理方案，对闲散地和废弃地有计划地整治、改造。土地整理新增耕地，可以用作建设所占用耕地的补充。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鼓励社会主体依法参与土地整理。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非农业建设依法占用永久基本农田的，建设单位应当按照省、自治区、直辖市的规定，将所占用耕地耕作层的土壤用于新开垦耕地、劣质地或者其他耕地的土壤改良。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县级以上地方人民政府应当加强对农业结构调整的引导和管理，防止破坏耕地耕作层;设施农业用地不再使用的，应当及时组织恢复种植条件。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耕地应当优先用于粮食和棉、油、糖、蔬菜等农产品生产。按照国家有关规定需要将耕地转为林地、草地、园地等其他农用地的，应当优先使用难以长期稳定利用的耕地。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第十三条　省、自治区、直辖市人民政府对本行政区域耕地保护负总责，其主要负责人是本行政区域耕地保护的第一责任人。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省、自治区、直辖市人民政府应当将国务院确定的耕地保有量和永久基本农田保护任务分解下达，落实到具体地块。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国务院对省、自治区、直辖市人民政府耕地保护责任目标落实情况进行考核。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　第四章　建设用地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第十四条　建设项目需要使用土地的，应当符合国土空间规划、土地利用年度计划和用途管制以及节约资源、保护生态环境的要求，并严格执行建设用地标准，优先使用存量建设用地，提高建设用地使用效率。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从事土地开发利用活动，应当采取有效措施，防止、减少土壤污染，并确保建设用地符合土壤环境质量要求。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第十六条　县级以上地方人民政府自然资源主管部门应当将本级人民政府确定的年度建设用地供应总量、结构、时序、地块、用途等在政府网站上向社会公布，供社会公众查阅。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第十七条　建设单位使用国有土地，应当以有偿使用方式取得;但是，法律、行政法规规定可以以划拨方式取得的除外。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国有土地有偿使用的方式包括：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(一)国有土地使用权出让;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(二)国有土地租赁;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(三)国有土地使用权作价出资或者入股。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第十九条　《土地管理法》第五十五条规定的新增建设用地的土地有偿使用费，是指国家在新增建设用地中应取得的平均土地纯收益。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第二十条　建设项目施工、地质勘查需要临时使用土地的，应当尽量不占或者少占耕地。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临时用地由县级以上人民政府自然资源主管部门批准，期限一般不超过二年;建设周期较长的能源、交通、水利等基础设施建设使用的临时用地，期限不超过四年;法律、行政法规另有规定的除外。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土地使用者应当自临时用地期满之日起一年内完成土地复垦，使其达到可供利用状态，其中占用耕地的应当恢复种植条件。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第二十二条　具有重要生态功能的未利用地应当依法划入生态保护红线，实施严格保护。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建设项目占用国土空间规划确定的未利用地的，按照省、自治区、直辖市的规定办理。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第二节　农用地转用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农用地转用方案应当重点对建设项目安排、是否符合国土空间规划和土地利用年度计划以及补充耕地情况作出说明。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农用地转用方案经批准后，由市、县人民政府组织实施。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(三)农用地转用方案经批准后，由市、县人民政府组织实施。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农用地转用涉及征收土地的，还应当依法办理征收土地手续。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第三节　土地征收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第二十六条　需要征收土地，县级以上地方人民政府认为符合《土地管理法》第四十五条规定的，应当发布征收土地预公告，并开展拟征收土地现状调查和社会稳定风险评估。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土地现状调查应当查明土地的位置、权属、地类、面积，以及农村村民住宅、其他地上附着物和青苗等的权属、种类、数量等情况。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第二十七条　县级以上地方人民政府应当依据社会稳定风险评估结果，结合土地现状调查情况，组织自然资源、财政、农业农村、人力资源和社会保障等有关部门拟定征地补偿安置方案。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征地补偿安置方案应当包括征收范围、土地现状、征收目的、补偿方式和标准、安置对象、安置方式、社会保障等内容。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第二十八条　征地补偿安置方案拟定后，县级以上地方人民政府应当在拟征收土地所在的乡(镇)和村、村民小组范围内公告，公告时间不少于三十日。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征地补偿安置公告应当同时载明办理补偿登记的方式和期限、异议反馈渠道等内容。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多数被征地的农村集体经济组织成员认为拟定的征地补偿安置方案不符合法律、法规规定的，县级以上地方人民政府应当组织听证。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对个别确实难以达成征地补偿安置协议的，县级以上地方人民政府应当在申请征收土地时如实说明。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第三十条　县级以上地方人民政府完成本条例规定的征地前期工作后，方可提出征收土地申请，依照《土地管理法》第四十六条的规定报有批准权的人民政府批准。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有批准权的人民政府应当对征收土地的必要性、合理性、是否符合《土地管理法》第四十五条规定的为了公共利益确需征收土地的情形以及是否符合法定程序进行审查。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第三十二条　省、自治区、直辖市应当制定公布区片综合地价，确定征收农用地的土地补偿费、安置补助费标准，并制定土地补偿费、安置补助费分配办法。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地上附着物和青苗等的补偿费用，归其所有权人所有。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社会保障费用主要用于符合条件的被征地农民的养老保险等社会保险缴费补贴，按照省、自治区、直辖市的规定单独列支。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第四节　宅基地管理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第三十三条　农村居民点布局和建设用地规模应当遵循节约集约、因地制宜的原则合理规划。县级以上地方人民政府应当按照国家规定安排建设用地指标，合理保障本行政区域农村村民宅基地需求。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乡(镇)、县、市国土空间规划和村庄规划应当统筹考虑农村村民生产、生活需求，突出节约集约用地导向，科学划定宅基地范围。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涉及占用农用地的，应当依法办理农用地转用审批手续。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第三十五条　国家允许进城落户的农村村民依法自愿有偿退出宅基地。乡(镇)人民政府和农村集体经济组织、村民委员会等应当将退出的宅基地优先用于保障该农村集体经济组织成员的宅基地需求。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第三十六条　依法取得的宅基地和宅基地上的农村村民住宅及其附属设施受法律保护。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禁止违背农村村民意愿强制流转宅基地，禁止违法收回农村村民依法取得的宅基地，禁止以退出宅基地作为农村村民进城落户的条件，禁止强迫农村村民搬迁退出宅基地。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第五节 集体经营性建设用地管理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第三十七条　国土空间规划应当统筹并合理安排集体经营性建设用地布局和用途，依法控制集体经营性建设用地规模，促进集体经营性建设用地的节约集约利用。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鼓励乡村重点产业和项目使用集体经营性建设用地。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第三十八条　国土空间规划确定为工业、商业等经营性用途，且已依法办理土地所有权登记的集体经营性建设用地，土地所有权人可以通过出让、出租等方式交由单位或者个人在一定年限内有偿使用。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市、县人民政府自然资源主管部门应当会同有关部门提出产业准入和生态环境保护要求。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集体经营性建设用地出让、出租等方案应当载明宗地的土地界址、面积、用途、规划条件、产业准入和生态环境保护要求、使用期限、交易方式、入市价格、集体收益分配安排等内容。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第四十三条　通过出让等方式取得的集体经营性建设用地使用权依法转让、互换、出资、赠与或者抵押的，双方应当签订书面合同，并书面通知土地所有权人。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集体经营性建设用地的出租，集体建设用地使用权的出让及其最高年限、转让、互换、出资、赠与、抵押等，参照同类用途的国有建设用地执行，法律、行政法规另有规定的除外。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第五章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第四十四条　国家自然资源督察机构根据授权对省、自治区、直辖市人民政府以及国务院确定的城市人民政府下列土地利用和土地管理情况进行督察：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(一)耕地保护情况;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(二)土地节约集约利用情况;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(三)国土空间规划编制和实施情况;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(四)国家有关土地管理重大决策落实情况;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(五)土地管理法律、行政法规执行情况;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(六)其他土地利用和土地管理情况。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第四十五条　国家自然资源督察机构进行督察时，有权向有关单位和个人了解督察事项有关情况，有关单位和个人应当支持、协助督察机构工作，如实反映情况，并提供有关材料。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第四十七条　土地管理监督检查人员应当经过培训，经考核合格，取得行政执法证件后，方可从事土地管理监督检查工作。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第四十八条　自然资源主管部门、农业农村主管部门按照职责分工进行监督检查时，可以采取下列措施：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(一)询问违法案件涉及的单位或者个人;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(二)进入被检查单位或者个人涉嫌土地违法的现场进行拍照、摄像;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(三)责令当事人停止正在进行的土地违法行为;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(四)对涉嫌土地违法的单位或者个人，在调查期间暂停办理与该违法案件相关的土地审批、登记等手续;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(五)对可能被转移、销毁、隐匿或者篡改的文件、资料予以封存，责令涉嫌土地违法的单位或者个人在调查期间不得变卖、转移与案件有关的财物;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(六)《土地管理法》第六十八条规定的其他监督检查措施。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第四十九条　依照《土地管理法》第七十三条的规定给予处分的，应当按照管理权限由责令作出行政处罚决定或者直接给予行政处罚的上级人民政府自然资源主管部门或者其他任免机关、单位作出。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　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第五十三条　违反《土地管理法》第六十五条的规定，对建筑物、构筑物进行重建、扩建的，由县级以上人民政府自然资源主管部门责令限期拆除;逾期不拆除的，由作出行政决定的机关依法申请人民法院强制执行。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第五十四条　依照《土地管理法》第七十四条的规定处以罚款的，罚款额为违法所得的10%以上50%以下。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第五十五条　依照《土地管理法》第七十五条的规定处以罚款的，罚款额为耕地开垦费的5倍以上10倍以下;破坏黑土地等优质耕地的，从重处罚。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第五十六条　依照《土地管理法》第七十六条的规定处以罚款的，罚款额为土地复垦费的2倍以上5倍以下。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第五十七条　依照《土地管理法》第七十七条的规定处以罚款的，罚款额为非法占用土地每平方米100元以上1000元以下。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违反本条例规定，在国土空间规划确定的禁止开垦的范围内从事土地开发活动的，由县级以上人民政府自然资源主管部门责令限期改正，并依照《土地管理法》第七十七条的规定处罚。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第五十九条　依照《土地管理法》第八十一条的规定处以罚款的，罚款额为非法占用土地每平方米100元以上500元以下。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第六十条　依照《土地管理法》第八十二条的规定处以罚款的，罚款额为违法所得的10%以上30%以下。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第六十一条　阻碍自然资源主管部门、农业农村主管部门的工作人员依法执行职务，构成违反治安管理行为的，依法给予治安管理处罚。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第六十二条　违反土地管理法律、法规规定，阻挠国家建设征收土地的，由县级以上地方人民政府责令交出土地;拒不交出土地的，依法申请人民法院强制执行。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第六十五条　各级人民政府及自然资源主管部门、农业农村主管部门工作人员玩忽职守、滥用职权、徇私舞弊的，依法给予处分。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第六十六条　违反本条例规定，构成犯罪的，依法追究刑事责任。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Style w:val="7"/>
          <w:rFonts w:hint="eastAsia" w:ascii="微软雅黑" w:hAnsi="微软雅黑" w:eastAsia="微软雅黑" w:cs="微软雅黑"/>
          <w:i w:val="0"/>
          <w:iCs w:val="0"/>
          <w:caps w:val="0"/>
          <w:color w:val="333333"/>
          <w:spacing w:val="0"/>
          <w:sz w:val="24"/>
          <w:szCs w:val="24"/>
          <w:bdr w:val="none" w:color="auto" w:sz="0" w:space="0"/>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第六十七条　本条例自2021年9月1日起施行。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15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OTY3NDI5NmFmNTgwODIyNzE4MTgyMjcwZmQyYzIifQ=="/>
  </w:docVars>
  <w:rsids>
    <w:rsidRoot w:val="43971633"/>
    <w:rsid w:val="4397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2022-12-14T02:19:00Z</dcterms:created>
  <dc:creator>Administrator</dc:creator>
  <cp:lastModifiedBy>Administrator</cp:lastModifiedBy>
  <dcterms:modified xsi:type="dcterms:W3CDTF">2022-12-14T02:24:17Z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615C01395B364CDE94AD572A5D62A9D8</vt:lpwstr>
  </property>
</Properties>
</file>