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960" w:firstLineChars="700"/>
        <w:jc w:val="left"/>
        <w:rPr>
          <w:rFonts w:hint="eastAsia" w:ascii="宋体" w:hAnsi="宋体" w:eastAsia="宋体" w:cs="宋体"/>
          <w:color w:val="auto"/>
          <w:kern w:val="0"/>
          <w:sz w:val="28"/>
          <w:szCs w:val="28"/>
          <w:highlight w:val="none"/>
          <w:lang w:bidi="ar"/>
        </w:rPr>
      </w:pPr>
    </w:p>
    <w:p>
      <w:pPr>
        <w:pStyle w:val="7"/>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highlight w:val="none"/>
        </w:rPr>
      </w:pPr>
    </w:p>
    <w:p>
      <w:pPr>
        <w:widowControl/>
        <w:jc w:val="center"/>
        <w:outlineLvl w:val="9"/>
        <w:rPr>
          <w:rFonts w:hint="eastAsia" w:ascii="宋体" w:hAnsi="宋体" w:eastAsia="宋体" w:cs="宋体"/>
          <w:b/>
          <w:bCs/>
          <w:color w:val="auto"/>
          <w:kern w:val="0"/>
          <w:sz w:val="44"/>
          <w:szCs w:val="44"/>
          <w:highlight w:val="none"/>
          <w:lang w:bidi="ar"/>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华文中宋" w:hAnsi="华文中宋" w:eastAsia="华文中宋" w:cs="华文中宋"/>
          <w:b/>
          <w:bCs/>
          <w:color w:val="auto"/>
          <w:kern w:val="0"/>
          <w:sz w:val="56"/>
          <w:szCs w:val="56"/>
          <w:highlight w:val="none"/>
          <w:lang w:eastAsia="zh-CN" w:bidi="ar"/>
        </w:rPr>
      </w:pPr>
      <w:bookmarkStart w:id="0" w:name="_Toc23645"/>
      <w:bookmarkStart w:id="1" w:name="_Toc31324"/>
      <w:bookmarkStart w:id="2" w:name="_Toc5812"/>
      <w:r>
        <w:rPr>
          <w:rFonts w:hint="eastAsia" w:ascii="华文中宋" w:hAnsi="华文中宋" w:eastAsia="华文中宋" w:cs="华文中宋"/>
          <w:b/>
          <w:bCs/>
          <w:color w:val="auto"/>
          <w:kern w:val="0"/>
          <w:sz w:val="56"/>
          <w:szCs w:val="56"/>
          <w:highlight w:val="none"/>
          <w:lang w:eastAsia="zh-CN" w:bidi="ar"/>
        </w:rPr>
        <w:t>河南德利新能源材料有限公司</w:t>
      </w:r>
      <w:bookmarkEnd w:id="0"/>
      <w:bookmarkEnd w:id="1"/>
      <w:bookmarkEnd w:id="2"/>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56"/>
          <w:szCs w:val="56"/>
          <w:highlight w:val="none"/>
        </w:rPr>
      </w:pPr>
      <w:bookmarkStart w:id="3" w:name="_Toc30336"/>
      <w:bookmarkStart w:id="4" w:name="_Toc2657"/>
      <w:bookmarkStart w:id="5" w:name="_Toc31105"/>
      <w:r>
        <w:rPr>
          <w:rFonts w:hint="eastAsia" w:ascii="华文中宋" w:hAnsi="华文中宋" w:eastAsia="华文中宋" w:cs="华文中宋"/>
          <w:b/>
          <w:color w:val="auto"/>
          <w:kern w:val="0"/>
          <w:sz w:val="56"/>
          <w:szCs w:val="56"/>
          <w:highlight w:val="none"/>
        </w:rPr>
        <w:t>土壤自行监测报告</w:t>
      </w:r>
      <w:bookmarkEnd w:id="3"/>
      <w:bookmarkEnd w:id="4"/>
      <w:bookmarkEnd w:id="5"/>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highlight w:val="none"/>
        </w:rPr>
      </w:pPr>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jc w:val="center"/>
        <w:outlineLvl w:val="9"/>
        <w:rPr>
          <w:rFonts w:hint="eastAsia" w:ascii="宋体" w:hAnsi="宋体" w:eastAsia="宋体" w:cs="宋体"/>
          <w:b/>
          <w:bCs/>
          <w:color w:val="auto"/>
          <w:sz w:val="44"/>
          <w:szCs w:val="44"/>
          <w:highlight w:val="none"/>
        </w:rPr>
      </w:pPr>
    </w:p>
    <w:p>
      <w:pPr>
        <w:pStyle w:val="5"/>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rPr>
      </w:pPr>
    </w:p>
    <w:p>
      <w:pPr>
        <w:ind w:firstLine="964" w:firstLineChars="300"/>
        <w:outlineLvl w:val="9"/>
        <w:rPr>
          <w:rFonts w:hint="eastAsia" w:ascii="宋体" w:hAnsi="宋体" w:eastAsia="宋体" w:cs="宋体"/>
          <w:b/>
          <w:bCs/>
          <w:color w:val="auto"/>
          <w:sz w:val="32"/>
          <w:szCs w:val="32"/>
          <w:highlight w:val="none"/>
          <w:lang w:eastAsia="zh-CN"/>
        </w:rPr>
      </w:pP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呈报单位：</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lang w:eastAsia="zh-CN"/>
        </w:rPr>
        <w:t>河南德利新能源材料有限公司</w:t>
      </w:r>
      <w:r>
        <w:rPr>
          <w:rFonts w:hint="eastAsia" w:ascii="宋体" w:hAnsi="宋体" w:eastAsia="宋体" w:cs="宋体"/>
          <w:b/>
          <w:bCs/>
          <w:color w:val="auto"/>
          <w:sz w:val="32"/>
          <w:szCs w:val="32"/>
          <w:highlight w:val="none"/>
          <w:u w:val="single"/>
          <w:lang w:val="en-US" w:eastAsia="zh-CN"/>
        </w:rPr>
        <w:t xml:space="preserve"> </w:t>
      </w: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bookmarkStart w:id="6" w:name="_Toc19383"/>
      <w:bookmarkStart w:id="7" w:name="_Toc3483"/>
      <w:bookmarkStart w:id="8" w:name="_Toc30912"/>
      <w:r>
        <w:rPr>
          <w:rFonts w:hint="eastAsia" w:ascii="宋体" w:hAnsi="宋体" w:eastAsia="宋体" w:cs="宋体"/>
          <w:b/>
          <w:bCs/>
          <w:color w:val="auto"/>
          <w:sz w:val="32"/>
          <w:szCs w:val="32"/>
          <w:highlight w:val="none"/>
        </w:rPr>
        <w:t>编制单位：</w:t>
      </w:r>
      <w:bookmarkEnd w:id="6"/>
      <w:bookmarkEnd w:id="7"/>
      <w:bookmarkEnd w:id="8"/>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lang w:eastAsia="zh-CN"/>
        </w:rPr>
        <w:t>河南德利新能源材料有限公司</w:t>
      </w:r>
      <w:r>
        <w:rPr>
          <w:rFonts w:hint="eastAsia" w:ascii="宋体" w:hAnsi="宋体" w:eastAsia="宋体" w:cs="宋体"/>
          <w:b/>
          <w:bCs/>
          <w:color w:val="auto"/>
          <w:sz w:val="32"/>
          <w:szCs w:val="32"/>
          <w:highlight w:val="none"/>
          <w:u w:val="single"/>
          <w:lang w:val="en-US" w:eastAsia="zh-CN"/>
        </w:rPr>
        <w:t xml:space="preserve"> </w:t>
      </w: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编制日期：</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rPr>
        <w:t>二零二</w:t>
      </w:r>
      <w:r>
        <w:rPr>
          <w:rFonts w:hint="eastAsia" w:ascii="宋体" w:hAnsi="宋体" w:eastAsia="宋体" w:cs="宋体"/>
          <w:b/>
          <w:bCs/>
          <w:color w:val="auto"/>
          <w:sz w:val="32"/>
          <w:szCs w:val="32"/>
          <w:highlight w:val="none"/>
          <w:u w:val="single"/>
          <w:lang w:val="en-US" w:eastAsia="zh-CN"/>
        </w:rPr>
        <w:t>三</w:t>
      </w:r>
      <w:r>
        <w:rPr>
          <w:rFonts w:hint="eastAsia" w:ascii="宋体" w:hAnsi="宋体" w:eastAsia="宋体" w:cs="宋体"/>
          <w:b/>
          <w:bCs/>
          <w:color w:val="auto"/>
          <w:sz w:val="32"/>
          <w:szCs w:val="32"/>
          <w:highlight w:val="none"/>
          <w:u w:val="single"/>
        </w:rPr>
        <w:t>年</w:t>
      </w:r>
      <w:r>
        <w:rPr>
          <w:rFonts w:hint="eastAsia" w:ascii="宋体" w:hAnsi="宋体" w:eastAsia="宋体" w:cs="宋体"/>
          <w:b/>
          <w:bCs/>
          <w:color w:val="auto"/>
          <w:sz w:val="32"/>
          <w:szCs w:val="32"/>
          <w:highlight w:val="none"/>
          <w:u w:val="single"/>
          <w:lang w:val="en-US" w:eastAsia="zh-CN"/>
        </w:rPr>
        <w:t>八</w:t>
      </w:r>
      <w:r>
        <w:rPr>
          <w:rFonts w:hint="eastAsia" w:ascii="宋体" w:hAnsi="宋体" w:eastAsia="宋体" w:cs="宋体"/>
          <w:b/>
          <w:bCs/>
          <w:color w:val="auto"/>
          <w:sz w:val="32"/>
          <w:szCs w:val="32"/>
          <w:highlight w:val="none"/>
          <w:u w:val="single"/>
        </w:rPr>
        <w:t>月</w:t>
      </w:r>
      <w:r>
        <w:rPr>
          <w:rFonts w:hint="eastAsia" w:ascii="宋体" w:hAnsi="宋体" w:eastAsia="宋体" w:cs="宋体"/>
          <w:b/>
          <w:bCs/>
          <w:color w:val="auto"/>
          <w:sz w:val="32"/>
          <w:szCs w:val="32"/>
          <w:highlight w:val="none"/>
          <w:u w:val="single"/>
          <w:lang w:val="en-US" w:eastAsia="zh-CN"/>
        </w:rPr>
        <w:t xml:space="preserve">        </w:t>
      </w:r>
    </w:p>
    <w:p>
      <w:pPr>
        <w:ind w:firstLine="964" w:firstLineChars="300"/>
        <w:rPr>
          <w:rFonts w:hint="eastAsia" w:ascii="宋体" w:hAnsi="宋体" w:eastAsia="宋体" w:cs="宋体"/>
          <w:b/>
          <w:bCs/>
          <w:color w:val="auto"/>
          <w:sz w:val="32"/>
          <w:szCs w:val="32"/>
          <w:highlight w:val="none"/>
          <w:u w:val="single"/>
        </w:rPr>
      </w:pPr>
    </w:p>
    <w:p>
      <w:pPr>
        <w:rPr>
          <w:rFonts w:hint="eastAsia"/>
        </w:rPr>
        <w:sectPr>
          <w:headerReference r:id="rId3" w:type="default"/>
          <w:type w:val="continuous"/>
          <w:pgSz w:w="11906" w:h="16838"/>
          <w:pgMar w:top="1440" w:right="1800" w:bottom="1440" w:left="1800" w:header="851" w:footer="992" w:gutter="0"/>
          <w:pgNumType w:fmt="decimal"/>
          <w:cols w:space="720" w:num="1"/>
          <w:docGrid w:type="lines" w:linePitch="312" w:charSpace="0"/>
        </w:sectPr>
      </w:pPr>
      <w:r>
        <w:rPr>
          <w:rFonts w:hint="eastAsia"/>
        </w:rPr>
        <w:br w:type="textWrapping"/>
      </w:r>
    </w:p>
    <w:sdt>
      <w:sdtPr>
        <w:rPr>
          <w:rFonts w:ascii="宋体" w:hAnsi="宋体" w:eastAsia="宋体" w:cs="Times New Roman"/>
          <w:kern w:val="2"/>
          <w:sz w:val="21"/>
          <w:szCs w:val="24"/>
          <w:lang w:val="en-US" w:eastAsia="zh-CN" w:bidi="ar-SA"/>
        </w:rPr>
        <w:id w:val="147451507"/>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tabs>
              <w:tab w:val="right" w:leader="dot" w:pos="8306"/>
            </w:tabs>
          </w:pPr>
          <w:r>
            <w:fldChar w:fldCharType="begin"/>
          </w:r>
          <w:r>
            <w:instrText xml:space="preserve">TOC \o "1-2" \h \u </w:instrText>
          </w:r>
          <w:r>
            <w:fldChar w:fldCharType="separate"/>
          </w:r>
          <w:r>
            <w:fldChar w:fldCharType="begin"/>
          </w:r>
          <w:r>
            <w:instrText xml:space="preserve"> HYPERLINK \l _Toc1807 </w:instrText>
          </w:r>
          <w:r>
            <w:fldChar w:fldCharType="separate"/>
          </w:r>
          <w:r>
            <w:rPr>
              <w:rFonts w:hint="eastAsia" w:ascii="宋体" w:hAnsi="宋体" w:eastAsia="宋体" w:cs="宋体"/>
              <w:bCs/>
              <w:kern w:val="2"/>
              <w:szCs w:val="32"/>
              <w:highlight w:val="none"/>
              <w:lang w:val="en-US" w:eastAsia="zh-CN" w:bidi="zh-CN"/>
            </w:rPr>
            <w:t>1.工作背景</w:t>
          </w:r>
          <w:r>
            <w:tab/>
          </w:r>
          <w:r>
            <w:fldChar w:fldCharType="begin"/>
          </w:r>
          <w:r>
            <w:instrText xml:space="preserve"> PAGEREF _Toc1807 \h </w:instrText>
          </w:r>
          <w:r>
            <w:fldChar w:fldCharType="separate"/>
          </w:r>
          <w:r>
            <w:t>1</w:t>
          </w:r>
          <w:r>
            <w:fldChar w:fldCharType="end"/>
          </w:r>
          <w:r>
            <w:fldChar w:fldCharType="end"/>
          </w:r>
        </w:p>
        <w:p>
          <w:pPr>
            <w:pStyle w:val="16"/>
            <w:tabs>
              <w:tab w:val="right" w:leader="dot" w:pos="8306"/>
            </w:tabs>
          </w:pPr>
          <w:r>
            <w:fldChar w:fldCharType="begin"/>
          </w:r>
          <w:r>
            <w:instrText xml:space="preserve"> HYPERLINK \l _Toc23066 </w:instrText>
          </w:r>
          <w:r>
            <w:fldChar w:fldCharType="separate"/>
          </w:r>
          <w:r>
            <w:rPr>
              <w:rFonts w:hint="eastAsia" w:ascii="宋体" w:hAnsi="宋体" w:eastAsia="宋体" w:cs="宋体"/>
              <w:highlight w:val="none"/>
            </w:rPr>
            <w:t>1.1编制背景</w:t>
          </w:r>
          <w:r>
            <w:tab/>
          </w:r>
          <w:r>
            <w:fldChar w:fldCharType="begin"/>
          </w:r>
          <w:r>
            <w:instrText xml:space="preserve"> PAGEREF _Toc23066 \h </w:instrText>
          </w:r>
          <w:r>
            <w:fldChar w:fldCharType="separate"/>
          </w:r>
          <w:r>
            <w:t>1</w:t>
          </w:r>
          <w:r>
            <w:fldChar w:fldCharType="end"/>
          </w:r>
          <w:r>
            <w:fldChar w:fldCharType="end"/>
          </w:r>
        </w:p>
        <w:p>
          <w:pPr>
            <w:pStyle w:val="16"/>
            <w:tabs>
              <w:tab w:val="right" w:leader="dot" w:pos="8306"/>
            </w:tabs>
          </w:pPr>
          <w:r>
            <w:fldChar w:fldCharType="begin"/>
          </w:r>
          <w:r>
            <w:instrText xml:space="preserve"> HYPERLINK \l _Toc14515 </w:instrText>
          </w:r>
          <w:r>
            <w:fldChar w:fldCharType="separate"/>
          </w:r>
          <w:r>
            <w:rPr>
              <w:rFonts w:hint="eastAsia" w:ascii="宋体" w:hAnsi="宋体" w:eastAsia="宋体" w:cs="宋体"/>
              <w:highlight w:val="none"/>
            </w:rPr>
            <w:t>1.2</w:t>
          </w:r>
          <w:r>
            <w:rPr>
              <w:rFonts w:hint="eastAsia" w:ascii="宋体" w:hAnsi="宋体" w:eastAsia="宋体" w:cs="宋体"/>
              <w:highlight w:val="none"/>
              <w:lang w:eastAsia="zh-CN"/>
            </w:rPr>
            <w:t>工作</w:t>
          </w:r>
          <w:r>
            <w:rPr>
              <w:rFonts w:hint="eastAsia" w:ascii="宋体" w:hAnsi="宋体" w:eastAsia="宋体" w:cs="宋体"/>
              <w:highlight w:val="none"/>
            </w:rPr>
            <w:t>依据</w:t>
          </w:r>
          <w:r>
            <w:tab/>
          </w:r>
          <w:r>
            <w:fldChar w:fldCharType="begin"/>
          </w:r>
          <w:r>
            <w:instrText xml:space="preserve"> PAGEREF _Toc14515 \h </w:instrText>
          </w:r>
          <w:r>
            <w:fldChar w:fldCharType="separate"/>
          </w:r>
          <w:r>
            <w:t>3</w:t>
          </w:r>
          <w:r>
            <w:fldChar w:fldCharType="end"/>
          </w:r>
          <w:r>
            <w:fldChar w:fldCharType="end"/>
          </w:r>
        </w:p>
        <w:p>
          <w:pPr>
            <w:pStyle w:val="16"/>
            <w:tabs>
              <w:tab w:val="right" w:leader="dot" w:pos="8306"/>
            </w:tabs>
          </w:pPr>
          <w:r>
            <w:fldChar w:fldCharType="begin"/>
          </w:r>
          <w:r>
            <w:instrText xml:space="preserve"> HYPERLINK \l _Toc26799 </w:instrText>
          </w:r>
          <w:r>
            <w:fldChar w:fldCharType="separate"/>
          </w:r>
          <w:r>
            <w:rPr>
              <w:rFonts w:hint="eastAsia" w:ascii="宋体" w:hAnsi="宋体" w:eastAsia="宋体" w:cs="宋体"/>
              <w:highlight w:val="none"/>
              <w:lang w:val="en-US" w:eastAsia="zh-CN"/>
            </w:rPr>
            <w:t>1.3工作内容及技术路线</w:t>
          </w:r>
          <w:r>
            <w:tab/>
          </w:r>
          <w:r>
            <w:fldChar w:fldCharType="begin"/>
          </w:r>
          <w:r>
            <w:instrText xml:space="preserve"> PAGEREF _Toc26799 \h </w:instrText>
          </w:r>
          <w:r>
            <w:fldChar w:fldCharType="separate"/>
          </w:r>
          <w:r>
            <w:t>6</w:t>
          </w:r>
          <w:r>
            <w:fldChar w:fldCharType="end"/>
          </w:r>
          <w:r>
            <w:fldChar w:fldCharType="end"/>
          </w:r>
        </w:p>
        <w:p>
          <w:pPr>
            <w:pStyle w:val="15"/>
            <w:tabs>
              <w:tab w:val="right" w:leader="dot" w:pos="8306"/>
            </w:tabs>
          </w:pPr>
          <w:r>
            <w:fldChar w:fldCharType="begin"/>
          </w:r>
          <w:r>
            <w:instrText xml:space="preserve"> HYPERLINK \l _Toc32720 </w:instrText>
          </w:r>
          <w:r>
            <w:fldChar w:fldCharType="separate"/>
          </w:r>
          <w:r>
            <w:rPr>
              <w:rFonts w:hint="eastAsia" w:ascii="宋体" w:hAnsi="宋体" w:eastAsia="宋体" w:cs="宋体"/>
              <w:highlight w:val="none"/>
              <w:lang w:val="en-US" w:eastAsia="zh-CN"/>
            </w:rPr>
            <w:t>2.企业概况</w:t>
          </w:r>
          <w:r>
            <w:tab/>
          </w:r>
          <w:r>
            <w:fldChar w:fldCharType="begin"/>
          </w:r>
          <w:r>
            <w:instrText xml:space="preserve"> PAGEREF _Toc32720 \h </w:instrText>
          </w:r>
          <w:r>
            <w:fldChar w:fldCharType="separate"/>
          </w:r>
          <w:r>
            <w:t>9</w:t>
          </w:r>
          <w:r>
            <w:fldChar w:fldCharType="end"/>
          </w:r>
          <w:r>
            <w:fldChar w:fldCharType="end"/>
          </w:r>
        </w:p>
        <w:p>
          <w:pPr>
            <w:pStyle w:val="16"/>
            <w:tabs>
              <w:tab w:val="right" w:leader="dot" w:pos="8306"/>
            </w:tabs>
          </w:pPr>
          <w:r>
            <w:fldChar w:fldCharType="begin"/>
          </w:r>
          <w:r>
            <w:instrText xml:space="preserve"> HYPERLINK \l _Toc31248 </w:instrText>
          </w:r>
          <w:r>
            <w:fldChar w:fldCharType="separate"/>
          </w:r>
          <w:r>
            <w:rPr>
              <w:rFonts w:hint="eastAsia" w:ascii="宋体" w:hAnsi="宋体" w:eastAsia="宋体" w:cs="宋体"/>
              <w:highlight w:val="none"/>
              <w:lang w:val="en-US" w:eastAsia="zh-CN"/>
            </w:rPr>
            <w:t>2.1企业基本情况</w:t>
          </w:r>
          <w:r>
            <w:tab/>
          </w:r>
          <w:r>
            <w:fldChar w:fldCharType="begin"/>
          </w:r>
          <w:r>
            <w:instrText xml:space="preserve"> PAGEREF _Toc31248 \h </w:instrText>
          </w:r>
          <w:r>
            <w:fldChar w:fldCharType="separate"/>
          </w:r>
          <w:r>
            <w:t>9</w:t>
          </w:r>
          <w:r>
            <w:fldChar w:fldCharType="end"/>
          </w:r>
          <w:r>
            <w:fldChar w:fldCharType="end"/>
          </w:r>
        </w:p>
        <w:p>
          <w:pPr>
            <w:pStyle w:val="16"/>
            <w:tabs>
              <w:tab w:val="right" w:leader="dot" w:pos="8306"/>
            </w:tabs>
          </w:pPr>
          <w:r>
            <w:fldChar w:fldCharType="begin"/>
          </w:r>
          <w:r>
            <w:instrText xml:space="preserve"> HYPERLINK \l _Toc32090 </w:instrText>
          </w:r>
          <w:r>
            <w:fldChar w:fldCharType="separate"/>
          </w:r>
          <w:r>
            <w:rPr>
              <w:rFonts w:hint="eastAsia" w:ascii="宋体" w:hAnsi="宋体" w:eastAsia="宋体" w:cs="宋体"/>
              <w:highlight w:val="none"/>
              <w:lang w:val="en-US" w:eastAsia="zh-CN"/>
            </w:rPr>
            <w:t>2.2企业用地历史沿革</w:t>
          </w:r>
          <w:r>
            <w:tab/>
          </w:r>
          <w:r>
            <w:fldChar w:fldCharType="begin"/>
          </w:r>
          <w:r>
            <w:instrText xml:space="preserve"> PAGEREF _Toc32090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_Toc9097 </w:instrText>
          </w:r>
          <w:r>
            <w:fldChar w:fldCharType="separate"/>
          </w:r>
          <w:r>
            <w:rPr>
              <w:rFonts w:hint="eastAsia" w:ascii="宋体" w:hAnsi="宋体" w:eastAsia="宋体" w:cs="宋体"/>
              <w:bCs/>
              <w:kern w:val="2"/>
              <w:szCs w:val="32"/>
              <w:highlight w:val="none"/>
              <w:lang w:val="en-US" w:eastAsia="zh-CN" w:bidi="ar-SA"/>
            </w:rPr>
            <w:t>2.3企业用地已有的环境调查与监测信息</w:t>
          </w:r>
          <w:r>
            <w:tab/>
          </w:r>
          <w:r>
            <w:fldChar w:fldCharType="begin"/>
          </w:r>
          <w:r>
            <w:instrText xml:space="preserve"> PAGEREF _Toc9097 \h </w:instrText>
          </w:r>
          <w:r>
            <w:fldChar w:fldCharType="separate"/>
          </w:r>
          <w:r>
            <w:t>10</w:t>
          </w:r>
          <w:r>
            <w:fldChar w:fldCharType="end"/>
          </w:r>
          <w:r>
            <w:fldChar w:fldCharType="end"/>
          </w:r>
        </w:p>
        <w:p>
          <w:pPr>
            <w:pStyle w:val="15"/>
            <w:tabs>
              <w:tab w:val="right" w:leader="dot" w:pos="8306"/>
            </w:tabs>
          </w:pPr>
          <w:r>
            <w:fldChar w:fldCharType="begin"/>
          </w:r>
          <w:r>
            <w:instrText xml:space="preserve"> HYPERLINK \l _Toc20039 </w:instrText>
          </w:r>
          <w:r>
            <w:fldChar w:fldCharType="separate"/>
          </w:r>
          <w:r>
            <w:rPr>
              <w:rFonts w:hint="eastAsia" w:ascii="宋体" w:hAnsi="宋体" w:eastAsia="宋体" w:cs="宋体"/>
              <w:lang w:val="en-US" w:eastAsia="zh-CN"/>
            </w:rPr>
            <w:t>3地勘资料</w:t>
          </w:r>
          <w:r>
            <w:tab/>
          </w:r>
          <w:r>
            <w:fldChar w:fldCharType="begin"/>
          </w:r>
          <w:r>
            <w:instrText xml:space="preserve"> PAGEREF _Toc20039 \h </w:instrText>
          </w:r>
          <w:r>
            <w:fldChar w:fldCharType="separate"/>
          </w:r>
          <w:r>
            <w:t>11</w:t>
          </w:r>
          <w:r>
            <w:fldChar w:fldCharType="end"/>
          </w:r>
          <w:r>
            <w:fldChar w:fldCharType="end"/>
          </w:r>
        </w:p>
        <w:p>
          <w:pPr>
            <w:pStyle w:val="16"/>
            <w:tabs>
              <w:tab w:val="right" w:leader="dot" w:pos="8306"/>
            </w:tabs>
          </w:pPr>
          <w:r>
            <w:fldChar w:fldCharType="begin"/>
          </w:r>
          <w:r>
            <w:instrText xml:space="preserve"> HYPERLINK \l _Toc11741 </w:instrText>
          </w:r>
          <w:r>
            <w:fldChar w:fldCharType="separate"/>
          </w:r>
          <w:r>
            <w:rPr>
              <w:rFonts w:hint="eastAsia" w:ascii="宋体" w:hAnsi="宋体" w:eastAsia="宋体" w:cs="宋体"/>
              <w:szCs w:val="28"/>
              <w:lang w:val="en-US" w:eastAsia="zh-CN"/>
            </w:rPr>
            <w:t>3.1地质信息</w:t>
          </w:r>
          <w:r>
            <w:tab/>
          </w:r>
          <w:r>
            <w:fldChar w:fldCharType="begin"/>
          </w:r>
          <w:r>
            <w:instrText xml:space="preserve"> PAGEREF _Toc11741 \h </w:instrText>
          </w:r>
          <w:r>
            <w:fldChar w:fldCharType="separate"/>
          </w:r>
          <w:r>
            <w:t>11</w:t>
          </w:r>
          <w:r>
            <w:fldChar w:fldCharType="end"/>
          </w:r>
          <w:r>
            <w:fldChar w:fldCharType="end"/>
          </w:r>
        </w:p>
        <w:p>
          <w:pPr>
            <w:pStyle w:val="16"/>
            <w:tabs>
              <w:tab w:val="right" w:leader="dot" w:pos="8306"/>
            </w:tabs>
          </w:pPr>
          <w:r>
            <w:fldChar w:fldCharType="begin"/>
          </w:r>
          <w:r>
            <w:instrText xml:space="preserve"> HYPERLINK \l _Toc2198 </w:instrText>
          </w:r>
          <w:r>
            <w:fldChar w:fldCharType="separate"/>
          </w:r>
          <w:r>
            <w:rPr>
              <w:rFonts w:hint="eastAsia" w:ascii="宋体" w:hAnsi="宋体" w:eastAsia="宋体" w:cs="宋体"/>
              <w:bCs/>
              <w:kern w:val="2"/>
              <w:szCs w:val="32"/>
              <w:highlight w:val="none"/>
              <w:lang w:val="en-US" w:eastAsia="zh-CN" w:bidi="ar-SA"/>
            </w:rPr>
            <w:t>3.2水文地质信息</w:t>
          </w:r>
          <w:r>
            <w:tab/>
          </w:r>
          <w:r>
            <w:fldChar w:fldCharType="begin"/>
          </w:r>
          <w:r>
            <w:instrText xml:space="preserve"> PAGEREF _Toc2198 \h </w:instrText>
          </w:r>
          <w:r>
            <w:fldChar w:fldCharType="separate"/>
          </w:r>
          <w:r>
            <w:t>13</w:t>
          </w:r>
          <w:r>
            <w:fldChar w:fldCharType="end"/>
          </w:r>
          <w:r>
            <w:fldChar w:fldCharType="end"/>
          </w:r>
        </w:p>
        <w:p>
          <w:pPr>
            <w:pStyle w:val="15"/>
            <w:tabs>
              <w:tab w:val="right" w:leader="dot" w:pos="8306"/>
            </w:tabs>
          </w:pPr>
          <w:r>
            <w:fldChar w:fldCharType="begin"/>
          </w:r>
          <w:r>
            <w:instrText xml:space="preserve"> HYPERLINK \l _Toc297 </w:instrText>
          </w:r>
          <w:r>
            <w:fldChar w:fldCharType="separate"/>
          </w:r>
          <w:r>
            <w:rPr>
              <w:rFonts w:hint="eastAsia" w:ascii="宋体" w:hAnsi="宋体" w:eastAsia="宋体" w:cs="宋体"/>
              <w:lang w:val="en-US" w:eastAsia="zh-CN"/>
            </w:rPr>
            <w:t>4企业生产及污染防治情况</w:t>
          </w:r>
          <w:r>
            <w:tab/>
          </w:r>
          <w:r>
            <w:fldChar w:fldCharType="begin"/>
          </w:r>
          <w:r>
            <w:instrText xml:space="preserve"> PAGEREF _Toc297 \h </w:instrText>
          </w:r>
          <w:r>
            <w:fldChar w:fldCharType="separate"/>
          </w:r>
          <w:r>
            <w:t>13</w:t>
          </w:r>
          <w:r>
            <w:fldChar w:fldCharType="end"/>
          </w:r>
          <w:r>
            <w:fldChar w:fldCharType="end"/>
          </w:r>
        </w:p>
        <w:p>
          <w:pPr>
            <w:pStyle w:val="16"/>
            <w:tabs>
              <w:tab w:val="right" w:leader="dot" w:pos="8306"/>
            </w:tabs>
          </w:pPr>
          <w:r>
            <w:fldChar w:fldCharType="begin"/>
          </w:r>
          <w:r>
            <w:instrText xml:space="preserve"> HYPERLINK \l _Toc23977 </w:instrText>
          </w:r>
          <w:r>
            <w:fldChar w:fldCharType="separate"/>
          </w:r>
          <w:r>
            <w:rPr>
              <w:rFonts w:hint="eastAsia" w:ascii="宋体" w:hAnsi="宋体" w:eastAsia="宋体" w:cs="宋体"/>
              <w:bCs/>
              <w:kern w:val="2"/>
              <w:szCs w:val="32"/>
              <w:lang w:val="en-US" w:eastAsia="zh-CN" w:bidi="ar-SA"/>
            </w:rPr>
            <w:t>4.1企业生产概况</w:t>
          </w:r>
          <w:r>
            <w:tab/>
          </w:r>
          <w:r>
            <w:fldChar w:fldCharType="begin"/>
          </w:r>
          <w:r>
            <w:instrText xml:space="preserve"> PAGEREF _Toc23977 \h </w:instrText>
          </w:r>
          <w:r>
            <w:fldChar w:fldCharType="separate"/>
          </w:r>
          <w:r>
            <w:t>13</w:t>
          </w:r>
          <w:r>
            <w:fldChar w:fldCharType="end"/>
          </w:r>
          <w:r>
            <w:fldChar w:fldCharType="end"/>
          </w:r>
        </w:p>
        <w:p>
          <w:pPr>
            <w:pStyle w:val="16"/>
            <w:tabs>
              <w:tab w:val="right" w:leader="dot" w:pos="8306"/>
            </w:tabs>
          </w:pPr>
          <w:r>
            <w:fldChar w:fldCharType="begin"/>
          </w:r>
          <w:r>
            <w:instrText xml:space="preserve"> HYPERLINK \l _Toc5168 </w:instrText>
          </w:r>
          <w:r>
            <w:fldChar w:fldCharType="separate"/>
          </w:r>
          <w:r>
            <w:rPr>
              <w:rFonts w:hint="eastAsia" w:ascii="宋体" w:hAnsi="宋体" w:eastAsia="宋体" w:cs="宋体"/>
              <w:bCs/>
              <w:kern w:val="2"/>
              <w:szCs w:val="32"/>
              <w:lang w:val="en-US" w:eastAsia="zh-CN" w:bidi="ar-SA"/>
            </w:rPr>
            <w:t>4.2企业生产工艺及产排污环节</w:t>
          </w:r>
          <w:r>
            <w:tab/>
          </w:r>
          <w:r>
            <w:fldChar w:fldCharType="begin"/>
          </w:r>
          <w:r>
            <w:instrText xml:space="preserve"> PAGEREF _Toc5168 \h </w:instrText>
          </w:r>
          <w:r>
            <w:fldChar w:fldCharType="separate"/>
          </w:r>
          <w:r>
            <w:t>15</w:t>
          </w:r>
          <w:r>
            <w:fldChar w:fldCharType="end"/>
          </w:r>
          <w:r>
            <w:fldChar w:fldCharType="end"/>
          </w:r>
        </w:p>
        <w:p>
          <w:pPr>
            <w:pStyle w:val="16"/>
            <w:tabs>
              <w:tab w:val="right" w:leader="dot" w:pos="8306"/>
            </w:tabs>
          </w:pPr>
          <w:r>
            <w:fldChar w:fldCharType="begin"/>
          </w:r>
          <w:r>
            <w:instrText xml:space="preserve"> HYPERLINK \l _Toc28787 </w:instrText>
          </w:r>
          <w:r>
            <w:fldChar w:fldCharType="separate"/>
          </w:r>
          <w:r>
            <w:rPr>
              <w:rFonts w:hint="eastAsia" w:ascii="宋体" w:hAnsi="宋体" w:eastAsia="宋体" w:cs="宋体"/>
              <w:bCs/>
              <w:kern w:val="2"/>
              <w:szCs w:val="32"/>
              <w:lang w:val="en-US" w:eastAsia="zh-CN" w:bidi="ar-SA"/>
            </w:rPr>
            <w:t>4.3企业总平面布置</w:t>
          </w:r>
          <w:r>
            <w:tab/>
          </w:r>
          <w:r>
            <w:fldChar w:fldCharType="begin"/>
          </w:r>
          <w:r>
            <w:instrText xml:space="preserve"> PAGEREF _Toc28787 \h </w:instrText>
          </w:r>
          <w:r>
            <w:fldChar w:fldCharType="separate"/>
          </w:r>
          <w:r>
            <w:t>20</w:t>
          </w:r>
          <w:r>
            <w:fldChar w:fldCharType="end"/>
          </w:r>
          <w:r>
            <w:fldChar w:fldCharType="end"/>
          </w:r>
        </w:p>
        <w:p>
          <w:pPr>
            <w:pStyle w:val="16"/>
            <w:tabs>
              <w:tab w:val="right" w:leader="dot" w:pos="8306"/>
            </w:tabs>
          </w:pPr>
          <w:r>
            <w:fldChar w:fldCharType="begin"/>
          </w:r>
          <w:r>
            <w:instrText xml:space="preserve"> HYPERLINK \l _Toc28755 </w:instrText>
          </w:r>
          <w:r>
            <w:fldChar w:fldCharType="separate"/>
          </w:r>
          <w:r>
            <w:rPr>
              <w:rFonts w:hint="eastAsia" w:ascii="宋体" w:hAnsi="宋体" w:eastAsia="宋体" w:cs="宋体"/>
              <w:bCs/>
              <w:kern w:val="2"/>
              <w:szCs w:val="32"/>
              <w:lang w:val="en-US" w:eastAsia="zh-CN" w:bidi="ar-SA"/>
            </w:rPr>
            <w:t>4.4各重点场所、重点设施设备情况</w:t>
          </w:r>
          <w:r>
            <w:tab/>
          </w:r>
          <w:r>
            <w:fldChar w:fldCharType="begin"/>
          </w:r>
          <w:r>
            <w:instrText xml:space="preserve"> PAGEREF _Toc28755 \h </w:instrText>
          </w:r>
          <w:r>
            <w:fldChar w:fldCharType="separate"/>
          </w:r>
          <w:r>
            <w:t>20</w:t>
          </w:r>
          <w:r>
            <w:fldChar w:fldCharType="end"/>
          </w:r>
          <w:r>
            <w:fldChar w:fldCharType="end"/>
          </w:r>
        </w:p>
        <w:p>
          <w:pPr>
            <w:pStyle w:val="15"/>
            <w:tabs>
              <w:tab w:val="right" w:leader="dot" w:pos="8306"/>
            </w:tabs>
          </w:pPr>
          <w:r>
            <w:fldChar w:fldCharType="begin"/>
          </w:r>
          <w:r>
            <w:instrText xml:space="preserve"> HYPERLINK \l _Toc13862 </w:instrText>
          </w:r>
          <w:r>
            <w:fldChar w:fldCharType="separate"/>
          </w:r>
          <w:r>
            <w:rPr>
              <w:rFonts w:hint="eastAsia" w:ascii="宋体" w:hAnsi="宋体" w:eastAsia="宋体" w:cs="宋体"/>
              <w:bCs/>
              <w:kern w:val="2"/>
              <w:szCs w:val="32"/>
              <w:lang w:val="en-US" w:eastAsia="zh-CN" w:bidi="zh-CN"/>
            </w:rPr>
            <w:t>5重点监测单元识别与分类</w:t>
          </w:r>
          <w:r>
            <w:tab/>
          </w:r>
          <w:r>
            <w:fldChar w:fldCharType="begin"/>
          </w:r>
          <w:r>
            <w:instrText xml:space="preserve"> PAGEREF _Toc13862 \h </w:instrText>
          </w:r>
          <w:r>
            <w:fldChar w:fldCharType="separate"/>
          </w:r>
          <w:r>
            <w:t>21</w:t>
          </w:r>
          <w:r>
            <w:fldChar w:fldCharType="end"/>
          </w:r>
          <w:r>
            <w:fldChar w:fldCharType="end"/>
          </w:r>
        </w:p>
        <w:p>
          <w:pPr>
            <w:pStyle w:val="16"/>
            <w:tabs>
              <w:tab w:val="right" w:leader="dot" w:pos="8306"/>
            </w:tabs>
          </w:pPr>
          <w:r>
            <w:fldChar w:fldCharType="begin"/>
          </w:r>
          <w:r>
            <w:instrText xml:space="preserve"> HYPERLINK \l _Toc18951 </w:instrText>
          </w:r>
          <w:r>
            <w:fldChar w:fldCharType="separate"/>
          </w:r>
          <w:r>
            <w:rPr>
              <w:rFonts w:hint="eastAsia" w:ascii="宋体" w:hAnsi="宋体" w:eastAsia="宋体" w:cs="宋体"/>
              <w:bCs/>
              <w:kern w:val="2"/>
              <w:szCs w:val="32"/>
              <w:lang w:val="en-US" w:eastAsia="zh-CN" w:bidi="ar-SA"/>
            </w:rPr>
            <w:t>5.1重点监测单元识别</w:t>
          </w:r>
          <w:r>
            <w:tab/>
          </w:r>
          <w:r>
            <w:fldChar w:fldCharType="begin"/>
          </w:r>
          <w:r>
            <w:instrText xml:space="preserve"> PAGEREF _Toc18951 \h </w:instrText>
          </w:r>
          <w:r>
            <w:fldChar w:fldCharType="separate"/>
          </w:r>
          <w:r>
            <w:t>21</w:t>
          </w:r>
          <w:r>
            <w:fldChar w:fldCharType="end"/>
          </w:r>
          <w:r>
            <w:fldChar w:fldCharType="end"/>
          </w:r>
        </w:p>
        <w:p>
          <w:pPr>
            <w:pStyle w:val="16"/>
            <w:tabs>
              <w:tab w:val="right" w:leader="dot" w:pos="8306"/>
            </w:tabs>
          </w:pPr>
          <w:r>
            <w:fldChar w:fldCharType="begin"/>
          </w:r>
          <w:r>
            <w:instrText xml:space="preserve"> HYPERLINK \l _Toc32067 </w:instrText>
          </w:r>
          <w:r>
            <w:fldChar w:fldCharType="separate"/>
          </w:r>
          <w:r>
            <w:rPr>
              <w:rFonts w:hint="eastAsia" w:ascii="宋体" w:hAnsi="宋体" w:eastAsia="宋体" w:cs="宋体"/>
              <w:bCs/>
              <w:kern w:val="2"/>
              <w:szCs w:val="32"/>
              <w:lang w:val="en-US" w:eastAsia="zh-CN" w:bidi="ar-SA"/>
            </w:rPr>
            <w:t>5.2识别/分类结果及原因</w:t>
          </w:r>
          <w:r>
            <w:tab/>
          </w:r>
          <w:r>
            <w:fldChar w:fldCharType="begin"/>
          </w:r>
          <w:r>
            <w:instrText xml:space="preserve"> PAGEREF _Toc32067 \h </w:instrText>
          </w:r>
          <w:r>
            <w:fldChar w:fldCharType="separate"/>
          </w:r>
          <w:r>
            <w:t>22</w:t>
          </w:r>
          <w:r>
            <w:fldChar w:fldCharType="end"/>
          </w:r>
          <w:r>
            <w:fldChar w:fldCharType="end"/>
          </w:r>
        </w:p>
        <w:p>
          <w:pPr>
            <w:pStyle w:val="16"/>
            <w:tabs>
              <w:tab w:val="right" w:leader="dot" w:pos="8306"/>
            </w:tabs>
          </w:pPr>
          <w:r>
            <w:fldChar w:fldCharType="begin"/>
          </w:r>
          <w:r>
            <w:instrText xml:space="preserve"> HYPERLINK \l _Toc31267 </w:instrText>
          </w:r>
          <w:r>
            <w:fldChar w:fldCharType="separate"/>
          </w:r>
          <w:r>
            <w:rPr>
              <w:rFonts w:hint="eastAsia" w:ascii="宋体" w:hAnsi="宋体" w:eastAsia="宋体" w:cs="宋体"/>
              <w:bCs/>
              <w:kern w:val="2"/>
              <w:szCs w:val="32"/>
              <w:lang w:val="en-US" w:eastAsia="zh-CN" w:bidi="ar-SA"/>
            </w:rPr>
            <w:t>5.3关注污染物</w:t>
          </w:r>
          <w:r>
            <w:tab/>
          </w:r>
          <w:r>
            <w:fldChar w:fldCharType="begin"/>
          </w:r>
          <w:r>
            <w:instrText xml:space="preserve"> PAGEREF _Toc31267 \h </w:instrText>
          </w:r>
          <w:r>
            <w:fldChar w:fldCharType="separate"/>
          </w:r>
          <w:r>
            <w:t>24</w:t>
          </w:r>
          <w:r>
            <w:fldChar w:fldCharType="end"/>
          </w:r>
          <w:r>
            <w:fldChar w:fldCharType="end"/>
          </w:r>
        </w:p>
        <w:p>
          <w:pPr>
            <w:pStyle w:val="15"/>
            <w:tabs>
              <w:tab w:val="right" w:leader="dot" w:pos="8306"/>
            </w:tabs>
          </w:pPr>
          <w:r>
            <w:fldChar w:fldCharType="begin"/>
          </w:r>
          <w:r>
            <w:instrText xml:space="preserve"> HYPERLINK \l _Toc22073 </w:instrText>
          </w:r>
          <w:r>
            <w:fldChar w:fldCharType="separate"/>
          </w:r>
          <w:r>
            <w:rPr>
              <w:rFonts w:hint="eastAsia" w:ascii="宋体" w:hAnsi="宋体" w:eastAsia="宋体" w:cs="宋体"/>
              <w:lang w:val="en-US" w:eastAsia="zh-CN"/>
            </w:rPr>
            <w:t>6监测点位布设方案</w:t>
          </w:r>
          <w:r>
            <w:tab/>
          </w:r>
          <w:r>
            <w:fldChar w:fldCharType="begin"/>
          </w:r>
          <w:r>
            <w:instrText xml:space="preserve"> PAGEREF _Toc22073 \h </w:instrText>
          </w:r>
          <w:r>
            <w:fldChar w:fldCharType="separate"/>
          </w:r>
          <w:r>
            <w:t>24</w:t>
          </w:r>
          <w:r>
            <w:fldChar w:fldCharType="end"/>
          </w:r>
          <w:r>
            <w:fldChar w:fldCharType="end"/>
          </w:r>
        </w:p>
        <w:p>
          <w:pPr>
            <w:pStyle w:val="16"/>
            <w:tabs>
              <w:tab w:val="right" w:leader="dot" w:pos="8306"/>
            </w:tabs>
          </w:pPr>
          <w:r>
            <w:fldChar w:fldCharType="begin"/>
          </w:r>
          <w:r>
            <w:instrText xml:space="preserve"> HYPERLINK \l _Toc18050 </w:instrText>
          </w:r>
          <w:r>
            <w:fldChar w:fldCharType="separate"/>
          </w:r>
          <w:r>
            <w:rPr>
              <w:rFonts w:hint="eastAsia" w:ascii="宋体" w:hAnsi="宋体" w:eastAsia="宋体" w:cs="宋体"/>
              <w:bCs/>
              <w:kern w:val="2"/>
              <w:szCs w:val="32"/>
              <w:lang w:val="en-US" w:eastAsia="zh-CN" w:bidi="ar-SA"/>
            </w:rPr>
            <w:t>6.1重点单元及相应监测点/监测井的布设位置</w:t>
          </w:r>
          <w:r>
            <w:tab/>
          </w:r>
          <w:r>
            <w:fldChar w:fldCharType="begin"/>
          </w:r>
          <w:r>
            <w:instrText xml:space="preserve"> PAGEREF _Toc18050 \h </w:instrText>
          </w:r>
          <w:r>
            <w:fldChar w:fldCharType="separate"/>
          </w:r>
          <w:r>
            <w:t>24</w:t>
          </w:r>
          <w:r>
            <w:fldChar w:fldCharType="end"/>
          </w:r>
          <w:r>
            <w:fldChar w:fldCharType="end"/>
          </w:r>
        </w:p>
        <w:p>
          <w:pPr>
            <w:pStyle w:val="16"/>
            <w:tabs>
              <w:tab w:val="right" w:leader="dot" w:pos="8306"/>
            </w:tabs>
          </w:pPr>
          <w:r>
            <w:fldChar w:fldCharType="begin"/>
          </w:r>
          <w:r>
            <w:instrText xml:space="preserve"> HYPERLINK \l _Toc12795 </w:instrText>
          </w:r>
          <w:r>
            <w:fldChar w:fldCharType="separate"/>
          </w:r>
          <w:r>
            <w:rPr>
              <w:rFonts w:hint="eastAsia" w:ascii="宋体" w:hAnsi="宋体" w:eastAsia="宋体" w:cs="宋体"/>
              <w:bCs/>
              <w:kern w:val="2"/>
              <w:szCs w:val="32"/>
              <w:lang w:val="en-US" w:eastAsia="zh-CN" w:bidi="ar-SA"/>
            </w:rPr>
            <w:t>6.2监测点位布设</w:t>
          </w:r>
          <w:r>
            <w:tab/>
          </w:r>
          <w:r>
            <w:fldChar w:fldCharType="begin"/>
          </w:r>
          <w:r>
            <w:instrText xml:space="preserve"> PAGEREF _Toc12795 \h </w:instrText>
          </w:r>
          <w:r>
            <w:fldChar w:fldCharType="separate"/>
          </w:r>
          <w:r>
            <w:t>26</w:t>
          </w:r>
          <w:r>
            <w:fldChar w:fldCharType="end"/>
          </w:r>
          <w:r>
            <w:fldChar w:fldCharType="end"/>
          </w:r>
        </w:p>
        <w:p>
          <w:pPr>
            <w:pStyle w:val="16"/>
            <w:tabs>
              <w:tab w:val="right" w:leader="dot" w:pos="8306"/>
            </w:tabs>
          </w:pPr>
          <w:r>
            <w:fldChar w:fldCharType="begin"/>
          </w:r>
          <w:r>
            <w:instrText xml:space="preserve"> HYPERLINK \l _Toc7367 </w:instrText>
          </w:r>
          <w:r>
            <w:fldChar w:fldCharType="separate"/>
          </w:r>
          <w:r>
            <w:rPr>
              <w:rFonts w:hint="eastAsia" w:ascii="宋体" w:hAnsi="宋体" w:eastAsia="宋体" w:cs="宋体"/>
              <w:bCs/>
              <w:kern w:val="2"/>
              <w:szCs w:val="32"/>
              <w:highlight w:val="none"/>
              <w:lang w:val="en-US" w:eastAsia="zh-CN" w:bidi="ar-SA"/>
            </w:rPr>
            <w:t>6.3各点位监测指标及选取原因</w:t>
          </w:r>
          <w:r>
            <w:tab/>
          </w:r>
          <w:r>
            <w:fldChar w:fldCharType="begin"/>
          </w:r>
          <w:r>
            <w:instrText xml:space="preserve"> PAGEREF _Toc7367 \h </w:instrText>
          </w:r>
          <w:r>
            <w:fldChar w:fldCharType="separate"/>
          </w:r>
          <w:r>
            <w:t>26</w:t>
          </w:r>
          <w:r>
            <w:fldChar w:fldCharType="end"/>
          </w:r>
          <w:r>
            <w:fldChar w:fldCharType="end"/>
          </w:r>
        </w:p>
        <w:p>
          <w:pPr>
            <w:pStyle w:val="16"/>
            <w:tabs>
              <w:tab w:val="right" w:leader="dot" w:pos="8306"/>
            </w:tabs>
          </w:pPr>
          <w:r>
            <w:fldChar w:fldCharType="begin"/>
          </w:r>
          <w:r>
            <w:instrText xml:space="preserve"> HYPERLINK \l _Toc28205 </w:instrText>
          </w:r>
          <w:r>
            <w:fldChar w:fldCharType="separate"/>
          </w:r>
          <w:r>
            <w:rPr>
              <w:rFonts w:hint="eastAsia" w:ascii="宋体" w:hAnsi="宋体" w:eastAsia="宋体" w:cs="宋体"/>
              <w:bCs/>
              <w:kern w:val="2"/>
              <w:szCs w:val="28"/>
              <w:highlight w:val="none"/>
              <w:lang w:val="en-US" w:eastAsia="zh-CN" w:bidi="ar-SA"/>
            </w:rPr>
            <w:t>6.4监测频次</w:t>
          </w:r>
          <w:r>
            <w:tab/>
          </w:r>
          <w:r>
            <w:fldChar w:fldCharType="begin"/>
          </w:r>
          <w:r>
            <w:instrText xml:space="preserve"> PAGEREF _Toc28205 \h </w:instrText>
          </w:r>
          <w:r>
            <w:fldChar w:fldCharType="separate"/>
          </w:r>
          <w:r>
            <w:t>27</w:t>
          </w:r>
          <w:r>
            <w:fldChar w:fldCharType="end"/>
          </w:r>
          <w:r>
            <w:fldChar w:fldCharType="end"/>
          </w:r>
        </w:p>
        <w:p>
          <w:pPr>
            <w:pStyle w:val="15"/>
            <w:tabs>
              <w:tab w:val="right" w:leader="dot" w:pos="8306"/>
            </w:tabs>
          </w:pPr>
          <w:r>
            <w:fldChar w:fldCharType="begin"/>
          </w:r>
          <w:r>
            <w:instrText xml:space="preserve"> HYPERLINK \l _Toc14415 </w:instrText>
          </w:r>
          <w:r>
            <w:fldChar w:fldCharType="separate"/>
          </w:r>
          <w:r>
            <w:rPr>
              <w:rFonts w:hint="eastAsia" w:ascii="宋体" w:hAnsi="宋体" w:eastAsia="宋体" w:cs="宋体"/>
              <w:lang w:val="en-US" w:eastAsia="zh-CN"/>
            </w:rPr>
            <w:t>7样品采集、保存、流转与制备</w:t>
          </w:r>
          <w:r>
            <w:tab/>
          </w:r>
          <w:r>
            <w:fldChar w:fldCharType="begin"/>
          </w:r>
          <w:r>
            <w:instrText xml:space="preserve"> PAGEREF _Toc14415 \h </w:instrText>
          </w:r>
          <w:r>
            <w:fldChar w:fldCharType="separate"/>
          </w:r>
          <w:r>
            <w:t>27</w:t>
          </w:r>
          <w:r>
            <w:fldChar w:fldCharType="end"/>
          </w:r>
          <w:r>
            <w:fldChar w:fldCharType="end"/>
          </w:r>
        </w:p>
        <w:p>
          <w:pPr>
            <w:pStyle w:val="16"/>
            <w:tabs>
              <w:tab w:val="right" w:leader="dot" w:pos="8306"/>
            </w:tabs>
          </w:pPr>
          <w:r>
            <w:fldChar w:fldCharType="begin"/>
          </w:r>
          <w:r>
            <w:instrText xml:space="preserve"> HYPERLINK \l _Toc988 </w:instrText>
          </w:r>
          <w:r>
            <w:fldChar w:fldCharType="separate"/>
          </w:r>
          <w:r>
            <w:rPr>
              <w:rFonts w:hint="eastAsia" w:ascii="宋体" w:hAnsi="宋体" w:eastAsia="宋体" w:cs="宋体"/>
              <w:bCs/>
              <w:kern w:val="2"/>
              <w:szCs w:val="32"/>
              <w:lang w:val="en-US" w:eastAsia="zh-CN" w:bidi="ar-SA"/>
            </w:rPr>
            <w:t>7.1现场采样位置、数量和深度</w:t>
          </w:r>
          <w:r>
            <w:tab/>
          </w:r>
          <w:r>
            <w:fldChar w:fldCharType="begin"/>
          </w:r>
          <w:r>
            <w:instrText xml:space="preserve"> PAGEREF _Toc988 \h </w:instrText>
          </w:r>
          <w:r>
            <w:fldChar w:fldCharType="separate"/>
          </w:r>
          <w:r>
            <w:t>27</w:t>
          </w:r>
          <w:r>
            <w:fldChar w:fldCharType="end"/>
          </w:r>
          <w:r>
            <w:fldChar w:fldCharType="end"/>
          </w:r>
        </w:p>
        <w:p>
          <w:pPr>
            <w:pStyle w:val="16"/>
            <w:tabs>
              <w:tab w:val="right" w:leader="dot" w:pos="8306"/>
            </w:tabs>
          </w:pPr>
          <w:r>
            <w:fldChar w:fldCharType="begin"/>
          </w:r>
          <w:r>
            <w:instrText xml:space="preserve"> HYPERLINK \l _Toc13453 </w:instrText>
          </w:r>
          <w:r>
            <w:fldChar w:fldCharType="separate"/>
          </w:r>
          <w:r>
            <w:rPr>
              <w:rFonts w:hint="eastAsia" w:ascii="宋体" w:hAnsi="宋体" w:eastAsia="宋体" w:cs="宋体"/>
              <w:bCs/>
              <w:kern w:val="2"/>
              <w:szCs w:val="32"/>
              <w:lang w:val="en-US" w:eastAsia="zh-CN" w:bidi="ar-SA"/>
            </w:rPr>
            <w:t>7.2现场采样工作流程</w:t>
          </w:r>
          <w:r>
            <w:tab/>
          </w:r>
          <w:r>
            <w:fldChar w:fldCharType="begin"/>
          </w:r>
          <w:r>
            <w:instrText xml:space="preserve"> PAGEREF _Toc13453 \h </w:instrText>
          </w:r>
          <w:r>
            <w:fldChar w:fldCharType="separate"/>
          </w:r>
          <w:r>
            <w:t>28</w:t>
          </w:r>
          <w:r>
            <w:fldChar w:fldCharType="end"/>
          </w:r>
          <w:r>
            <w:fldChar w:fldCharType="end"/>
          </w:r>
        </w:p>
        <w:p>
          <w:pPr>
            <w:pStyle w:val="15"/>
            <w:tabs>
              <w:tab w:val="right" w:leader="dot" w:pos="8306"/>
            </w:tabs>
          </w:pPr>
          <w:r>
            <w:fldChar w:fldCharType="begin"/>
          </w:r>
          <w:r>
            <w:instrText xml:space="preserve"> HYPERLINK \l _Toc29919 </w:instrText>
          </w:r>
          <w:r>
            <w:fldChar w:fldCharType="separate"/>
          </w:r>
          <w:r>
            <w:rPr>
              <w:rFonts w:hint="eastAsia" w:ascii="宋体" w:hAnsi="宋体" w:eastAsia="宋体" w:cs="宋体"/>
              <w:lang w:val="en-US" w:eastAsia="zh-CN"/>
            </w:rPr>
            <w:t>8监测结果分析</w:t>
          </w:r>
          <w:r>
            <w:tab/>
          </w:r>
          <w:r>
            <w:fldChar w:fldCharType="begin"/>
          </w:r>
          <w:r>
            <w:instrText xml:space="preserve"> PAGEREF _Toc29919 \h </w:instrText>
          </w:r>
          <w:r>
            <w:fldChar w:fldCharType="separate"/>
          </w:r>
          <w:r>
            <w:t>35</w:t>
          </w:r>
          <w:r>
            <w:fldChar w:fldCharType="end"/>
          </w:r>
          <w:r>
            <w:fldChar w:fldCharType="end"/>
          </w:r>
        </w:p>
        <w:p>
          <w:pPr>
            <w:pStyle w:val="16"/>
            <w:tabs>
              <w:tab w:val="right" w:leader="dot" w:pos="8306"/>
            </w:tabs>
          </w:pPr>
          <w:r>
            <w:fldChar w:fldCharType="begin"/>
          </w:r>
          <w:r>
            <w:instrText xml:space="preserve"> HYPERLINK \l _Toc22373 </w:instrText>
          </w:r>
          <w:r>
            <w:fldChar w:fldCharType="separate"/>
          </w:r>
          <w:r>
            <w:rPr>
              <w:rFonts w:hint="eastAsia" w:ascii="宋体" w:hAnsi="宋体" w:eastAsia="宋体" w:cs="宋体"/>
              <w:bCs/>
              <w:kern w:val="2"/>
              <w:szCs w:val="32"/>
              <w:lang w:val="en-US" w:eastAsia="zh-CN" w:bidi="ar-SA"/>
            </w:rPr>
            <w:t>8.1</w:t>
          </w:r>
          <w:r>
            <w:rPr>
              <w:rFonts w:hint="eastAsia" w:ascii="宋体" w:hAnsi="宋体" w:eastAsia="宋体" w:cs="宋体"/>
              <w:bCs/>
              <w:kern w:val="2"/>
              <w:szCs w:val="32"/>
              <w:highlight w:val="none"/>
              <w:lang w:val="en-US" w:eastAsia="zh-CN" w:bidi="ar-SA"/>
            </w:rPr>
            <w:t>执行及参考标准</w:t>
          </w:r>
          <w:r>
            <w:tab/>
          </w:r>
          <w:r>
            <w:fldChar w:fldCharType="begin"/>
          </w:r>
          <w:r>
            <w:instrText xml:space="preserve"> PAGEREF _Toc22373 \h </w:instrText>
          </w:r>
          <w:r>
            <w:fldChar w:fldCharType="separate"/>
          </w:r>
          <w:r>
            <w:t>35</w:t>
          </w:r>
          <w:r>
            <w:fldChar w:fldCharType="end"/>
          </w:r>
          <w:r>
            <w:fldChar w:fldCharType="end"/>
          </w:r>
        </w:p>
        <w:p>
          <w:pPr>
            <w:pStyle w:val="16"/>
            <w:tabs>
              <w:tab w:val="right" w:leader="dot" w:pos="8306"/>
            </w:tabs>
          </w:pPr>
          <w:r>
            <w:fldChar w:fldCharType="begin"/>
          </w:r>
          <w:r>
            <w:instrText xml:space="preserve"> HYPERLINK \l _Toc13650 </w:instrText>
          </w:r>
          <w:r>
            <w:fldChar w:fldCharType="separate"/>
          </w:r>
          <w:r>
            <w:rPr>
              <w:rFonts w:hint="eastAsia" w:ascii="宋体" w:hAnsi="宋体" w:eastAsia="宋体" w:cs="宋体"/>
              <w:bCs/>
              <w:kern w:val="2"/>
              <w:szCs w:val="32"/>
              <w:lang w:val="en-US" w:eastAsia="zh-CN" w:bidi="ar-SA"/>
            </w:rPr>
            <w:t>8.2监测结果</w:t>
          </w:r>
          <w:r>
            <w:tab/>
          </w:r>
          <w:r>
            <w:fldChar w:fldCharType="begin"/>
          </w:r>
          <w:r>
            <w:instrText xml:space="preserve"> PAGEREF _Toc13650 \h </w:instrText>
          </w:r>
          <w:r>
            <w:fldChar w:fldCharType="separate"/>
          </w:r>
          <w:r>
            <w:t>38</w:t>
          </w:r>
          <w:r>
            <w:fldChar w:fldCharType="end"/>
          </w:r>
          <w:r>
            <w:fldChar w:fldCharType="end"/>
          </w:r>
        </w:p>
        <w:p>
          <w:pPr>
            <w:pStyle w:val="15"/>
            <w:tabs>
              <w:tab w:val="right" w:leader="dot" w:pos="8306"/>
            </w:tabs>
          </w:pPr>
          <w:r>
            <w:fldChar w:fldCharType="begin"/>
          </w:r>
          <w:r>
            <w:instrText xml:space="preserve"> HYPERLINK \l _Toc31552 </w:instrText>
          </w:r>
          <w:r>
            <w:fldChar w:fldCharType="separate"/>
          </w:r>
          <w:r>
            <w:rPr>
              <w:rFonts w:hint="eastAsia" w:ascii="宋体" w:hAnsi="宋体" w:eastAsia="宋体" w:cs="宋体"/>
              <w:lang w:val="en-US" w:eastAsia="zh-CN"/>
            </w:rPr>
            <w:t>9质量保证与质量控制</w:t>
          </w:r>
          <w:r>
            <w:tab/>
          </w:r>
          <w:r>
            <w:fldChar w:fldCharType="begin"/>
          </w:r>
          <w:r>
            <w:instrText xml:space="preserve"> PAGEREF _Toc31552 \h </w:instrText>
          </w:r>
          <w:r>
            <w:fldChar w:fldCharType="separate"/>
          </w:r>
          <w:r>
            <w:t>45</w:t>
          </w:r>
          <w:r>
            <w:fldChar w:fldCharType="end"/>
          </w:r>
          <w:r>
            <w:fldChar w:fldCharType="end"/>
          </w:r>
        </w:p>
        <w:p>
          <w:pPr>
            <w:pStyle w:val="16"/>
            <w:tabs>
              <w:tab w:val="right" w:leader="dot" w:pos="8306"/>
            </w:tabs>
          </w:pPr>
          <w:r>
            <w:fldChar w:fldCharType="begin"/>
          </w:r>
          <w:r>
            <w:instrText xml:space="preserve"> HYPERLINK \l _Toc31173 </w:instrText>
          </w:r>
          <w:r>
            <w:fldChar w:fldCharType="separate"/>
          </w:r>
          <w:r>
            <w:rPr>
              <w:rFonts w:hint="eastAsia" w:ascii="宋体" w:hAnsi="宋体" w:eastAsia="宋体" w:cs="宋体"/>
              <w:bCs/>
              <w:kern w:val="2"/>
              <w:szCs w:val="32"/>
              <w:lang w:val="en-US" w:eastAsia="zh-CN" w:bidi="ar-SA"/>
            </w:rPr>
            <w:t>9.1自行监测质量体系</w:t>
          </w:r>
          <w:r>
            <w:tab/>
          </w:r>
          <w:r>
            <w:fldChar w:fldCharType="begin"/>
          </w:r>
          <w:r>
            <w:instrText xml:space="preserve"> PAGEREF _Toc31173 \h </w:instrText>
          </w:r>
          <w:r>
            <w:fldChar w:fldCharType="separate"/>
          </w:r>
          <w:r>
            <w:t>45</w:t>
          </w:r>
          <w:r>
            <w:fldChar w:fldCharType="end"/>
          </w:r>
          <w:r>
            <w:fldChar w:fldCharType="end"/>
          </w:r>
        </w:p>
        <w:p>
          <w:pPr>
            <w:pStyle w:val="16"/>
            <w:tabs>
              <w:tab w:val="right" w:leader="dot" w:pos="8306"/>
            </w:tabs>
          </w:pPr>
          <w:r>
            <w:fldChar w:fldCharType="begin"/>
          </w:r>
          <w:r>
            <w:instrText xml:space="preserve"> HYPERLINK \l _Toc32501 </w:instrText>
          </w:r>
          <w:r>
            <w:fldChar w:fldCharType="separate"/>
          </w:r>
          <w:r>
            <w:rPr>
              <w:rFonts w:hint="eastAsia" w:ascii="宋体" w:hAnsi="宋体" w:eastAsia="宋体" w:cs="宋体"/>
              <w:bCs/>
              <w:kern w:val="2"/>
              <w:szCs w:val="32"/>
              <w:lang w:val="en-US" w:eastAsia="zh-CN" w:bidi="ar-SA"/>
            </w:rPr>
            <w:t>9.2监测方案制定的质量保证与控制</w:t>
          </w:r>
          <w:r>
            <w:tab/>
          </w:r>
          <w:r>
            <w:fldChar w:fldCharType="begin"/>
          </w:r>
          <w:r>
            <w:instrText xml:space="preserve"> PAGEREF _Toc32501 \h </w:instrText>
          </w:r>
          <w:r>
            <w:fldChar w:fldCharType="separate"/>
          </w:r>
          <w:r>
            <w:t>45</w:t>
          </w:r>
          <w:r>
            <w:fldChar w:fldCharType="end"/>
          </w:r>
          <w:r>
            <w:fldChar w:fldCharType="end"/>
          </w:r>
        </w:p>
        <w:p>
          <w:pPr>
            <w:pStyle w:val="16"/>
            <w:tabs>
              <w:tab w:val="right" w:leader="dot" w:pos="8306"/>
            </w:tabs>
          </w:pPr>
          <w:r>
            <w:fldChar w:fldCharType="begin"/>
          </w:r>
          <w:r>
            <w:instrText xml:space="preserve"> HYPERLINK \l _Toc22556 </w:instrText>
          </w:r>
          <w:r>
            <w:fldChar w:fldCharType="separate"/>
          </w:r>
          <w:r>
            <w:rPr>
              <w:rFonts w:hint="eastAsia" w:ascii="宋体" w:hAnsi="宋体" w:eastAsia="宋体" w:cs="宋体"/>
              <w:bCs/>
              <w:kern w:val="2"/>
              <w:szCs w:val="32"/>
              <w:lang w:val="en-US" w:eastAsia="zh-CN" w:bidi="ar-SA"/>
            </w:rPr>
            <w:t>9.3样品采集、保存、流转、制备与分析的质量保证与控制</w:t>
          </w:r>
          <w:r>
            <w:tab/>
          </w:r>
          <w:r>
            <w:fldChar w:fldCharType="begin"/>
          </w:r>
          <w:r>
            <w:instrText xml:space="preserve"> PAGEREF _Toc22556 \h </w:instrText>
          </w:r>
          <w:r>
            <w:fldChar w:fldCharType="separate"/>
          </w:r>
          <w:r>
            <w:t>45</w:t>
          </w:r>
          <w:r>
            <w:fldChar w:fldCharType="end"/>
          </w:r>
          <w:r>
            <w:fldChar w:fldCharType="end"/>
          </w:r>
        </w:p>
        <w:p>
          <w:pPr>
            <w:pStyle w:val="15"/>
            <w:tabs>
              <w:tab w:val="right" w:leader="dot" w:pos="8306"/>
            </w:tabs>
          </w:pPr>
          <w:r>
            <w:fldChar w:fldCharType="begin"/>
          </w:r>
          <w:r>
            <w:instrText xml:space="preserve"> HYPERLINK \l _Toc4533 </w:instrText>
          </w:r>
          <w:r>
            <w:fldChar w:fldCharType="separate"/>
          </w:r>
          <w:r>
            <w:rPr>
              <w:rFonts w:hint="eastAsia" w:ascii="宋体" w:hAnsi="宋体" w:eastAsia="宋体" w:cs="宋体"/>
              <w:lang w:val="en-US" w:eastAsia="zh-CN"/>
            </w:rPr>
            <w:t>10.结论与措施</w:t>
          </w:r>
          <w:r>
            <w:tab/>
          </w:r>
          <w:r>
            <w:fldChar w:fldCharType="begin"/>
          </w:r>
          <w:r>
            <w:instrText xml:space="preserve"> PAGEREF _Toc4533 \h </w:instrText>
          </w:r>
          <w:r>
            <w:fldChar w:fldCharType="separate"/>
          </w:r>
          <w:r>
            <w:t>50</w:t>
          </w:r>
          <w:r>
            <w:fldChar w:fldCharType="end"/>
          </w:r>
          <w:r>
            <w:fldChar w:fldCharType="end"/>
          </w:r>
        </w:p>
        <w:p>
          <w:pPr>
            <w:pStyle w:val="16"/>
            <w:tabs>
              <w:tab w:val="right" w:leader="dot" w:pos="8306"/>
            </w:tabs>
          </w:pPr>
          <w:r>
            <w:fldChar w:fldCharType="begin"/>
          </w:r>
          <w:r>
            <w:instrText xml:space="preserve"> HYPERLINK \l _Toc22575 </w:instrText>
          </w:r>
          <w:r>
            <w:fldChar w:fldCharType="separate"/>
          </w:r>
          <w:r>
            <w:rPr>
              <w:rFonts w:hint="eastAsia" w:ascii="宋体" w:hAnsi="宋体" w:eastAsia="宋体" w:cs="宋体"/>
              <w:bCs/>
              <w:kern w:val="2"/>
              <w:szCs w:val="32"/>
              <w:lang w:val="en-US" w:eastAsia="zh-CN" w:bidi="ar-SA"/>
            </w:rPr>
            <w:t>10.1现场采样和监测</w:t>
          </w:r>
          <w:r>
            <w:tab/>
          </w:r>
          <w:r>
            <w:fldChar w:fldCharType="begin"/>
          </w:r>
          <w:r>
            <w:instrText xml:space="preserve"> PAGEREF _Toc22575 \h </w:instrText>
          </w:r>
          <w:r>
            <w:fldChar w:fldCharType="separate"/>
          </w:r>
          <w:r>
            <w:t>50</w:t>
          </w:r>
          <w:r>
            <w:fldChar w:fldCharType="end"/>
          </w:r>
          <w:r>
            <w:fldChar w:fldCharType="end"/>
          </w:r>
        </w:p>
        <w:p>
          <w:pPr>
            <w:pStyle w:val="16"/>
            <w:tabs>
              <w:tab w:val="right" w:leader="dot" w:pos="8306"/>
            </w:tabs>
          </w:pPr>
          <w:r>
            <w:fldChar w:fldCharType="begin"/>
          </w:r>
          <w:r>
            <w:instrText xml:space="preserve"> HYPERLINK \l _Toc9117 </w:instrText>
          </w:r>
          <w:r>
            <w:fldChar w:fldCharType="separate"/>
          </w:r>
          <w:r>
            <w:rPr>
              <w:rFonts w:hint="eastAsia" w:ascii="宋体" w:hAnsi="宋体" w:eastAsia="宋体" w:cs="宋体"/>
              <w:bCs/>
              <w:kern w:val="2"/>
              <w:szCs w:val="32"/>
              <w:lang w:val="en-US" w:eastAsia="zh-CN" w:bidi="ar-SA"/>
            </w:rPr>
            <w:t>10.2土壤监测结果分析</w:t>
          </w:r>
          <w:r>
            <w:tab/>
          </w:r>
          <w:r>
            <w:fldChar w:fldCharType="begin"/>
          </w:r>
          <w:r>
            <w:instrText xml:space="preserve"> PAGEREF _Toc9117 \h </w:instrText>
          </w:r>
          <w:r>
            <w:fldChar w:fldCharType="separate"/>
          </w:r>
          <w:r>
            <w:t>50</w:t>
          </w:r>
          <w:r>
            <w:fldChar w:fldCharType="end"/>
          </w:r>
          <w:r>
            <w:fldChar w:fldCharType="end"/>
          </w:r>
        </w:p>
        <w:p>
          <w:pPr>
            <w:pStyle w:val="16"/>
            <w:tabs>
              <w:tab w:val="right" w:leader="dot" w:pos="8306"/>
            </w:tabs>
          </w:pPr>
          <w:r>
            <w:fldChar w:fldCharType="begin"/>
          </w:r>
          <w:r>
            <w:instrText xml:space="preserve"> HYPERLINK \l _Toc15021 </w:instrText>
          </w:r>
          <w:r>
            <w:fldChar w:fldCharType="separate"/>
          </w:r>
          <w:r>
            <w:rPr>
              <w:rFonts w:hint="eastAsia" w:ascii="宋体" w:hAnsi="宋体" w:eastAsia="宋体" w:cs="宋体"/>
              <w:bCs/>
              <w:kern w:val="2"/>
              <w:szCs w:val="32"/>
              <w:lang w:val="en-US" w:eastAsia="zh-CN" w:bidi="ar-SA"/>
            </w:rPr>
            <w:t>10.3自行监测结论</w:t>
          </w:r>
          <w:r>
            <w:tab/>
          </w:r>
          <w:r>
            <w:fldChar w:fldCharType="begin"/>
          </w:r>
          <w:r>
            <w:instrText xml:space="preserve"> PAGEREF _Toc15021 \h </w:instrText>
          </w:r>
          <w:r>
            <w:fldChar w:fldCharType="separate"/>
          </w:r>
          <w:r>
            <w:t>51</w:t>
          </w:r>
          <w:r>
            <w:fldChar w:fldCharType="end"/>
          </w:r>
          <w:r>
            <w:fldChar w:fldCharType="end"/>
          </w:r>
        </w:p>
        <w:p>
          <w:pPr>
            <w:pStyle w:val="16"/>
            <w:tabs>
              <w:tab w:val="right" w:leader="dot" w:pos="8306"/>
            </w:tabs>
          </w:pPr>
          <w:r>
            <w:fldChar w:fldCharType="begin"/>
          </w:r>
          <w:r>
            <w:instrText xml:space="preserve"> HYPERLINK \l _Toc18337 </w:instrText>
          </w:r>
          <w:r>
            <w:fldChar w:fldCharType="separate"/>
          </w:r>
          <w:r>
            <w:rPr>
              <w:rFonts w:hint="eastAsia" w:ascii="宋体" w:hAnsi="宋体" w:eastAsia="宋体" w:cs="宋体"/>
              <w:bCs/>
              <w:kern w:val="2"/>
              <w:szCs w:val="32"/>
              <w:lang w:val="en-US" w:eastAsia="zh-CN" w:bidi="ar-SA"/>
            </w:rPr>
            <w:t>10.4拟采取的主要措施</w:t>
          </w:r>
          <w:r>
            <w:tab/>
          </w:r>
          <w:r>
            <w:fldChar w:fldCharType="begin"/>
          </w:r>
          <w:r>
            <w:instrText xml:space="preserve"> PAGEREF _Toc18337 \h </w:instrText>
          </w:r>
          <w:r>
            <w:fldChar w:fldCharType="separate"/>
          </w:r>
          <w:r>
            <w:t>51</w:t>
          </w:r>
          <w:r>
            <w:fldChar w:fldCharType="end"/>
          </w:r>
          <w:r>
            <w:fldChar w:fldCharType="end"/>
          </w:r>
        </w:p>
        <w:p>
          <w:pPr>
            <w:pStyle w:val="15"/>
            <w:tabs>
              <w:tab w:val="right" w:leader="dot" w:pos="8306"/>
            </w:tabs>
          </w:pPr>
          <w:r>
            <w:fldChar w:fldCharType="begin"/>
          </w:r>
          <w:r>
            <w:instrText xml:space="preserve"> HYPERLINK \l _Toc12237 </w:instrText>
          </w:r>
          <w:r>
            <w:fldChar w:fldCharType="separate"/>
          </w:r>
          <w:r>
            <w:rPr>
              <w:rFonts w:hint="eastAsia" w:ascii="宋体" w:hAnsi="宋体" w:eastAsia="宋体" w:cs="宋体"/>
              <w:bCs/>
              <w:szCs w:val="32"/>
              <w:highlight w:val="none"/>
              <w:lang w:val="en-US" w:eastAsia="zh-CN"/>
            </w:rPr>
            <w:t>附图1 企业地理位置图</w:t>
          </w:r>
          <w:r>
            <w:tab/>
          </w:r>
          <w:r>
            <w:fldChar w:fldCharType="begin"/>
          </w:r>
          <w:r>
            <w:instrText xml:space="preserve"> PAGEREF _Toc12237 \h </w:instrText>
          </w:r>
          <w:r>
            <w:fldChar w:fldCharType="separate"/>
          </w:r>
          <w:r>
            <w:t>52</w:t>
          </w:r>
          <w:r>
            <w:fldChar w:fldCharType="end"/>
          </w:r>
          <w:r>
            <w:fldChar w:fldCharType="end"/>
          </w:r>
        </w:p>
        <w:p>
          <w:pPr>
            <w:pStyle w:val="15"/>
            <w:tabs>
              <w:tab w:val="right" w:leader="dot" w:pos="8306"/>
            </w:tabs>
          </w:pPr>
          <w:r>
            <w:fldChar w:fldCharType="begin"/>
          </w:r>
          <w:r>
            <w:instrText xml:space="preserve"> HYPERLINK \l _Toc31200 </w:instrText>
          </w:r>
          <w:r>
            <w:fldChar w:fldCharType="separate"/>
          </w:r>
          <w:r>
            <w:rPr>
              <w:rFonts w:hint="eastAsia" w:ascii="宋体" w:hAnsi="宋体" w:eastAsia="宋体" w:cs="宋体"/>
              <w:bCs/>
              <w:szCs w:val="32"/>
              <w:highlight w:val="none"/>
              <w:lang w:val="en-US" w:eastAsia="zh-CN"/>
            </w:rPr>
            <w:t>附图2三门峡市土壤污染类型</w:t>
          </w:r>
          <w:r>
            <w:tab/>
          </w:r>
          <w:r>
            <w:fldChar w:fldCharType="begin"/>
          </w:r>
          <w:r>
            <w:instrText xml:space="preserve"> PAGEREF _Toc31200 \h </w:instrText>
          </w:r>
          <w:r>
            <w:fldChar w:fldCharType="separate"/>
          </w:r>
          <w:r>
            <w:t>53</w:t>
          </w:r>
          <w:r>
            <w:fldChar w:fldCharType="end"/>
          </w:r>
          <w:r>
            <w:fldChar w:fldCharType="end"/>
          </w:r>
        </w:p>
        <w:p>
          <w:pPr>
            <w:pStyle w:val="15"/>
            <w:tabs>
              <w:tab w:val="right" w:leader="dot" w:pos="8306"/>
            </w:tabs>
          </w:pPr>
          <w:r>
            <w:fldChar w:fldCharType="begin"/>
          </w:r>
          <w:r>
            <w:instrText xml:space="preserve"> HYPERLINK \l _Toc17618 </w:instrText>
          </w:r>
          <w:r>
            <w:fldChar w:fldCharType="separate"/>
          </w:r>
          <w:r>
            <w:rPr>
              <w:rFonts w:hint="eastAsia" w:ascii="宋体" w:hAnsi="宋体" w:eastAsia="宋体" w:cs="宋体"/>
              <w:bCs/>
              <w:szCs w:val="32"/>
              <w:highlight w:val="none"/>
              <w:lang w:val="en-US" w:eastAsia="zh-CN"/>
            </w:rPr>
            <w:t>附图3平面布置及监测点位图</w:t>
          </w:r>
          <w:r>
            <w:tab/>
          </w:r>
          <w:r>
            <w:fldChar w:fldCharType="begin"/>
          </w:r>
          <w:r>
            <w:instrText xml:space="preserve"> PAGEREF _Toc17618 \h </w:instrText>
          </w:r>
          <w:r>
            <w:fldChar w:fldCharType="separate"/>
          </w:r>
          <w:r>
            <w:t>54</w:t>
          </w:r>
          <w:r>
            <w:fldChar w:fldCharType="end"/>
          </w:r>
          <w:r>
            <w:fldChar w:fldCharType="end"/>
          </w:r>
        </w:p>
        <w:p>
          <w:pPr>
            <w:pStyle w:val="15"/>
            <w:tabs>
              <w:tab w:val="right" w:leader="dot" w:pos="8306"/>
            </w:tabs>
          </w:pPr>
          <w:r>
            <w:fldChar w:fldCharType="begin"/>
          </w:r>
          <w:r>
            <w:instrText xml:space="preserve"> HYPERLINK \l _Toc5549 </w:instrText>
          </w:r>
          <w:r>
            <w:fldChar w:fldCharType="separate"/>
          </w:r>
          <w:r>
            <w:rPr>
              <w:rFonts w:hint="eastAsia" w:ascii="宋体" w:hAnsi="宋体" w:eastAsia="宋体" w:cs="宋体"/>
              <w:szCs w:val="24"/>
              <w:highlight w:val="none"/>
              <w:lang w:val="zh-CN" w:eastAsia="zh-CN"/>
            </w:rPr>
            <w:t>附图</w:t>
          </w:r>
          <w:r>
            <w:rPr>
              <w:rFonts w:hint="eastAsia" w:ascii="宋体" w:hAnsi="宋体" w:eastAsia="宋体" w:cs="宋体"/>
              <w:szCs w:val="24"/>
              <w:highlight w:val="none"/>
              <w:lang w:val="en-US" w:eastAsia="zh-CN"/>
            </w:rPr>
            <w:t xml:space="preserve">4 </w:t>
          </w:r>
          <w:bookmarkStart w:id="327" w:name="_GoBack"/>
          <w:bookmarkEnd w:id="327"/>
          <w:r>
            <w:rPr>
              <w:rFonts w:hint="eastAsia" w:ascii="宋体" w:hAnsi="宋体" w:eastAsia="宋体" w:cs="宋体"/>
              <w:szCs w:val="24"/>
              <w:highlight w:val="none"/>
              <w:lang w:val="zh-CN" w:eastAsia="zh-CN"/>
            </w:rPr>
            <w:t>现场采样照片</w:t>
          </w:r>
          <w:r>
            <w:tab/>
          </w:r>
          <w:r>
            <w:fldChar w:fldCharType="begin"/>
          </w:r>
          <w:r>
            <w:instrText xml:space="preserve"> PAGEREF _Toc5549 \h </w:instrText>
          </w:r>
          <w:r>
            <w:fldChar w:fldCharType="separate"/>
          </w:r>
          <w:r>
            <w:rPr>
              <w:b/>
            </w:rPr>
            <w:t>错误！未定义书签。</w:t>
          </w:r>
          <w:r>
            <w:fldChar w:fldCharType="end"/>
          </w:r>
          <w:r>
            <w:fldChar w:fldCharType="end"/>
          </w:r>
        </w:p>
        <w:p>
          <w:pPr>
            <w:pStyle w:val="15"/>
            <w:tabs>
              <w:tab w:val="right" w:leader="dot" w:pos="8306"/>
            </w:tabs>
          </w:pPr>
          <w:r>
            <w:fldChar w:fldCharType="begin"/>
          </w:r>
          <w:r>
            <w:instrText xml:space="preserve"> HYPERLINK \l _Toc18034 </w:instrText>
          </w:r>
          <w:r>
            <w:fldChar w:fldCharType="separate"/>
          </w:r>
          <w:r>
            <w:rPr>
              <w:rFonts w:hint="eastAsia" w:ascii="宋体" w:hAnsi="宋体" w:eastAsia="宋体" w:cs="宋体"/>
              <w:bCs/>
              <w:szCs w:val="32"/>
              <w:lang w:val="en-US" w:eastAsia="zh-CN"/>
            </w:rPr>
            <w:t>附件1 检测报告</w:t>
          </w:r>
          <w:r>
            <w:tab/>
          </w:r>
          <w:r>
            <w:fldChar w:fldCharType="begin"/>
          </w:r>
          <w:r>
            <w:instrText xml:space="preserve"> PAGEREF _Toc18034 \h </w:instrText>
          </w:r>
          <w:r>
            <w:fldChar w:fldCharType="separate"/>
          </w:r>
          <w:r>
            <w:t>56</w:t>
          </w:r>
          <w:r>
            <w:fldChar w:fldCharType="end"/>
          </w:r>
          <w:r>
            <w:fldChar w:fldCharType="end"/>
          </w:r>
        </w:p>
        <w:p>
          <w:pPr>
            <w:pStyle w:val="15"/>
            <w:tabs>
              <w:tab w:val="right" w:leader="dot" w:pos="8306"/>
            </w:tabs>
          </w:pPr>
          <w:r>
            <w:fldChar w:fldCharType="begin"/>
          </w:r>
          <w:r>
            <w:instrText xml:space="preserve"> HYPERLINK \l _Toc24787 </w:instrText>
          </w:r>
          <w:r>
            <w:fldChar w:fldCharType="separate"/>
          </w:r>
          <w:r>
            <w:rPr>
              <w:rFonts w:hint="eastAsia" w:ascii="宋体" w:hAnsi="宋体" w:eastAsia="宋体" w:cs="宋体"/>
              <w:bCs/>
              <w:szCs w:val="32"/>
              <w:lang w:val="en-US" w:eastAsia="zh-CN"/>
            </w:rPr>
            <w:t>附件2 检测资质证书、附表</w:t>
          </w:r>
          <w:r>
            <w:tab/>
          </w:r>
          <w:r>
            <w:fldChar w:fldCharType="begin"/>
          </w:r>
          <w:r>
            <w:instrText xml:space="preserve"> PAGEREF _Toc24787 \h </w:instrText>
          </w:r>
          <w:r>
            <w:fldChar w:fldCharType="separate"/>
          </w:r>
          <w:r>
            <w:t>68</w:t>
          </w:r>
          <w:r>
            <w:fldChar w:fldCharType="end"/>
          </w:r>
          <w:r>
            <w:fldChar w:fldCharType="end"/>
          </w:r>
        </w:p>
        <w:p>
          <w:pPr>
            <w:pStyle w:val="15"/>
            <w:tabs>
              <w:tab w:val="right" w:leader="dot" w:pos="8306"/>
            </w:tabs>
          </w:pPr>
          <w:r>
            <w:fldChar w:fldCharType="begin"/>
          </w:r>
          <w:r>
            <w:instrText xml:space="preserve"> HYPERLINK \l _Toc1942 </w:instrText>
          </w:r>
          <w:r>
            <w:fldChar w:fldCharType="separate"/>
          </w:r>
          <w:r>
            <w:rPr>
              <w:rFonts w:hint="eastAsia" w:ascii="宋体" w:hAnsi="宋体" w:eastAsia="宋体" w:cs="宋体"/>
              <w:bCs/>
              <w:highlight w:val="none"/>
              <w:lang w:eastAsia="zh-CN"/>
            </w:rPr>
            <w:t>附件</w:t>
          </w:r>
          <w:r>
            <w:rPr>
              <w:rFonts w:hint="eastAsia" w:cs="宋体"/>
              <w:bCs/>
              <w:highlight w:val="none"/>
              <w:lang w:val="en-US" w:eastAsia="zh-CN"/>
            </w:rPr>
            <w:t>3</w:t>
          </w:r>
          <w:r>
            <w:rPr>
              <w:rFonts w:hint="eastAsia" w:ascii="宋体" w:hAnsi="宋体" w:eastAsia="宋体" w:cs="宋体"/>
              <w:bCs/>
              <w:highlight w:val="none"/>
              <w:lang w:val="en-US" w:eastAsia="zh-CN"/>
            </w:rPr>
            <w:t xml:space="preserve"> 岩土工程勘察报告（剖面图、钻孔柱状图）</w:t>
          </w:r>
          <w:r>
            <w:tab/>
          </w:r>
          <w:r>
            <w:fldChar w:fldCharType="begin"/>
          </w:r>
          <w:r>
            <w:instrText xml:space="preserve"> PAGEREF _Toc1942 \h </w:instrText>
          </w:r>
          <w:r>
            <w:fldChar w:fldCharType="separate"/>
          </w:r>
          <w:r>
            <w:t>84</w:t>
          </w:r>
          <w:r>
            <w:fldChar w:fldCharType="end"/>
          </w:r>
          <w:r>
            <w:fldChar w:fldCharType="end"/>
          </w:r>
        </w:p>
        <w:p>
          <w:r>
            <w:fldChar w:fldCharType="end"/>
          </w:r>
        </w:p>
      </w:sdtContent>
    </w:sdt>
    <w:p>
      <w:pPr>
        <w:keepNext w:val="0"/>
        <w:keepLines w:val="0"/>
        <w:pageBreakBefore w:val="0"/>
        <w:widowControl/>
        <w:tabs>
          <w:tab w:val="left" w:pos="312"/>
        </w:tabs>
        <w:kinsoku/>
        <w:wordWrap/>
        <w:overflowPunct/>
        <w:topLinePunct w:val="0"/>
        <w:autoSpaceDE/>
        <w:autoSpaceDN/>
        <w:bidi w:val="0"/>
        <w:adjustRightInd/>
        <w:snapToGrid w:val="0"/>
        <w:spacing w:line="520" w:lineRule="exact"/>
        <w:ind w:firstLine="0" w:firstLineChars="0"/>
        <w:jc w:val="both"/>
        <w:textAlignment w:val="auto"/>
        <w:outlineLvl w:val="0"/>
        <w:rPr>
          <w:rFonts w:hint="eastAsia" w:ascii="宋体" w:hAnsi="宋体" w:eastAsia="宋体" w:cs="宋体"/>
          <w:b/>
          <w:bCs/>
          <w:color w:val="auto"/>
          <w:kern w:val="2"/>
          <w:sz w:val="28"/>
          <w:szCs w:val="32"/>
          <w:highlight w:val="none"/>
          <w:lang w:val="en-US" w:eastAsia="zh-CN" w:bidi="zh-CN"/>
        </w:rPr>
        <w:sectPr>
          <w:footerReference r:id="rId4" w:type="default"/>
          <w:pgSz w:w="11906" w:h="16838"/>
          <w:pgMar w:top="1440" w:right="1800" w:bottom="1440" w:left="1800" w:header="851" w:footer="992" w:gutter="0"/>
          <w:pgNumType w:fmt="decimal" w:start="1"/>
          <w:cols w:space="720" w:num="1"/>
          <w:docGrid w:type="lines" w:linePitch="312" w:charSpace="0"/>
        </w:sectPr>
      </w:pPr>
    </w:p>
    <w:p>
      <w:pPr>
        <w:keepNext w:val="0"/>
        <w:keepLines w:val="0"/>
        <w:pageBreakBefore w:val="0"/>
        <w:widowControl/>
        <w:tabs>
          <w:tab w:val="left" w:pos="312"/>
        </w:tabs>
        <w:kinsoku/>
        <w:wordWrap/>
        <w:overflowPunct/>
        <w:topLinePunct w:val="0"/>
        <w:autoSpaceDE/>
        <w:autoSpaceDN/>
        <w:bidi w:val="0"/>
        <w:adjustRightInd/>
        <w:snapToGrid w:val="0"/>
        <w:spacing w:line="520" w:lineRule="exact"/>
        <w:ind w:firstLine="0" w:firstLineChars="0"/>
        <w:jc w:val="both"/>
        <w:textAlignment w:val="auto"/>
        <w:outlineLvl w:val="0"/>
        <w:rPr>
          <w:rFonts w:hint="eastAsia" w:ascii="宋体" w:hAnsi="宋体" w:eastAsia="宋体" w:cs="宋体"/>
          <w:b/>
          <w:bCs/>
          <w:color w:val="auto"/>
          <w:kern w:val="2"/>
          <w:sz w:val="28"/>
          <w:szCs w:val="32"/>
          <w:highlight w:val="none"/>
          <w:lang w:val="en-US" w:eastAsia="zh-CN" w:bidi="zh-CN"/>
        </w:rPr>
      </w:pPr>
      <w:bookmarkStart w:id="9" w:name="_Toc1807"/>
      <w:r>
        <w:rPr>
          <w:rFonts w:hint="eastAsia" w:ascii="宋体" w:hAnsi="宋体" w:eastAsia="宋体" w:cs="宋体"/>
          <w:b/>
          <w:bCs/>
          <w:color w:val="auto"/>
          <w:kern w:val="2"/>
          <w:sz w:val="28"/>
          <w:szCs w:val="32"/>
          <w:highlight w:val="none"/>
          <w:lang w:val="en-US" w:eastAsia="zh-CN" w:bidi="zh-CN"/>
        </w:rPr>
        <w:t>1.工作背景</w:t>
      </w:r>
      <w:bookmarkEnd w:id="9"/>
    </w:p>
    <w:p>
      <w:pPr>
        <w:spacing w:line="360" w:lineRule="auto"/>
        <w:ind w:firstLine="560"/>
        <w:rPr>
          <w:rFonts w:hint="eastAsia" w:ascii="宋体" w:hAnsi="宋体" w:eastAsia="宋体" w:cs="宋体"/>
          <w:color w:val="auto"/>
          <w:sz w:val="28"/>
          <w:szCs w:val="28"/>
          <w:highlight w:val="none"/>
          <w:u w:val="none" w:color="auto"/>
          <w:lang w:eastAsia="zh-CN"/>
        </w:rPr>
      </w:pPr>
      <w:bookmarkStart w:id="10" w:name="_Toc19367"/>
      <w:bookmarkStart w:id="11" w:name="_Toc27972_WPSOffice_Level1"/>
      <w:bookmarkStart w:id="12" w:name="_Toc17333"/>
      <w:bookmarkStart w:id="13" w:name="_Toc11735"/>
      <w:bookmarkStart w:id="14" w:name="_Toc12675"/>
      <w:bookmarkStart w:id="15" w:name="_Toc31920"/>
      <w:bookmarkStart w:id="16" w:name="_Toc26004755"/>
      <w:bookmarkStart w:id="17" w:name="_Toc27886"/>
      <w:bookmarkStart w:id="18" w:name="_Toc27381"/>
      <w:bookmarkStart w:id="19" w:name="_Toc25756_WPSOffice_Level1"/>
      <w:bookmarkStart w:id="20" w:name="_Toc5620"/>
      <w:bookmarkStart w:id="21" w:name="_Toc53736315"/>
      <w:bookmarkStart w:id="22" w:name="_Toc3420"/>
      <w:bookmarkStart w:id="23" w:name="_Toc31209"/>
      <w:r>
        <w:rPr>
          <w:rFonts w:hint="eastAsia" w:ascii="宋体" w:hAnsi="宋体" w:eastAsia="宋体" w:cs="宋体"/>
          <w:color w:val="auto"/>
          <w:sz w:val="28"/>
          <w:szCs w:val="28"/>
          <w:highlight w:val="none"/>
          <w:u w:val="none" w:color="auto"/>
          <w:lang w:eastAsia="zh-CN"/>
        </w:rPr>
        <w:t>河南德利新能源材料有限公司</w:t>
      </w:r>
      <w:r>
        <w:rPr>
          <w:rFonts w:hint="eastAsia" w:ascii="宋体" w:hAnsi="宋体" w:eastAsia="宋体" w:cs="宋体"/>
          <w:color w:val="auto"/>
          <w:sz w:val="28"/>
          <w:szCs w:val="28"/>
          <w:highlight w:val="none"/>
          <w:u w:val="none" w:color="auto"/>
        </w:rPr>
        <w:t>位于</w:t>
      </w:r>
      <w:r>
        <w:rPr>
          <w:rFonts w:hint="eastAsia" w:ascii="宋体" w:hAnsi="宋体" w:eastAsia="宋体" w:cs="宋体"/>
          <w:color w:val="auto"/>
          <w:sz w:val="28"/>
          <w:szCs w:val="28"/>
          <w:highlight w:val="none"/>
          <w:u w:val="none" w:color="auto"/>
          <w:lang w:val="en-US" w:eastAsia="zh-CN"/>
        </w:rPr>
        <w:t>三门峡陕州区先进制造业开发区（原</w:t>
      </w:r>
      <w:r>
        <w:rPr>
          <w:rFonts w:hint="eastAsia" w:ascii="宋体" w:hAnsi="宋体" w:eastAsia="宋体" w:cs="宋体"/>
          <w:color w:val="auto"/>
          <w:sz w:val="28"/>
          <w:szCs w:val="28"/>
          <w:highlight w:val="none"/>
          <w:u w:val="none" w:color="auto"/>
        </w:rPr>
        <w:t>陕州区产业集聚区</w:t>
      </w:r>
      <w:r>
        <w:rPr>
          <w:rFonts w:hint="eastAsia" w:ascii="宋体" w:hAnsi="宋体" w:eastAsia="宋体" w:cs="宋体"/>
          <w:color w:val="auto"/>
          <w:sz w:val="28"/>
          <w:szCs w:val="28"/>
          <w:highlight w:val="none"/>
          <w:u w:val="none" w:color="auto"/>
          <w:lang w:val="en-US" w:eastAsia="zh-CN"/>
        </w:rPr>
        <w:t>）</w:t>
      </w:r>
      <w:r>
        <w:rPr>
          <w:rFonts w:hint="eastAsia" w:ascii="宋体" w:hAnsi="宋体" w:eastAsia="宋体" w:cs="宋体"/>
          <w:color w:val="auto"/>
          <w:sz w:val="28"/>
          <w:szCs w:val="28"/>
          <w:highlight w:val="none"/>
          <w:u w:val="none" w:color="auto"/>
          <w:lang w:eastAsia="zh-CN"/>
        </w:rPr>
        <w:t>，公司于2016年建厂，现有工程包括“年产1万吨碳酸甲乙酯、碳酸二乙酯项目”、“新建6吨天然气锅炉项目”</w:t>
      </w:r>
      <w:r>
        <w:rPr>
          <w:rFonts w:hint="eastAsia" w:ascii="宋体" w:hAnsi="宋体" w:eastAsia="宋体" w:cs="宋体"/>
          <w:color w:val="auto"/>
          <w:sz w:val="28"/>
          <w:szCs w:val="28"/>
          <w:highlight w:val="none"/>
          <w:u w:val="none" w:color="auto"/>
          <w:lang w:val="en-US" w:eastAsia="zh-CN"/>
        </w:rPr>
        <w:t>、年产</w:t>
      </w:r>
      <w:r>
        <w:rPr>
          <w:rFonts w:hint="eastAsia" w:ascii="宋体" w:hAnsi="宋体" w:eastAsia="宋体" w:cs="宋体"/>
          <w:color w:val="auto"/>
          <w:sz w:val="28"/>
          <w:szCs w:val="28"/>
          <w:highlight w:val="none"/>
          <w:u w:val="none" w:color="auto"/>
          <w:lang w:eastAsia="zh-CN"/>
        </w:rPr>
        <w:t>3万吨碳酸甲乙酯扩能改造项目，产品为碳酸甲乙酯和碳酸二乙酯，</w:t>
      </w:r>
      <w:r>
        <w:rPr>
          <w:rFonts w:hint="eastAsia" w:ascii="宋体" w:hAnsi="宋体" w:eastAsia="宋体" w:cs="宋体"/>
          <w:color w:val="auto"/>
          <w:sz w:val="28"/>
          <w:szCs w:val="28"/>
          <w:highlight w:val="none"/>
          <w:u w:val="none" w:color="auto"/>
          <w:lang w:val="en-US" w:eastAsia="zh-CN"/>
        </w:rPr>
        <w:t>为提升有机废气治理效果，公司增加一套RCO有机废气治理设施</w:t>
      </w:r>
      <w:r>
        <w:rPr>
          <w:rFonts w:hint="eastAsia" w:ascii="宋体" w:hAnsi="宋体" w:eastAsia="宋体" w:cs="宋体"/>
          <w:color w:val="auto"/>
          <w:sz w:val="28"/>
          <w:szCs w:val="28"/>
          <w:highlight w:val="none"/>
          <w:u w:val="none" w:color="auto"/>
          <w:lang w:eastAsia="zh-CN"/>
        </w:rPr>
        <w:t>。</w:t>
      </w:r>
    </w:p>
    <w:p>
      <w:pPr>
        <w:pStyle w:val="8"/>
        <w:outlineLvl w:val="1"/>
        <w:rPr>
          <w:rFonts w:hint="eastAsia" w:ascii="宋体" w:hAnsi="宋体" w:eastAsia="宋体" w:cs="宋体"/>
          <w:color w:val="auto"/>
          <w:highlight w:val="none"/>
        </w:rPr>
      </w:pPr>
      <w:bookmarkStart w:id="24" w:name="_Toc23066"/>
      <w:r>
        <w:rPr>
          <w:rFonts w:hint="eastAsia" w:ascii="宋体" w:hAnsi="宋体" w:eastAsia="宋体" w:cs="宋体"/>
          <w:color w:val="auto"/>
          <w:highlight w:val="none"/>
        </w:rPr>
        <w:t>1.1编制背景</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widowControl/>
        <w:snapToGrid w:val="0"/>
        <w:spacing w:line="520" w:lineRule="exact"/>
        <w:ind w:firstLine="560" w:firstLineChars="200"/>
        <w:jc w:val="left"/>
        <w:rPr>
          <w:rFonts w:hint="eastAsia" w:ascii="宋体" w:hAnsi="宋体" w:eastAsia="宋体" w:cs="宋体"/>
          <w:color w:val="auto"/>
          <w:kern w:val="0"/>
          <w:sz w:val="28"/>
          <w:szCs w:val="28"/>
          <w:highlight w:val="none"/>
          <w:lang w:bidi="ar"/>
        </w:rPr>
      </w:pPr>
      <w:r>
        <w:rPr>
          <w:rFonts w:hint="eastAsia" w:ascii="宋体" w:hAnsi="宋体" w:eastAsia="宋体" w:cs="宋体"/>
          <w:color w:val="auto"/>
          <w:kern w:val="0"/>
          <w:sz w:val="28"/>
          <w:szCs w:val="28"/>
          <w:highlight w:val="none"/>
          <w:lang w:bidi="ar"/>
        </w:rPr>
        <w:t>2016年5月《土壤污染防治行动计划》中指出：重点行业企业要依据有关规定，向社会公开其产生的污染物名称、排放方式、排放浓度、排放总量，以及污染防治设施建设和运行情况。各地要根据工矿企业分布和污染排放情况，确定土壤环境重点监管企业名单，实行动态更新，并向社会公布。列入名单的企业每年要自行对其用地进行土壤环境监测，结果向社会公开。</w:t>
      </w:r>
    </w:p>
    <w:p>
      <w:pPr>
        <w:keepNext w:val="0"/>
        <w:keepLines w:val="0"/>
        <w:pageBreakBefore w:val="0"/>
        <w:widowControl/>
        <w:kinsoku/>
        <w:wordWrap/>
        <w:overflowPunct/>
        <w:topLinePunct w:val="0"/>
        <w:autoSpaceDE/>
        <w:autoSpaceDN/>
        <w:bidi w:val="0"/>
        <w:adjustRightInd/>
        <w:snapToGrid w:val="0"/>
        <w:spacing w:line="520" w:lineRule="exact"/>
        <w:ind w:firstLine="560" w:firstLineChars="200"/>
        <w:jc w:val="left"/>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kern w:val="0"/>
          <w:sz w:val="28"/>
          <w:szCs w:val="28"/>
          <w:highlight w:val="none"/>
          <w:lang w:bidi="ar"/>
        </w:rPr>
        <w:t>2018年5月《工矿用地土壤环境管理办法》中：重点单位应当建立土壤和地下水污染隐患排查治理制度，定期对重点区域、重点设施开展隐患排查。重点单位应当按照相关技术规范要求，自行或者委托第三方定期开展土壤和地下水监测，重点监测存在污染隐患的区域和设施周边的土壤、地下水，并按照规定公开相关信息。</w:t>
      </w:r>
    </w:p>
    <w:p>
      <w:pPr>
        <w:keepNext w:val="0"/>
        <w:keepLines w:val="0"/>
        <w:pageBreakBefore w:val="0"/>
        <w:widowControl/>
        <w:kinsoku/>
        <w:wordWrap/>
        <w:overflowPunct/>
        <w:topLinePunct w:val="0"/>
        <w:autoSpaceDE/>
        <w:autoSpaceDN/>
        <w:bidi w:val="0"/>
        <w:adjustRightInd/>
        <w:snapToGrid w:val="0"/>
        <w:spacing w:line="520" w:lineRule="exact"/>
        <w:ind w:firstLine="560" w:firstLineChars="200"/>
        <w:jc w:val="left"/>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kern w:val="0"/>
          <w:sz w:val="28"/>
          <w:szCs w:val="28"/>
          <w:highlight w:val="none"/>
          <w:lang w:bidi="ar"/>
        </w:rPr>
        <w:t>2019年1月1日起实施的《中华人民共和国土壤污染防治法》第二十一条：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w:t>
      </w:r>
    </w:p>
    <w:p>
      <w:pPr>
        <w:widowControl/>
        <w:snapToGrid w:val="0"/>
        <w:spacing w:line="520" w:lineRule="exact"/>
        <w:ind w:firstLine="560" w:firstLineChars="200"/>
        <w:jc w:val="left"/>
        <w:rPr>
          <w:rFonts w:hint="eastAsia" w:ascii="宋体" w:hAnsi="宋体" w:eastAsia="宋体" w:cs="宋体"/>
          <w:color w:val="auto"/>
          <w:kern w:val="0"/>
          <w:sz w:val="28"/>
          <w:szCs w:val="28"/>
          <w:highlight w:val="none"/>
          <w:lang w:bidi="ar"/>
        </w:rPr>
      </w:pPr>
      <w:r>
        <w:rPr>
          <w:rFonts w:hint="eastAsia" w:ascii="宋体" w:hAnsi="宋体" w:eastAsia="宋体" w:cs="宋体"/>
          <w:color w:val="auto"/>
          <w:kern w:val="0"/>
          <w:sz w:val="28"/>
          <w:szCs w:val="28"/>
          <w:highlight w:val="none"/>
          <w:lang w:bidi="ar"/>
        </w:rPr>
        <w:t>2021年11月《工业企业土壤和地下水自行监测技术指南（试行）》（HJ1209-2021）规定了企业土壤和地下水自行监测过程中监测方案制定；样品采集、保存、流转及分析测试；监测结果分析；监测报告编制及监测设施维护的基本内容和要求。指导了土壤环境重点监管企业开展土壤和地下水自行监测工作。</w:t>
      </w:r>
    </w:p>
    <w:p>
      <w:pPr>
        <w:keepNext w:val="0"/>
        <w:keepLines w:val="0"/>
        <w:pageBreakBefore w:val="0"/>
        <w:widowControl/>
        <w:kinsoku/>
        <w:wordWrap/>
        <w:overflowPunct/>
        <w:topLinePunct w:val="0"/>
        <w:autoSpaceDE/>
        <w:autoSpaceDN/>
        <w:bidi w:val="0"/>
        <w:adjustRightInd/>
        <w:snapToGrid w:val="0"/>
        <w:spacing w:line="520" w:lineRule="exact"/>
        <w:ind w:firstLine="560" w:firstLineChars="200"/>
        <w:jc w:val="left"/>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kern w:val="0"/>
          <w:sz w:val="28"/>
          <w:szCs w:val="28"/>
          <w:highlight w:val="none"/>
          <w:lang w:bidi="ar"/>
        </w:rPr>
        <w:t>根据</w:t>
      </w:r>
      <w:r>
        <w:rPr>
          <w:rFonts w:hint="eastAsia" w:ascii="宋体" w:hAnsi="宋体" w:eastAsia="宋体" w:cs="宋体"/>
          <w:color w:val="auto"/>
          <w:kern w:val="0"/>
          <w:sz w:val="28"/>
          <w:szCs w:val="28"/>
          <w:highlight w:val="none"/>
          <w:lang w:eastAsia="zh-CN" w:bidi="ar"/>
        </w:rPr>
        <w:t>《关于更新2023年土壤、地下水环境重点监管单位名录的公示》</w:t>
      </w:r>
      <w:r>
        <w:rPr>
          <w:rFonts w:hint="eastAsia" w:ascii="宋体" w:hAnsi="宋体" w:eastAsia="宋体" w:cs="宋体"/>
          <w:color w:val="auto"/>
          <w:kern w:val="0"/>
          <w:sz w:val="28"/>
          <w:szCs w:val="28"/>
          <w:highlight w:val="none"/>
          <w:lang w:val="en-US" w:eastAsia="zh-CN" w:bidi="ar"/>
        </w:rPr>
        <w:t>和</w:t>
      </w:r>
      <w:r>
        <w:rPr>
          <w:rFonts w:hint="eastAsia" w:ascii="宋体" w:hAnsi="宋体" w:eastAsia="宋体" w:cs="宋体"/>
          <w:color w:val="auto"/>
          <w:kern w:val="0"/>
          <w:sz w:val="28"/>
          <w:szCs w:val="28"/>
          <w:highlight w:val="none"/>
          <w:lang w:bidi="ar"/>
        </w:rPr>
        <w:t>《三门峡市生态环境局</w:t>
      </w:r>
      <w:r>
        <w:rPr>
          <w:rFonts w:hint="eastAsia" w:ascii="宋体" w:hAnsi="宋体" w:eastAsia="宋体" w:cs="宋体"/>
          <w:color w:val="auto"/>
          <w:kern w:val="0"/>
          <w:sz w:val="28"/>
          <w:szCs w:val="28"/>
          <w:highlight w:val="none"/>
          <w:lang w:val="en-US" w:eastAsia="zh-CN" w:bidi="ar"/>
        </w:rPr>
        <w:t>第二分局</w:t>
      </w:r>
      <w:r>
        <w:rPr>
          <w:rFonts w:hint="eastAsia" w:ascii="宋体" w:hAnsi="宋体" w:eastAsia="宋体" w:cs="宋体"/>
          <w:color w:val="auto"/>
          <w:kern w:val="0"/>
          <w:sz w:val="28"/>
          <w:szCs w:val="28"/>
          <w:highlight w:val="none"/>
          <w:lang w:bidi="ar"/>
        </w:rPr>
        <w:t>关于土壤污染重点监管单位</w:t>
      </w:r>
      <w:r>
        <w:rPr>
          <w:rFonts w:hint="eastAsia" w:ascii="宋体" w:hAnsi="宋体" w:eastAsia="宋体" w:cs="宋体"/>
          <w:color w:val="auto"/>
          <w:kern w:val="0"/>
          <w:sz w:val="28"/>
          <w:szCs w:val="28"/>
          <w:highlight w:val="none"/>
          <w:lang w:val="en-US" w:eastAsia="zh-CN" w:bidi="ar"/>
        </w:rPr>
        <w:t>切实履行土壤污染防治相关义务</w:t>
      </w:r>
      <w:r>
        <w:rPr>
          <w:rFonts w:hint="eastAsia" w:ascii="宋体" w:hAnsi="宋体" w:eastAsia="宋体" w:cs="宋体"/>
          <w:color w:val="auto"/>
          <w:kern w:val="0"/>
          <w:sz w:val="28"/>
          <w:szCs w:val="28"/>
          <w:highlight w:val="none"/>
          <w:lang w:bidi="ar"/>
        </w:rPr>
        <w:t>的通知》</w:t>
      </w:r>
      <w:r>
        <w:rPr>
          <w:rFonts w:hint="eastAsia" w:ascii="宋体" w:hAnsi="宋体" w:eastAsia="宋体" w:cs="宋体"/>
          <w:color w:val="auto"/>
          <w:kern w:val="0"/>
          <w:sz w:val="28"/>
          <w:szCs w:val="28"/>
          <w:highlight w:val="none"/>
          <w:lang w:val="en-US" w:eastAsia="zh-CN" w:bidi="ar"/>
        </w:rPr>
        <w:t>等</w:t>
      </w:r>
      <w:r>
        <w:rPr>
          <w:rFonts w:hint="eastAsia" w:ascii="宋体" w:hAnsi="宋体" w:eastAsia="宋体" w:cs="宋体"/>
          <w:color w:val="auto"/>
          <w:kern w:val="0"/>
          <w:sz w:val="28"/>
          <w:szCs w:val="28"/>
          <w:highlight w:val="none"/>
          <w:lang w:bidi="ar"/>
        </w:rPr>
        <w:t>文件要求，</w:t>
      </w:r>
      <w:r>
        <w:rPr>
          <w:rFonts w:hint="eastAsia" w:ascii="宋体" w:hAnsi="宋体" w:eastAsia="宋体" w:cs="宋体"/>
          <w:color w:val="auto"/>
          <w:kern w:val="0"/>
          <w:sz w:val="28"/>
          <w:szCs w:val="28"/>
          <w:highlight w:val="none"/>
          <w:lang w:eastAsia="zh-CN" w:bidi="ar"/>
        </w:rPr>
        <w:t>河南德利新能源材料有限公司</w:t>
      </w:r>
      <w:r>
        <w:rPr>
          <w:rFonts w:hint="eastAsia" w:ascii="宋体" w:hAnsi="宋体" w:eastAsia="宋体" w:cs="宋体"/>
          <w:color w:val="auto"/>
          <w:kern w:val="0"/>
          <w:sz w:val="28"/>
          <w:szCs w:val="28"/>
          <w:highlight w:val="none"/>
          <w:lang w:bidi="ar"/>
        </w:rPr>
        <w:t>被列入</w:t>
      </w:r>
      <w:r>
        <w:rPr>
          <w:rFonts w:hint="eastAsia" w:ascii="宋体" w:hAnsi="宋体" w:eastAsia="宋体" w:cs="宋体"/>
          <w:color w:val="auto"/>
          <w:kern w:val="0"/>
          <w:sz w:val="28"/>
          <w:szCs w:val="28"/>
          <w:highlight w:val="none"/>
          <w:lang w:val="en-US" w:eastAsia="zh-Hans" w:bidi="ar"/>
        </w:rPr>
        <w:t>三门峡市</w:t>
      </w:r>
      <w:r>
        <w:rPr>
          <w:rFonts w:hint="eastAsia" w:ascii="宋体" w:hAnsi="宋体" w:eastAsia="宋体" w:cs="宋体"/>
          <w:color w:val="auto"/>
          <w:kern w:val="0"/>
          <w:sz w:val="28"/>
          <w:szCs w:val="28"/>
          <w:highlight w:val="none"/>
          <w:lang w:bidi="ar"/>
        </w:rPr>
        <w:t>20</w:t>
      </w:r>
      <w:r>
        <w:rPr>
          <w:rFonts w:hint="eastAsia" w:ascii="宋体" w:hAnsi="宋体" w:eastAsia="宋体" w:cs="宋体"/>
          <w:color w:val="auto"/>
          <w:kern w:val="0"/>
          <w:sz w:val="28"/>
          <w:szCs w:val="28"/>
          <w:highlight w:val="none"/>
          <w:lang w:val="en-US" w:eastAsia="zh-CN" w:bidi="ar"/>
        </w:rPr>
        <w:t>23</w:t>
      </w:r>
      <w:r>
        <w:rPr>
          <w:rFonts w:hint="eastAsia" w:ascii="宋体" w:hAnsi="宋体" w:eastAsia="宋体" w:cs="宋体"/>
          <w:color w:val="auto"/>
          <w:kern w:val="0"/>
          <w:sz w:val="28"/>
          <w:szCs w:val="28"/>
          <w:highlight w:val="none"/>
          <w:lang w:bidi="ar"/>
        </w:rPr>
        <w:t>年土壤污染重点监管单位名录。</w:t>
      </w:r>
    </w:p>
    <w:p>
      <w:pPr>
        <w:keepNext w:val="0"/>
        <w:keepLines w:val="0"/>
        <w:pageBreakBefore w:val="0"/>
        <w:widowControl/>
        <w:kinsoku/>
        <w:wordWrap/>
        <w:overflowPunct/>
        <w:topLinePunct w:val="0"/>
        <w:autoSpaceDE/>
        <w:autoSpaceDN/>
        <w:bidi w:val="0"/>
        <w:adjustRightInd/>
        <w:snapToGrid w:val="0"/>
        <w:spacing w:line="520" w:lineRule="exact"/>
        <w:ind w:firstLine="560" w:firstLineChars="200"/>
        <w:jc w:val="left"/>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kern w:val="0"/>
          <w:sz w:val="28"/>
          <w:szCs w:val="28"/>
          <w:highlight w:val="none"/>
          <w:lang w:bidi="ar"/>
        </w:rPr>
        <w:t>为完成土壤污染防治工作，</w:t>
      </w:r>
      <w:r>
        <w:rPr>
          <w:rFonts w:hint="eastAsia" w:ascii="宋体" w:hAnsi="宋体" w:eastAsia="宋体" w:cs="宋体"/>
          <w:color w:val="auto"/>
          <w:kern w:val="0"/>
          <w:sz w:val="28"/>
          <w:szCs w:val="28"/>
          <w:highlight w:val="none"/>
          <w:lang w:eastAsia="zh-CN" w:bidi="ar"/>
        </w:rPr>
        <w:t>洛阳市达峰环境检测有限公司</w:t>
      </w:r>
      <w:r>
        <w:rPr>
          <w:rFonts w:hint="eastAsia" w:ascii="宋体" w:hAnsi="宋体" w:eastAsia="宋体" w:cs="宋体"/>
          <w:color w:val="auto"/>
          <w:kern w:val="0"/>
          <w:sz w:val="28"/>
          <w:szCs w:val="28"/>
          <w:highlight w:val="none"/>
          <w:lang w:bidi="ar"/>
        </w:rPr>
        <w:t>提供技术支持，与</w:t>
      </w:r>
      <w:r>
        <w:rPr>
          <w:rFonts w:hint="eastAsia" w:ascii="宋体" w:hAnsi="宋体" w:eastAsia="宋体" w:cs="宋体"/>
          <w:color w:val="auto"/>
          <w:kern w:val="0"/>
          <w:sz w:val="28"/>
          <w:szCs w:val="28"/>
          <w:highlight w:val="none"/>
          <w:lang w:eastAsia="zh-CN" w:bidi="ar"/>
        </w:rPr>
        <w:t>河南德利新能源材料有限公司</w:t>
      </w:r>
      <w:r>
        <w:rPr>
          <w:rFonts w:hint="eastAsia" w:ascii="宋体" w:hAnsi="宋体" w:eastAsia="宋体" w:cs="宋体"/>
          <w:color w:val="auto"/>
          <w:kern w:val="0"/>
          <w:sz w:val="28"/>
          <w:szCs w:val="28"/>
          <w:highlight w:val="none"/>
          <w:lang w:bidi="ar"/>
        </w:rPr>
        <w:t>共同开展企业年度土壤和地下水自行监测工作。经过技术人员到现场对企业现状及周边情况进行了详细调查，收集相关资料，依据《在产企业土壤和地下水自行监测技术指南》及有关标准，结合企业实践，编制了《</w:t>
      </w:r>
      <w:r>
        <w:rPr>
          <w:rFonts w:hint="eastAsia" w:ascii="宋体" w:hAnsi="宋体" w:eastAsia="宋体" w:cs="宋体"/>
          <w:color w:val="auto"/>
          <w:kern w:val="0"/>
          <w:sz w:val="28"/>
          <w:szCs w:val="28"/>
          <w:highlight w:val="none"/>
          <w:lang w:eastAsia="zh-CN" w:bidi="ar"/>
        </w:rPr>
        <w:t>河南德利新能源材料有限公司</w:t>
      </w:r>
      <w:r>
        <w:rPr>
          <w:rFonts w:hint="eastAsia" w:ascii="宋体" w:hAnsi="宋体" w:eastAsia="宋体" w:cs="宋体"/>
          <w:color w:val="auto"/>
          <w:kern w:val="0"/>
          <w:sz w:val="28"/>
          <w:szCs w:val="28"/>
          <w:highlight w:val="none"/>
          <w:lang w:bidi="ar"/>
        </w:rPr>
        <w:t>土壤和地下水自行监测方案》。</w:t>
      </w:r>
    </w:p>
    <w:p>
      <w:pPr>
        <w:widowControl/>
        <w:snapToGrid w:val="0"/>
        <w:spacing w:line="520" w:lineRule="exact"/>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bidi="ar"/>
        </w:rPr>
        <w:t>结合资料收集、现场勘查、人员访谈和重点区域及重点设施识别等</w:t>
      </w:r>
      <w:r>
        <w:rPr>
          <w:rFonts w:hint="eastAsia" w:ascii="宋体" w:hAnsi="宋体" w:eastAsia="宋体" w:cs="宋体"/>
          <w:color w:val="auto"/>
          <w:kern w:val="0"/>
          <w:sz w:val="28"/>
          <w:szCs w:val="28"/>
          <w:highlight w:val="none"/>
          <w:lang w:val="en-US" w:eastAsia="zh-CN" w:bidi="ar"/>
        </w:rPr>
        <w:t>工作，重点排查对象为河南德利新能源材料有限公司可能涉及土壤和地下水污染的工业活动或设施，依据国家相关政策、标准、导则等要求，结合企业性质和特征污染物，制定了《河南德利新能源材料有限公司土壤和地下水监测方案》。</w:t>
      </w:r>
    </w:p>
    <w:p>
      <w:pPr>
        <w:widowControl/>
        <w:snapToGrid w:val="0"/>
        <w:spacing w:line="520" w:lineRule="exact"/>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本次地下水调查范围包括厂区地下水井和园区地下水井；本次土壤调查范围包括但不限于：主装置区、储罐区、装载区、RCO、消防水池、循环水池、锅炉房、调节池、事故水池等。土壤6个监测点位（其中5个监控点，1个背景点）；河南德利新能源材料有限公司厂区内无地下水监测井，公司于2016年12月委托中国水电十一局郑州科研设计有限公司编制了《河南德利新能源材料有限公司年产一万吨碳酸甲乙酯、碳酸二乙酯项目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河南德利新能源材料有限公司年产一万吨碳酸甲乙酯、碳酸二乙酯项目岩土工程勘察报告（剖面图、钻孔柱状图）。</w:t>
      </w:r>
    </w:p>
    <w:p>
      <w:pPr>
        <w:keepNext w:val="0"/>
        <w:keepLines w:val="0"/>
        <w:pageBreakBefore w:val="0"/>
        <w:widowControl/>
        <w:kinsoku/>
        <w:wordWrap/>
        <w:overflowPunct/>
        <w:topLinePunct w:val="0"/>
        <w:autoSpaceDE/>
        <w:autoSpaceDN/>
        <w:bidi w:val="0"/>
        <w:adjustRightInd/>
        <w:snapToGrid w:val="0"/>
        <w:spacing w:line="520" w:lineRule="exact"/>
        <w:ind w:firstLine="560" w:firstLineChars="200"/>
        <w:jc w:val="both"/>
        <w:textAlignment w:val="auto"/>
        <w:rPr>
          <w:rFonts w:hint="eastAsia" w:ascii="宋体" w:hAnsi="宋体" w:eastAsia="宋体" w:cs="宋体"/>
          <w:color w:val="auto"/>
          <w:kern w:val="0"/>
          <w:sz w:val="28"/>
          <w:szCs w:val="28"/>
          <w:highlight w:val="none"/>
          <w:lang w:val="en-US" w:eastAsia="zh-CN" w:bidi="ar"/>
        </w:rPr>
      </w:pPr>
      <w:bookmarkStart w:id="25" w:name="_Toc9357"/>
      <w:bookmarkStart w:id="26" w:name="_Toc758"/>
      <w:bookmarkStart w:id="27" w:name="_Toc10378"/>
      <w:bookmarkStart w:id="28" w:name="_Toc17769"/>
      <w:bookmarkStart w:id="29" w:name="_Toc53736316"/>
      <w:bookmarkStart w:id="30" w:name="_Toc26300"/>
      <w:bookmarkStart w:id="31" w:name="_Toc25635_WPSOffice_Level1"/>
      <w:bookmarkStart w:id="32" w:name="_Toc26004756"/>
      <w:bookmarkStart w:id="33" w:name="_Toc7590"/>
      <w:bookmarkStart w:id="34" w:name="_Toc22163"/>
      <w:bookmarkStart w:id="35" w:name="_Toc15642"/>
      <w:bookmarkStart w:id="36" w:name="_Toc22199821"/>
      <w:bookmarkStart w:id="37" w:name="_Toc20608"/>
      <w:bookmarkStart w:id="38" w:name="_Toc15774"/>
      <w:bookmarkStart w:id="39" w:name="_Toc16632"/>
      <w:bookmarkStart w:id="40" w:name="_Toc22773_WPSOffice_Level2"/>
      <w:r>
        <w:rPr>
          <w:rFonts w:hint="eastAsia" w:ascii="宋体" w:hAnsi="宋体" w:eastAsia="宋体" w:cs="宋体"/>
          <w:color w:val="auto"/>
          <w:kern w:val="0"/>
          <w:sz w:val="28"/>
          <w:szCs w:val="28"/>
          <w:highlight w:val="none"/>
          <w:lang w:val="en-US" w:eastAsia="zh-CN" w:bidi="ar"/>
        </w:rPr>
        <w:t>鉴于以上情况，洛阳市达峰环境检测有限公司于2023年6月18日开始进行本年度土壤的现场采集工作，并于2023年6月28日出具了编号为：DFJC-012-06-2023的检测报告，根据自行监测方案及现场实际、现场采样情况及土壤样品监测数据情况，编制了本自行监测报告。</w:t>
      </w:r>
    </w:p>
    <w:p>
      <w:pPr>
        <w:pStyle w:val="8"/>
        <w:outlineLvl w:val="1"/>
        <w:rPr>
          <w:rFonts w:hint="eastAsia" w:ascii="宋体" w:hAnsi="宋体" w:eastAsia="宋体" w:cs="宋体"/>
          <w:color w:val="auto"/>
          <w:highlight w:val="none"/>
        </w:rPr>
      </w:pPr>
      <w:bookmarkStart w:id="41" w:name="_Toc14515"/>
      <w:r>
        <w:rPr>
          <w:rFonts w:hint="eastAsia" w:ascii="宋体" w:hAnsi="宋体" w:eastAsia="宋体" w:cs="宋体"/>
          <w:color w:val="auto"/>
          <w:highlight w:val="none"/>
        </w:rPr>
        <w:t>1.2</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Fonts w:hint="eastAsia" w:ascii="宋体" w:hAnsi="宋体" w:eastAsia="宋体" w:cs="宋体"/>
          <w:color w:val="auto"/>
          <w:highlight w:val="none"/>
          <w:lang w:eastAsia="zh-CN"/>
        </w:rPr>
        <w:t>工作</w:t>
      </w:r>
      <w:r>
        <w:rPr>
          <w:rFonts w:hint="eastAsia" w:ascii="宋体" w:hAnsi="宋体" w:eastAsia="宋体" w:cs="宋体"/>
          <w:color w:val="auto"/>
          <w:highlight w:val="none"/>
        </w:rPr>
        <w:t>依据</w:t>
      </w:r>
      <w:bookmarkEnd w:id="41"/>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.1法律、法规、</w:t>
      </w:r>
      <w:bookmarkStart w:id="42" w:name="_Toc27394_WPSOffice_Level1"/>
      <w:r>
        <w:rPr>
          <w:rFonts w:hint="eastAsia" w:ascii="宋体" w:hAnsi="宋体" w:eastAsia="宋体" w:cs="宋体"/>
          <w:color w:val="auto"/>
          <w:sz w:val="28"/>
          <w:szCs w:val="28"/>
          <w:highlight w:val="none"/>
          <w:u w:val="none"/>
        </w:rPr>
        <w:t>政策</w:t>
      </w:r>
    </w:p>
    <w:bookmarkEnd w:id="42"/>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（1）《中华人民共和国环境保护法》（2014.4.24）</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）《中华人民共和国水污染防治法》（2017.6.27）</w:t>
      </w:r>
    </w:p>
    <w:p>
      <w:pPr>
        <w:keepNext w:val="0"/>
        <w:keepLines w:val="0"/>
        <w:pageBreakBefore w:val="0"/>
        <w:widowControl/>
        <w:kinsoku/>
        <w:wordWrap/>
        <w:overflowPunct/>
        <w:topLinePunct w:val="0"/>
        <w:autoSpaceDE/>
        <w:autoSpaceDN/>
        <w:bidi w:val="0"/>
        <w:adjustRightInd/>
        <w:snapToGrid/>
        <w:spacing w:line="360" w:lineRule="auto"/>
        <w:ind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3</w:t>
      </w:r>
      <w:r>
        <w:rPr>
          <w:rFonts w:hint="eastAsia" w:ascii="宋体" w:hAnsi="宋体" w:eastAsia="宋体" w:cs="宋体"/>
          <w:color w:val="auto"/>
          <w:sz w:val="28"/>
          <w:szCs w:val="28"/>
          <w:highlight w:val="none"/>
          <w:u w:val="none"/>
        </w:rPr>
        <w:t>）《中华人民共和国土壤污染防治法》（2019.1.1）</w:t>
      </w:r>
    </w:p>
    <w:p>
      <w:pPr>
        <w:keepNext w:val="0"/>
        <w:keepLines w:val="0"/>
        <w:pageBreakBefore w:val="0"/>
        <w:widowControl/>
        <w:kinsoku/>
        <w:wordWrap/>
        <w:overflowPunct/>
        <w:topLinePunct w:val="0"/>
        <w:autoSpaceDE/>
        <w:autoSpaceDN/>
        <w:bidi w:val="0"/>
        <w:adjustRightInd/>
        <w:snapToGrid/>
        <w:spacing w:line="360" w:lineRule="auto"/>
        <w:ind w:right="0" w:firstLine="560" w:firstLineChars="200"/>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4</w:t>
      </w:r>
      <w:r>
        <w:rPr>
          <w:rFonts w:hint="eastAsia" w:ascii="宋体" w:hAnsi="宋体" w:eastAsia="宋体" w:cs="宋体"/>
          <w:color w:val="auto"/>
          <w:sz w:val="28"/>
          <w:szCs w:val="28"/>
          <w:highlight w:val="none"/>
          <w:u w:val="none"/>
        </w:rPr>
        <w:t>）《建设项目环境保护管理条例》（国务院令第682号）</w:t>
      </w:r>
      <w:r>
        <w:rPr>
          <w:rFonts w:hint="eastAsia" w:ascii="宋体" w:hAnsi="宋体" w:eastAsia="宋体" w:cs="宋体"/>
          <w:color w:val="auto"/>
          <w:sz w:val="28"/>
          <w:szCs w:val="28"/>
          <w:highlight w:val="none"/>
          <w:u w:val="none"/>
          <w:lang w:val="en-US"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1.2.2部门规章及相关规范性文件</w:t>
      </w:r>
    </w:p>
    <w:bookmarkEnd w:id="39"/>
    <w:bookmarkEnd w:id="40"/>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bookmarkStart w:id="43" w:name="_Toc22210"/>
      <w:r>
        <w:rPr>
          <w:rFonts w:hint="eastAsia" w:ascii="宋体" w:hAnsi="宋体" w:eastAsia="宋体" w:cs="宋体"/>
          <w:color w:val="auto"/>
          <w:sz w:val="28"/>
          <w:szCs w:val="28"/>
          <w:highlight w:val="none"/>
          <w:u w:val="none"/>
        </w:rPr>
        <w:t>（1）《全国生态环境保护纲要》（国发〔2000〕38号），2000年12月21日；</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（2）《全国地下水污染物防治规划（2011-2020）》（环发〔2011〕128号）；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（3）《国务院关于落实科学发展观加强环境保护的决定》（国发〔2005〕39号），2005年12月3号；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（4）《国务院关于加强环境保护重点工作的意见》（国发〔2011〕35号）；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（5）《水污染防治行动计划》（国发〔2015〕17号）；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（6）《土壤污染防治行动计划》（国发〔2016〕31号）；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（7）《工矿用地土壤环境管理办法（试行）》（生态环境部令第3号）；</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（8）《关于加强涉重金属行业污染防控的意见》（环土壤〔2018〕22号）；</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《企业突发环境事件隐患排查和治理工作指南》（2016年，生态环境部公告第74号）；</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10</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重点单位土壤污染隐患排查指南（试行）</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生态环境部2021年第1号</w:t>
      </w:r>
      <w:r>
        <w:rPr>
          <w:rFonts w:hint="eastAsia" w:ascii="宋体" w:hAnsi="宋体" w:eastAsia="宋体" w:cs="宋体"/>
          <w:color w:val="auto"/>
          <w:sz w:val="28"/>
          <w:szCs w:val="28"/>
          <w:highlight w:val="none"/>
          <w:u w:val="none"/>
          <w:lang w:eastAsia="zh-CN"/>
        </w:rPr>
        <w:t>）；</w:t>
      </w:r>
    </w:p>
    <w:p>
      <w:pPr>
        <w:pageBreakBefore w:val="0"/>
        <w:kinsoku/>
        <w:wordWrap/>
        <w:overflowPunct/>
        <w:topLinePunct w:val="0"/>
        <w:bidi w:val="0"/>
        <w:spacing w:line="360" w:lineRule="auto"/>
        <w:ind w:left="0" w:leftChars="0" w:right="0" w:firstLine="560"/>
        <w:outlineLvl w:val="3"/>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11</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“十四五”土壤、地下水和农村生态环境保护规划</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.3地方性法规、规章及相关规范文件</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《河南省建设项目环境保护条例》，2016年修订；</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《河南省减少污染物排放条例》，2014年1月1日；</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《河南省水污染防治条例》，2010年3月1日起施行；</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《河南省清洁土壤行动计划》（豫政〔2017〕13号）；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《河南省人民政府关于打好土壤污染防治攻坚战实施意见》（豫政〔2017〕45号）；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《河南省重金属污染防治工作指导意见》（豫环文〔2017〕277号）；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《河南省环境保护厅关于印发河南省涉重金属重点行业污染防控工作方案的通知》（豫环文〔2018〕262号）；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河南省生态环境厅</w:t>
      </w:r>
      <w:r>
        <w:rPr>
          <w:rFonts w:hint="eastAsia" w:ascii="宋体" w:hAnsi="宋体" w:eastAsia="宋体" w:cs="宋体"/>
          <w:color w:val="auto"/>
          <w:sz w:val="28"/>
          <w:szCs w:val="28"/>
          <w:highlight w:val="none"/>
          <w:u w:val="none"/>
        </w:rPr>
        <w:t>关于印发土壤污染重点监管单位隐患排查“回头看”工作方案的通知</w:t>
      </w:r>
      <w:r>
        <w:rPr>
          <w:rFonts w:hint="eastAsia" w:ascii="宋体" w:hAnsi="宋体" w:eastAsia="宋体" w:cs="宋体"/>
          <w:color w:val="auto"/>
          <w:sz w:val="28"/>
          <w:szCs w:val="28"/>
          <w:highlight w:val="none"/>
          <w:u w:val="none"/>
          <w:lang w:eastAsia="zh-CN"/>
        </w:rPr>
        <w:t>》；</w:t>
      </w:r>
    </w:p>
    <w:p>
      <w:pPr>
        <w:pageBreakBefore w:val="0"/>
        <w:numPr>
          <w:ilvl w:val="0"/>
          <w:numId w:val="2"/>
        </w:numPr>
        <w:kinsoku/>
        <w:wordWrap/>
        <w:overflowPunct/>
        <w:topLinePunct w:val="0"/>
        <w:bidi w:val="0"/>
        <w:spacing w:line="360" w:lineRule="auto"/>
        <w:ind w:left="0" w:leftChars="0" w:right="0" w:firstLine="560" w:firstLineChars="200"/>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《关于更新2023年土壤、地下水环境重点监管单位名录的公示》</w:t>
      </w:r>
      <w:r>
        <w:rPr>
          <w:rFonts w:hint="eastAsia" w:ascii="宋体" w:hAnsi="宋体" w:eastAsia="宋体" w:cs="宋体"/>
          <w:color w:val="auto"/>
          <w:sz w:val="28"/>
          <w:szCs w:val="28"/>
          <w:highlight w:val="none"/>
          <w:u w:val="none"/>
          <w:lang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bookmarkStart w:id="44" w:name="_Toc20868_WPSOffice_Level2"/>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.4技术规范</w:t>
      </w:r>
      <w:bookmarkEnd w:id="44"/>
    </w:p>
    <w:p>
      <w:pPr>
        <w:pageBreakBefore w:val="0"/>
        <w:widowControl/>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（1）《污染场地术语》（HJ682-2014）；</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w:t>
      </w:r>
      <w:r>
        <w:rPr>
          <w:rFonts w:hint="eastAsia" w:ascii="宋体" w:hAnsi="宋体" w:eastAsia="宋体" w:cs="宋体"/>
          <w:color w:val="auto"/>
          <w:kern w:val="2"/>
          <w:sz w:val="28"/>
          <w:szCs w:val="28"/>
          <w:highlight w:val="none"/>
          <w:u w:val="none"/>
          <w:lang w:val="en-US" w:eastAsia="zh-CN" w:bidi="ar-SA"/>
        </w:rPr>
        <w:t>建设用地土壤污染状况调查技术导则</w:t>
      </w:r>
      <w:r>
        <w:rPr>
          <w:rFonts w:hint="eastAsia" w:ascii="宋体" w:hAnsi="宋体" w:eastAsia="宋体" w:cs="宋体"/>
          <w:color w:val="auto"/>
          <w:sz w:val="28"/>
          <w:szCs w:val="28"/>
          <w:highlight w:val="none"/>
          <w:u w:val="none"/>
        </w:rPr>
        <w:t>》（HJ25.1-201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w:t>
      </w:r>
      <w:r>
        <w:rPr>
          <w:rFonts w:hint="eastAsia" w:ascii="宋体" w:hAnsi="宋体" w:eastAsia="宋体" w:cs="宋体"/>
          <w:color w:val="auto"/>
          <w:kern w:val="2"/>
          <w:sz w:val="28"/>
          <w:szCs w:val="28"/>
          <w:highlight w:val="none"/>
          <w:u w:val="none"/>
          <w:lang w:val="en-US" w:eastAsia="zh-CN" w:bidi="ar-SA"/>
        </w:rPr>
        <w:t>建设用地土壤污染风险管控和修复监测技术导则</w:t>
      </w:r>
      <w:r>
        <w:rPr>
          <w:rFonts w:hint="eastAsia" w:ascii="宋体" w:hAnsi="宋体" w:eastAsia="宋体" w:cs="宋体"/>
          <w:color w:val="auto"/>
          <w:sz w:val="28"/>
          <w:szCs w:val="28"/>
          <w:highlight w:val="none"/>
          <w:u w:val="none"/>
        </w:rPr>
        <w:t>》（HJ25.2-201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w:t>
      </w:r>
      <w:r>
        <w:rPr>
          <w:rFonts w:hint="eastAsia" w:ascii="宋体" w:hAnsi="宋体" w:eastAsia="宋体" w:cs="宋体"/>
          <w:color w:val="auto"/>
          <w:kern w:val="2"/>
          <w:sz w:val="28"/>
          <w:szCs w:val="28"/>
          <w:highlight w:val="none"/>
          <w:u w:val="none"/>
          <w:lang w:val="en-US" w:eastAsia="zh-CN" w:bidi="ar-SA"/>
        </w:rPr>
        <w:t>建设用地土壤污染风险评估技术导则</w:t>
      </w:r>
      <w:r>
        <w:rPr>
          <w:rFonts w:hint="eastAsia" w:ascii="宋体" w:hAnsi="宋体" w:eastAsia="宋体" w:cs="宋体"/>
          <w:color w:val="auto"/>
          <w:sz w:val="28"/>
          <w:szCs w:val="28"/>
          <w:highlight w:val="none"/>
          <w:u w:val="none"/>
        </w:rPr>
        <w:t>》（HJ25.3-201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（5）《地下水环境监测技术规范》（HJ164－20</w:t>
      </w:r>
      <w:r>
        <w:rPr>
          <w:rFonts w:hint="eastAsia" w:ascii="宋体" w:hAnsi="宋体" w:eastAsia="宋体" w:cs="宋体"/>
          <w:color w:val="auto"/>
          <w:sz w:val="28"/>
          <w:szCs w:val="28"/>
          <w:highlight w:val="none"/>
          <w:u w:val="none"/>
          <w:lang w:val="en-US" w:eastAsia="zh-CN"/>
        </w:rPr>
        <w:t>20</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（6）《土壤环境监测技术规范》（HJ/T166-2004）；</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（7）《排污单位自行监测技术指南总则》（HJ819-2017）；</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8</w:t>
      </w:r>
      <w:r>
        <w:rPr>
          <w:rFonts w:hint="eastAsia" w:ascii="宋体" w:hAnsi="宋体" w:eastAsia="宋体" w:cs="宋体"/>
          <w:color w:val="auto"/>
          <w:sz w:val="28"/>
          <w:szCs w:val="28"/>
          <w:highlight w:val="none"/>
          <w:u w:val="none"/>
        </w:rPr>
        <w:t>）《土壤环境质量建设用地土壤污染风险管控标准（试行）》（GB36600-2018）；</w:t>
      </w:r>
    </w:p>
    <w:p>
      <w:pPr>
        <w:pageBreakBefore w:val="0"/>
        <w:widowControl/>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）《地下水质量标准》（GB/T</w:t>
      </w:r>
      <w:r>
        <w:rPr>
          <w:rFonts w:hint="eastAsia" w:ascii="宋体" w:hAnsi="宋体" w:eastAsia="宋体" w:cs="宋体"/>
          <w:color w:val="auto"/>
          <w:sz w:val="28"/>
          <w:szCs w:val="28"/>
          <w:highlight w:val="none"/>
          <w:u w:val="none"/>
          <w:lang w:val="en-US" w:eastAsia="zh-CN"/>
        </w:rPr>
        <w:t>1</w:t>
      </w:r>
      <w:r>
        <w:rPr>
          <w:rFonts w:hint="eastAsia" w:ascii="宋体" w:hAnsi="宋体" w:eastAsia="宋体" w:cs="宋体"/>
          <w:color w:val="auto"/>
          <w:sz w:val="28"/>
          <w:szCs w:val="28"/>
          <w:highlight w:val="none"/>
          <w:u w:val="none"/>
        </w:rPr>
        <w:t>4848-2017）；</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0</w:t>
      </w:r>
      <w:r>
        <w:rPr>
          <w:rFonts w:hint="eastAsia" w:ascii="宋体" w:hAnsi="宋体" w:eastAsia="宋体" w:cs="宋体"/>
          <w:color w:val="auto"/>
          <w:sz w:val="28"/>
          <w:szCs w:val="28"/>
          <w:highlight w:val="none"/>
          <w:u w:val="none"/>
        </w:rPr>
        <w:t>）《在产企业土壤及地下水自行监测技术指南》（征求意见稿）。</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11</w:t>
      </w:r>
      <w:r>
        <w:rPr>
          <w:rFonts w:hint="eastAsia" w:ascii="宋体" w:hAnsi="宋体" w:eastAsia="宋体" w:cs="宋体"/>
          <w:color w:val="auto"/>
          <w:sz w:val="28"/>
          <w:szCs w:val="28"/>
          <w:highlight w:val="none"/>
          <w:u w:val="none"/>
          <w:lang w:eastAsia="zh-CN"/>
        </w:rPr>
        <w:t>）《工业企业土壤和地下水自行监测技术指南（试行）》（HJ1209—2021）；</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val="en-US" w:eastAsia="zh-CN"/>
        </w:rPr>
        <w:t>（12）</w:t>
      </w:r>
      <w:r>
        <w:rPr>
          <w:rFonts w:hint="eastAsia" w:ascii="宋体" w:hAnsi="宋体" w:eastAsia="宋体" w:cs="宋体"/>
          <w:color w:val="auto"/>
          <w:sz w:val="28"/>
          <w:szCs w:val="28"/>
          <w:highlight w:val="none"/>
          <w:u w:val="none"/>
        </w:rPr>
        <w:t>《场地环境调查技术指导》（HJ25.1-201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13</w:t>
      </w:r>
      <w:r>
        <w:rPr>
          <w:rFonts w:hint="eastAsia" w:ascii="宋体" w:hAnsi="宋体" w:eastAsia="宋体" w:cs="宋体"/>
          <w:color w:val="auto"/>
          <w:sz w:val="28"/>
          <w:szCs w:val="28"/>
          <w:highlight w:val="none"/>
          <w:u w:val="none"/>
        </w:rPr>
        <w:t>）《场地环境监测技术导则》（HJ25.2-201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highlight w:val="none"/>
          <w:u w:val="none"/>
        </w:rPr>
      </w:pPr>
      <w:r>
        <w:rPr>
          <w:rFonts w:hint="eastAsia" w:ascii="宋体" w:hAnsi="宋体" w:eastAsia="宋体" w:cs="宋体"/>
          <w:color w:val="auto"/>
          <w:sz w:val="28"/>
          <w:highlight w:val="none"/>
          <w:u w:val="none"/>
        </w:rPr>
        <w:t>1.</w:t>
      </w:r>
      <w:r>
        <w:rPr>
          <w:rFonts w:hint="eastAsia" w:ascii="宋体" w:hAnsi="宋体" w:eastAsia="宋体" w:cs="宋体"/>
          <w:color w:val="auto"/>
          <w:sz w:val="28"/>
          <w:highlight w:val="none"/>
          <w:u w:val="none"/>
          <w:lang w:val="en-US" w:eastAsia="zh-CN"/>
        </w:rPr>
        <w:t>2</w:t>
      </w:r>
      <w:r>
        <w:rPr>
          <w:rFonts w:hint="eastAsia" w:ascii="宋体" w:hAnsi="宋体" w:eastAsia="宋体" w:cs="宋体"/>
          <w:color w:val="auto"/>
          <w:sz w:val="28"/>
          <w:highlight w:val="none"/>
          <w:u w:val="none"/>
        </w:rPr>
        <w:t>.5收集资料</w:t>
      </w:r>
    </w:p>
    <w:p>
      <w:pPr>
        <w:autoSpaceDE w:val="0"/>
        <w:autoSpaceDN w:val="0"/>
        <w:spacing w:line="52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（1）《河南德利新能源材料有限公司年产1万吨碳酸甲乙酯、碳酸二乙酯项目环境影响报告书》及其批复、验收文件；</w:t>
      </w:r>
    </w:p>
    <w:p>
      <w:pPr>
        <w:autoSpaceDE w:val="0"/>
        <w:autoSpaceDN w:val="0"/>
        <w:spacing w:line="52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（2）《河南德利新能源材料有限公司新建6吨天然气锅炉项目环境影响报告表》及其批复、验收文件；</w:t>
      </w:r>
    </w:p>
    <w:p>
      <w:pPr>
        <w:autoSpaceDE w:val="0"/>
        <w:autoSpaceDN w:val="0"/>
        <w:spacing w:line="52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（3）《河南德利新能源材料有限公司年产3万吨碳酸甲乙酯扩能改造项目》及其批复文件；</w:t>
      </w:r>
    </w:p>
    <w:p>
      <w:pPr>
        <w:autoSpaceDE w:val="0"/>
        <w:autoSpaceDN w:val="0"/>
        <w:spacing w:line="520" w:lineRule="exact"/>
        <w:ind w:firstLine="560" w:firstLineChars="200"/>
        <w:jc w:val="left"/>
        <w:outlineLvl w:val="3"/>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（4）RCO有机废气治理设施设计资料、现场情况及收集资料。</w:t>
      </w:r>
    </w:p>
    <w:p>
      <w:pPr>
        <w:pStyle w:val="8"/>
        <w:outlineLvl w:val="1"/>
        <w:rPr>
          <w:rFonts w:hint="eastAsia" w:ascii="宋体" w:hAnsi="宋体" w:eastAsia="宋体" w:cs="宋体"/>
          <w:color w:val="auto"/>
          <w:highlight w:val="none"/>
          <w:lang w:val="en-US" w:eastAsia="zh-CN"/>
        </w:rPr>
      </w:pPr>
      <w:bookmarkStart w:id="45" w:name="_Toc26799"/>
      <w:r>
        <w:rPr>
          <w:rFonts w:hint="eastAsia" w:ascii="宋体" w:hAnsi="宋体" w:eastAsia="宋体" w:cs="宋体"/>
          <w:color w:val="auto"/>
          <w:highlight w:val="none"/>
          <w:lang w:val="en-US" w:eastAsia="zh-CN"/>
        </w:rPr>
        <w:t>1.3工作内容及技术路线</w:t>
      </w:r>
      <w:bookmarkEnd w:id="43"/>
      <w:bookmarkEnd w:id="45"/>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46" w:name="_Toc28139"/>
      <w:bookmarkStart w:id="47" w:name="_Toc21910"/>
      <w:bookmarkStart w:id="48" w:name="_Toc6562"/>
      <w:bookmarkStart w:id="49" w:name="_Toc26988"/>
      <w:r>
        <w:rPr>
          <w:rFonts w:hint="eastAsia" w:ascii="宋体" w:hAnsi="宋体" w:eastAsia="宋体" w:cs="宋体"/>
          <w:b w:val="0"/>
          <w:bCs w:val="0"/>
          <w:snapToGrid/>
          <w:spacing w:val="6"/>
          <w:kern w:val="0"/>
          <w:sz w:val="28"/>
          <w:szCs w:val="22"/>
          <w:lang w:val="en-US" w:eastAsia="zh-CN" w:bidi="ar"/>
        </w:rPr>
        <w:t>本次监测范围为企业</w:t>
      </w:r>
      <w:r>
        <w:rPr>
          <w:rFonts w:hint="eastAsia" w:ascii="宋体" w:hAnsi="宋体" w:eastAsia="宋体" w:cs="宋体"/>
          <w:b w:val="0"/>
          <w:bCs w:val="0"/>
          <w:snapToGrid/>
          <w:spacing w:val="6"/>
          <w:kern w:val="0"/>
          <w:sz w:val="28"/>
          <w:szCs w:val="22"/>
          <w:highlight w:val="none"/>
          <w:lang w:val="en-US" w:eastAsia="zh-CN" w:bidi="ar"/>
        </w:rPr>
        <w:t>厂区范围内的土壤。</w:t>
      </w:r>
      <w:r>
        <w:rPr>
          <w:rFonts w:hint="eastAsia" w:ascii="宋体" w:hAnsi="宋体" w:eastAsia="宋体" w:cs="宋体"/>
          <w:b w:val="0"/>
          <w:bCs w:val="0"/>
          <w:snapToGrid/>
          <w:spacing w:val="6"/>
          <w:kern w:val="0"/>
          <w:sz w:val="28"/>
          <w:szCs w:val="22"/>
          <w:lang w:val="en-US" w:eastAsia="zh-CN" w:bidi="ar"/>
        </w:rPr>
        <w:t>主要工作内容如下：场地历史资料收集和初步整理、现场踏勘和人员访谈、工作方案编制、样品采集分析测试、综合研究分析与报告编制。</w:t>
      </w:r>
      <w:bookmarkEnd w:id="46"/>
      <w:bookmarkEnd w:id="47"/>
      <w:bookmarkEnd w:id="48"/>
      <w:bookmarkEnd w:id="49"/>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50" w:name="_Toc18438"/>
      <w:bookmarkStart w:id="51" w:name="_Toc27595"/>
      <w:bookmarkStart w:id="52" w:name="_Toc26167"/>
      <w:bookmarkStart w:id="53" w:name="_Toc24316"/>
      <w:r>
        <w:rPr>
          <w:rFonts w:hint="eastAsia" w:ascii="宋体" w:hAnsi="宋体" w:eastAsia="宋体" w:cs="宋体"/>
          <w:b w:val="0"/>
          <w:bCs w:val="0"/>
          <w:snapToGrid/>
          <w:spacing w:val="6"/>
          <w:kern w:val="0"/>
          <w:sz w:val="28"/>
          <w:szCs w:val="22"/>
          <w:lang w:val="en-US" w:eastAsia="zh-CN" w:bidi="ar"/>
        </w:rPr>
        <w:t>企业资料收集和初步整理：通过多种渠道和方式收集企业资料并整理，根据企业生产经营资料对企业土壤进行初步研判。收集地块周边环境资料，尤其是土壤和周围水环境的历史资料信息，初步判断存在土壤污染隐患重点区域。</w:t>
      </w:r>
      <w:bookmarkEnd w:id="50"/>
      <w:bookmarkEnd w:id="51"/>
      <w:bookmarkEnd w:id="52"/>
      <w:bookmarkEnd w:id="53"/>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54" w:name="_Toc20285"/>
      <w:bookmarkStart w:id="55" w:name="_Toc22343"/>
      <w:bookmarkStart w:id="56" w:name="_Toc25966"/>
      <w:bookmarkStart w:id="57" w:name="_Toc15315"/>
      <w:r>
        <w:rPr>
          <w:rFonts w:hint="eastAsia" w:ascii="宋体" w:hAnsi="宋体" w:eastAsia="宋体" w:cs="宋体"/>
          <w:b w:val="0"/>
          <w:bCs w:val="0"/>
          <w:snapToGrid/>
          <w:spacing w:val="6"/>
          <w:kern w:val="0"/>
          <w:sz w:val="28"/>
          <w:szCs w:val="22"/>
          <w:lang w:val="en-US" w:eastAsia="zh-CN" w:bidi="ar"/>
        </w:rPr>
        <w:t>现场踏勘：实地踏勘场地时，利用激光测距仪测量场地距离，用GPS对企业地块进行精准定位，生产环境进行拍照记录。</w:t>
      </w:r>
      <w:bookmarkEnd w:id="54"/>
      <w:bookmarkEnd w:id="55"/>
      <w:bookmarkEnd w:id="56"/>
      <w:bookmarkEnd w:id="57"/>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58" w:name="_Toc9347"/>
      <w:bookmarkStart w:id="59" w:name="_Toc25848"/>
      <w:bookmarkStart w:id="60" w:name="_Toc6135"/>
      <w:bookmarkStart w:id="61" w:name="_Toc32054"/>
      <w:r>
        <w:rPr>
          <w:rFonts w:hint="eastAsia" w:ascii="宋体" w:hAnsi="宋体" w:eastAsia="宋体" w:cs="宋体"/>
          <w:b w:val="0"/>
          <w:bCs w:val="0"/>
          <w:snapToGrid/>
          <w:spacing w:val="6"/>
          <w:kern w:val="0"/>
          <w:sz w:val="28"/>
          <w:szCs w:val="22"/>
          <w:lang w:val="en-US" w:eastAsia="zh-CN" w:bidi="ar"/>
        </w:rPr>
        <w:t>人员访谈：对企业工作人员和管理领导人员等进行访谈，对资料收集和现场踏勘所涉及的疑问，以及信息补充和已有资料的考证。</w:t>
      </w:r>
      <w:bookmarkEnd w:id="58"/>
      <w:bookmarkEnd w:id="59"/>
      <w:bookmarkEnd w:id="60"/>
      <w:bookmarkEnd w:id="61"/>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62" w:name="_Toc31665"/>
      <w:bookmarkStart w:id="63" w:name="_Toc3653"/>
      <w:bookmarkStart w:id="64" w:name="_Toc10334"/>
      <w:bookmarkStart w:id="65" w:name="_Toc15813"/>
      <w:r>
        <w:rPr>
          <w:rFonts w:hint="eastAsia" w:ascii="宋体" w:hAnsi="宋体" w:eastAsia="宋体" w:cs="宋体"/>
          <w:b w:val="0"/>
          <w:bCs w:val="0"/>
          <w:snapToGrid/>
          <w:spacing w:val="6"/>
          <w:kern w:val="0"/>
          <w:sz w:val="28"/>
          <w:szCs w:val="22"/>
          <w:lang w:val="en-US" w:eastAsia="zh-CN" w:bidi="ar"/>
        </w:rPr>
        <w:t>排查重点场所及重点设施设备：对收集的资料以及现场踏勘，识别可能存在土壤和地下水环境污染隐患的场所、设施及设备。</w:t>
      </w:r>
      <w:bookmarkEnd w:id="62"/>
      <w:bookmarkEnd w:id="63"/>
      <w:bookmarkEnd w:id="64"/>
      <w:bookmarkEnd w:id="65"/>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66" w:name="_Toc4500"/>
      <w:bookmarkStart w:id="67" w:name="_Toc30496"/>
      <w:bookmarkStart w:id="68" w:name="_Toc19730"/>
      <w:r>
        <w:rPr>
          <w:rFonts w:hint="eastAsia" w:ascii="宋体" w:hAnsi="宋体" w:eastAsia="宋体" w:cs="宋体"/>
          <w:b w:val="0"/>
          <w:bCs w:val="0"/>
          <w:snapToGrid/>
          <w:spacing w:val="6"/>
          <w:kern w:val="0"/>
          <w:sz w:val="28"/>
          <w:szCs w:val="22"/>
          <w:lang w:val="en-US" w:eastAsia="zh-CN" w:bidi="ar"/>
        </w:rPr>
        <w:t>确定重点监测单元：根据调查结果进行分析、评价和总结，参考《重点监管单位土壤污染隐患排查指南（试行）》确定重点场所和设备，并根据《工业企业土壤和地下水自行监测技术指南（试行）》HJ1209-2021。划分重点监测单元风险级别。现场工作方案编制：依据重点监测单元风险级别、场地历史资料、现场踏勘及人员访谈成果，编制自行监测工作方案。</w:t>
      </w:r>
      <w:bookmarkEnd w:id="66"/>
      <w:bookmarkEnd w:id="67"/>
      <w:bookmarkEnd w:id="68"/>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69" w:name="_Toc6668"/>
      <w:bookmarkStart w:id="70" w:name="_Toc32666"/>
      <w:bookmarkStart w:id="71" w:name="_Toc13667"/>
      <w:bookmarkStart w:id="72" w:name="_Toc2370"/>
      <w:r>
        <w:rPr>
          <w:rFonts w:hint="eastAsia" w:ascii="宋体" w:hAnsi="宋体" w:eastAsia="宋体" w:cs="宋体"/>
          <w:b w:val="0"/>
          <w:bCs w:val="0"/>
          <w:snapToGrid/>
          <w:spacing w:val="6"/>
          <w:kern w:val="0"/>
          <w:sz w:val="28"/>
          <w:szCs w:val="22"/>
          <w:lang w:val="en-US" w:eastAsia="zh-CN" w:bidi="ar"/>
        </w:rPr>
        <w:t>现场采样和实验室分析：现场采样前如缺少土壤和地下水监测设施，需按相关技术标准提前进行建设，满足现场监测或采样条件后方可开始进行样品的采集。样品的采集和实验室检测分析，整理调查信息和检测结果，评估检测数据的质量，分析数据的有效性和充分性。根据土壤检测结果进行统计分析，确定地块关注污染物种类、浓度水平和空间分布，确认所监测重点设施或重点区域是否超过国家规定的限值标准。</w:t>
      </w:r>
      <w:bookmarkEnd w:id="69"/>
      <w:bookmarkEnd w:id="70"/>
      <w:bookmarkEnd w:id="71"/>
      <w:bookmarkEnd w:id="72"/>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73" w:name="_Toc6043"/>
      <w:bookmarkStart w:id="74" w:name="_Toc27666"/>
      <w:bookmarkStart w:id="75" w:name="_Toc24444"/>
      <w:bookmarkStart w:id="76" w:name="_Toc12503"/>
      <w:r>
        <w:rPr>
          <w:rFonts w:hint="eastAsia" w:ascii="宋体" w:hAnsi="宋体" w:eastAsia="宋体" w:cs="宋体"/>
          <w:b w:val="0"/>
          <w:bCs w:val="0"/>
          <w:snapToGrid/>
          <w:spacing w:val="6"/>
          <w:kern w:val="0"/>
          <w:sz w:val="28"/>
          <w:szCs w:val="22"/>
          <w:lang w:val="en-US" w:eastAsia="zh-CN" w:bidi="ar"/>
        </w:rPr>
        <w:t>报告编制：编写本次自行监测方案，包括描述任务来源及依据、现场工作情况、企业污染源概况、监测布点情况、样品采集分析测试要求等内容。</w:t>
      </w:r>
      <w:bookmarkEnd w:id="73"/>
      <w:bookmarkEnd w:id="74"/>
      <w:bookmarkEnd w:id="75"/>
      <w:bookmarkEnd w:id="76"/>
    </w:p>
    <w:p>
      <w:pPr>
        <w:bidi w:val="0"/>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77" w:name="_Toc3794"/>
      <w:bookmarkStart w:id="78" w:name="_Toc3675"/>
      <w:bookmarkStart w:id="79" w:name="_Toc5079"/>
      <w:bookmarkStart w:id="80" w:name="_Toc19514"/>
      <w:r>
        <w:rPr>
          <w:rFonts w:hint="eastAsia" w:ascii="宋体" w:hAnsi="宋体" w:eastAsia="宋体" w:cs="宋体"/>
          <w:b w:val="0"/>
          <w:bCs w:val="0"/>
          <w:snapToGrid/>
          <w:spacing w:val="6"/>
          <w:kern w:val="0"/>
          <w:sz w:val="28"/>
          <w:szCs w:val="22"/>
          <w:lang w:val="en-US" w:eastAsia="zh-CN" w:bidi="ar"/>
        </w:rPr>
        <w:t>自行监测技术路线序流程图如下图1-1。</w:t>
      </w:r>
      <w:bookmarkEnd w:id="77"/>
      <w:bookmarkEnd w:id="78"/>
      <w:bookmarkEnd w:id="79"/>
      <w:bookmarkEnd w:id="80"/>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bookmarkStart w:id="81" w:name="_Toc11213"/>
      <w:bookmarkStart w:id="82" w:name="_Toc14701"/>
      <w:bookmarkStart w:id="83" w:name="_Toc17410"/>
      <w:r>
        <w:rPr>
          <w:rFonts w:hint="eastAsia" w:ascii="宋体" w:hAnsi="宋体" w:eastAsia="宋体" w:cs="宋体"/>
          <w:b/>
          <w:bCs/>
          <w:kern w:val="44"/>
          <w:szCs w:val="44"/>
        </w:rPr>
        <w:drawing>
          <wp:anchor distT="0" distB="0" distL="114300" distR="114300" simplePos="0" relativeHeight="251661312" behindDoc="1" locked="0" layoutInCell="1" allowOverlap="1">
            <wp:simplePos x="0" y="0"/>
            <wp:positionH relativeFrom="column">
              <wp:posOffset>346710</wp:posOffset>
            </wp:positionH>
            <wp:positionV relativeFrom="page">
              <wp:posOffset>907415</wp:posOffset>
            </wp:positionV>
            <wp:extent cx="5257800" cy="6362700"/>
            <wp:effectExtent l="0" t="0" r="0" b="12700"/>
            <wp:wrapTight wrapText="bothSides">
              <wp:wrapPolygon>
                <wp:start x="0" y="0"/>
                <wp:lineTo x="0" y="21557"/>
                <wp:lineTo x="21548" y="21557"/>
                <wp:lineTo x="21548" y="0"/>
                <wp:lineTo x="0" y="0"/>
              </wp:wrapPolygon>
            </wp:wrapTight>
            <wp:docPr id="28" name="图片 28" descr="C:\Users\DongTian\AppData\Local\Temp\ksohtml1964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DongTian\AppData\Local\Temp\ksohtml19648\wps1.jpg"/>
                    <pic:cNvPicPr>
                      <a:picLocks noChangeAspect="1" noChangeArrowheads="1"/>
                    </pic:cNvPicPr>
                  </pic:nvPicPr>
                  <pic:blipFill>
                    <a:blip r:embed="rId9"/>
                    <a:srcRect/>
                    <a:stretch>
                      <a:fillRect/>
                    </a:stretch>
                  </pic:blipFill>
                  <pic:spPr>
                    <a:xfrm>
                      <a:off x="0" y="0"/>
                      <a:ext cx="5257800" cy="6362700"/>
                    </a:xfrm>
                    <a:prstGeom prst="rect">
                      <a:avLst/>
                    </a:prstGeom>
                    <a:noFill/>
                    <a:ln>
                      <a:noFill/>
                    </a:ln>
                  </pic:spPr>
                </pic:pic>
              </a:graphicData>
            </a:graphic>
          </wp:anchor>
        </w:drawing>
      </w: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pStyle w:val="7"/>
        <w:bidi w:val="0"/>
        <w:jc w:val="center"/>
        <w:outlineLvl w:val="9"/>
        <w:rPr>
          <w:rFonts w:hint="eastAsia" w:ascii="宋体" w:hAnsi="宋体" w:eastAsia="宋体" w:cs="宋体"/>
          <w:b w:val="0"/>
          <w:bCs w:val="0"/>
          <w:color w:val="auto"/>
          <w:kern w:val="2"/>
          <w:sz w:val="28"/>
          <w:szCs w:val="24"/>
          <w:highlight w:val="none"/>
          <w:lang w:val="en-US" w:eastAsia="zh-CN" w:bidi="ar-SA"/>
        </w:rPr>
      </w:pPr>
    </w:p>
    <w:p>
      <w:pPr>
        <w:bidi w:val="0"/>
        <w:jc w:val="center"/>
        <w:outlineLvl w:val="9"/>
        <w:rPr>
          <w:rFonts w:hint="eastAsia" w:ascii="宋体" w:hAnsi="宋体" w:eastAsia="宋体" w:cs="宋体"/>
          <w:b w:val="0"/>
          <w:bCs w:val="0"/>
          <w:color w:val="auto"/>
          <w:kern w:val="2"/>
          <w:sz w:val="28"/>
          <w:szCs w:val="24"/>
          <w:highlight w:val="none"/>
          <w:lang w:val="en-US" w:eastAsia="zh-CN" w:bidi="ar-SA"/>
        </w:rPr>
      </w:pPr>
      <w:bookmarkStart w:id="84" w:name="_Toc17832"/>
    </w:p>
    <w:p>
      <w:pPr>
        <w:bidi w:val="0"/>
        <w:jc w:val="center"/>
        <w:outlineLvl w:val="9"/>
        <w:rPr>
          <w:rFonts w:hint="eastAsia" w:ascii="宋体" w:hAnsi="宋体" w:eastAsia="宋体" w:cs="宋体"/>
          <w:b w:val="0"/>
          <w:bCs w:val="0"/>
          <w:color w:val="auto"/>
          <w:kern w:val="2"/>
          <w:sz w:val="28"/>
          <w:szCs w:val="24"/>
          <w:highlight w:val="none"/>
          <w:lang w:val="en-US" w:eastAsia="zh-CN" w:bidi="ar-SA"/>
        </w:rPr>
      </w:pPr>
    </w:p>
    <w:p>
      <w:pPr>
        <w:bidi w:val="0"/>
        <w:jc w:val="center"/>
        <w:outlineLvl w:val="9"/>
        <w:rPr>
          <w:rFonts w:hint="eastAsia" w:ascii="宋体" w:hAnsi="宋体" w:eastAsia="宋体" w:cs="宋体"/>
          <w:b w:val="0"/>
          <w:bCs w:val="0"/>
          <w:color w:val="auto"/>
          <w:kern w:val="2"/>
          <w:sz w:val="28"/>
          <w:szCs w:val="24"/>
          <w:highlight w:val="none"/>
          <w:lang w:val="en-US" w:eastAsia="zh-CN" w:bidi="ar-SA"/>
        </w:rPr>
      </w:pPr>
    </w:p>
    <w:p>
      <w:pPr>
        <w:bidi w:val="0"/>
        <w:jc w:val="center"/>
        <w:outlineLvl w:val="9"/>
        <w:rPr>
          <w:rFonts w:hint="eastAsia" w:ascii="宋体" w:hAnsi="宋体" w:eastAsia="宋体" w:cs="宋体"/>
          <w:b w:val="0"/>
          <w:bCs w:val="0"/>
          <w:color w:val="auto"/>
          <w:kern w:val="2"/>
          <w:sz w:val="28"/>
          <w:szCs w:val="24"/>
          <w:highlight w:val="none"/>
          <w:lang w:val="en-US" w:eastAsia="zh-CN" w:bidi="ar-SA"/>
        </w:rPr>
      </w:pPr>
    </w:p>
    <w:p>
      <w:pPr>
        <w:bidi w:val="0"/>
        <w:jc w:val="center"/>
        <w:outlineLvl w:val="9"/>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图1-1 自行监测工作步骤</w:t>
      </w:r>
      <w:bookmarkEnd w:id="81"/>
      <w:bookmarkEnd w:id="82"/>
      <w:bookmarkEnd w:id="83"/>
      <w:bookmarkEnd w:id="84"/>
    </w:p>
    <w:p>
      <w:pPr>
        <w:pStyle w:val="5"/>
        <w:rPr>
          <w:rFonts w:hint="eastAsia" w:ascii="宋体" w:hAnsi="宋体" w:eastAsia="宋体" w:cs="宋体"/>
        </w:rPr>
      </w:pPr>
      <w:bookmarkStart w:id="85" w:name="_Toc25949"/>
      <w:bookmarkStart w:id="86" w:name="_Toc53736326"/>
      <w:bookmarkStart w:id="87" w:name="_Toc8750_WPSOffice_Level1"/>
      <w:bookmarkStart w:id="88" w:name="_Toc2060"/>
      <w:bookmarkStart w:id="89" w:name="_Toc32373"/>
      <w:bookmarkStart w:id="90" w:name="_Toc20176"/>
      <w:bookmarkStart w:id="91" w:name="_Toc6453"/>
      <w:bookmarkStart w:id="92" w:name="_Toc2672"/>
      <w:bookmarkStart w:id="93" w:name="_Toc6941"/>
      <w:bookmarkStart w:id="94" w:name="_Toc22199826"/>
      <w:bookmarkStart w:id="95" w:name="_Toc31745"/>
      <w:bookmarkStart w:id="96" w:name="_Toc18768"/>
      <w:bookmarkStart w:id="97" w:name="_Toc26004761"/>
    </w:p>
    <w:bookmarkEnd w:id="85"/>
    <w:bookmarkEnd w:id="86"/>
    <w:bookmarkEnd w:id="87"/>
    <w:bookmarkEnd w:id="88"/>
    <w:bookmarkEnd w:id="89"/>
    <w:bookmarkEnd w:id="90"/>
    <w:bookmarkEnd w:id="91"/>
    <w:bookmarkEnd w:id="92"/>
    <w:bookmarkEnd w:id="93"/>
    <w:bookmarkEnd w:id="94"/>
    <w:bookmarkEnd w:id="95"/>
    <w:bookmarkEnd w:id="96"/>
    <w:bookmarkEnd w:id="97"/>
    <w:p>
      <w:pPr>
        <w:rPr>
          <w:rFonts w:hint="eastAsia" w:ascii="宋体" w:hAnsi="宋体" w:eastAsia="宋体" w:cs="宋体"/>
          <w:color w:val="auto"/>
          <w:highlight w:val="none"/>
          <w:lang w:val="en-US" w:eastAsia="zh-CN"/>
        </w:rPr>
      </w:pPr>
      <w:bookmarkStart w:id="98" w:name="_Toc32720"/>
      <w:bookmarkStart w:id="99" w:name="_Toc7883"/>
      <w:r>
        <w:rPr>
          <w:rFonts w:hint="eastAsia" w:ascii="宋体" w:hAnsi="宋体" w:eastAsia="宋体" w:cs="宋体"/>
          <w:color w:val="auto"/>
          <w:highlight w:val="none"/>
          <w:lang w:val="en-US" w:eastAsia="zh-CN"/>
        </w:rPr>
        <w:br w:type="page"/>
      </w:r>
    </w:p>
    <w:p>
      <w:pPr>
        <w:pStyle w:val="7"/>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2.企业概况</w:t>
      </w:r>
      <w:bookmarkEnd w:id="98"/>
      <w:bookmarkEnd w:id="99"/>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根据收集到的资料，企业情况概括如下：</w:t>
      </w:r>
    </w:p>
    <w:p>
      <w:pPr>
        <w:pStyle w:val="8"/>
        <w:bidi w:val="0"/>
        <w:rPr>
          <w:rFonts w:hint="eastAsia" w:ascii="宋体" w:hAnsi="宋体" w:eastAsia="宋体" w:cs="宋体"/>
          <w:color w:val="auto"/>
          <w:highlight w:val="none"/>
          <w:lang w:val="en-US" w:eastAsia="zh-CN"/>
        </w:rPr>
      </w:pPr>
      <w:bookmarkStart w:id="100" w:name="_Toc2834"/>
      <w:bookmarkStart w:id="101" w:name="_Toc31248"/>
      <w:r>
        <w:rPr>
          <w:rFonts w:hint="eastAsia" w:ascii="宋体" w:hAnsi="宋体" w:eastAsia="宋体" w:cs="宋体"/>
          <w:color w:val="auto"/>
          <w:highlight w:val="none"/>
          <w:lang w:val="en-US" w:eastAsia="zh-CN"/>
        </w:rPr>
        <w:t>2.1企业基本情况</w:t>
      </w:r>
      <w:bookmarkEnd w:id="100"/>
      <w:bookmarkEnd w:id="101"/>
    </w:p>
    <w:p>
      <w:pPr>
        <w:spacing w:line="360" w:lineRule="auto"/>
        <w:ind w:firstLine="560"/>
        <w:rPr>
          <w:rFonts w:hint="eastAsia" w:ascii="宋体" w:hAnsi="宋体" w:eastAsia="宋体" w:cs="宋体"/>
          <w:color w:val="auto"/>
          <w:sz w:val="28"/>
          <w:szCs w:val="28"/>
          <w:highlight w:val="none"/>
          <w:u w:val="none" w:color="auto"/>
          <w:lang w:eastAsia="zh-CN"/>
        </w:rPr>
      </w:pPr>
      <w:r>
        <w:rPr>
          <w:rFonts w:hint="eastAsia" w:ascii="宋体" w:hAnsi="宋体" w:eastAsia="宋体" w:cs="宋体"/>
          <w:color w:val="auto"/>
          <w:sz w:val="28"/>
          <w:szCs w:val="28"/>
          <w:highlight w:val="none"/>
          <w:u w:val="none" w:color="auto"/>
          <w:lang w:eastAsia="zh-CN"/>
        </w:rPr>
        <w:t>河南德利新能源材料有限公司</w:t>
      </w:r>
      <w:r>
        <w:rPr>
          <w:rFonts w:hint="eastAsia" w:ascii="宋体" w:hAnsi="宋体" w:eastAsia="宋体" w:cs="宋体"/>
          <w:color w:val="auto"/>
          <w:sz w:val="28"/>
          <w:szCs w:val="28"/>
          <w:highlight w:val="none"/>
          <w:u w:val="none" w:color="auto"/>
        </w:rPr>
        <w:t>位于</w:t>
      </w:r>
      <w:r>
        <w:rPr>
          <w:rFonts w:hint="eastAsia" w:ascii="宋体" w:hAnsi="宋体" w:eastAsia="宋体" w:cs="宋体"/>
          <w:color w:val="auto"/>
          <w:sz w:val="28"/>
          <w:szCs w:val="28"/>
          <w:highlight w:val="none"/>
          <w:u w:val="none" w:color="auto"/>
          <w:lang w:val="en-US" w:eastAsia="zh-CN"/>
        </w:rPr>
        <w:t>三门峡陕州区先进制造业开发区（原</w:t>
      </w:r>
      <w:r>
        <w:rPr>
          <w:rFonts w:hint="eastAsia" w:ascii="宋体" w:hAnsi="宋体" w:eastAsia="宋体" w:cs="宋体"/>
          <w:color w:val="auto"/>
          <w:sz w:val="28"/>
          <w:szCs w:val="28"/>
          <w:highlight w:val="none"/>
          <w:u w:val="none" w:color="auto"/>
        </w:rPr>
        <w:t>陕州区产业集聚区</w:t>
      </w:r>
      <w:r>
        <w:rPr>
          <w:rFonts w:hint="eastAsia" w:ascii="宋体" w:hAnsi="宋体" w:eastAsia="宋体" w:cs="宋体"/>
          <w:color w:val="auto"/>
          <w:sz w:val="28"/>
          <w:szCs w:val="28"/>
          <w:highlight w:val="none"/>
          <w:u w:val="none" w:color="auto"/>
          <w:lang w:val="en-US" w:eastAsia="zh-CN"/>
        </w:rPr>
        <w:t>）</w:t>
      </w:r>
      <w:r>
        <w:rPr>
          <w:rFonts w:hint="eastAsia" w:ascii="宋体" w:hAnsi="宋体" w:eastAsia="宋体" w:cs="宋体"/>
          <w:color w:val="auto"/>
          <w:sz w:val="28"/>
          <w:szCs w:val="28"/>
          <w:highlight w:val="none"/>
          <w:u w:val="none" w:color="auto"/>
          <w:lang w:eastAsia="zh-CN"/>
        </w:rPr>
        <w:t>，公司于2016年</w:t>
      </w:r>
      <w:r>
        <w:rPr>
          <w:rFonts w:hint="eastAsia" w:ascii="宋体" w:hAnsi="宋体" w:eastAsia="宋体" w:cs="宋体"/>
          <w:color w:val="auto"/>
          <w:sz w:val="28"/>
          <w:szCs w:val="28"/>
          <w:highlight w:val="none"/>
          <w:u w:val="none" w:color="auto"/>
          <w:lang w:val="en-US" w:eastAsia="zh-CN"/>
        </w:rPr>
        <w:t>成立</w:t>
      </w:r>
      <w:r>
        <w:rPr>
          <w:rFonts w:hint="eastAsia" w:ascii="宋体" w:hAnsi="宋体" w:eastAsia="宋体" w:cs="宋体"/>
          <w:color w:val="auto"/>
          <w:sz w:val="28"/>
          <w:szCs w:val="28"/>
          <w:highlight w:val="none"/>
          <w:u w:val="none" w:color="auto"/>
          <w:lang w:eastAsia="zh-CN"/>
        </w:rPr>
        <w:t>，现有工程包括“年产1万吨碳酸甲乙酯、碳酸二乙酯项目”、“新建6吨天然气锅炉项目”</w:t>
      </w:r>
      <w:r>
        <w:rPr>
          <w:rFonts w:hint="eastAsia" w:ascii="宋体" w:hAnsi="宋体" w:eastAsia="宋体" w:cs="宋体"/>
          <w:color w:val="auto"/>
          <w:sz w:val="28"/>
          <w:szCs w:val="28"/>
          <w:highlight w:val="none"/>
          <w:u w:val="none" w:color="auto"/>
          <w:lang w:val="en-US" w:eastAsia="zh-CN"/>
        </w:rPr>
        <w:t>、年产</w:t>
      </w:r>
      <w:r>
        <w:rPr>
          <w:rFonts w:hint="eastAsia" w:ascii="宋体" w:hAnsi="宋体" w:eastAsia="宋体" w:cs="宋体"/>
          <w:color w:val="auto"/>
          <w:sz w:val="28"/>
          <w:szCs w:val="28"/>
          <w:highlight w:val="none"/>
          <w:u w:val="none" w:color="auto"/>
          <w:lang w:eastAsia="zh-CN"/>
        </w:rPr>
        <w:t>3万吨碳酸甲乙酯扩能改造项目，产品为碳酸甲乙酯和碳酸二乙酯，</w:t>
      </w:r>
      <w:r>
        <w:rPr>
          <w:rFonts w:hint="eastAsia" w:ascii="宋体" w:hAnsi="宋体" w:eastAsia="宋体" w:cs="宋体"/>
          <w:color w:val="auto"/>
          <w:sz w:val="28"/>
          <w:szCs w:val="28"/>
          <w:highlight w:val="none"/>
          <w:u w:val="none" w:color="auto"/>
          <w:lang w:val="en-US" w:eastAsia="zh-CN"/>
        </w:rPr>
        <w:t>为提升有机废气治理效果，公司增加一套RCO有机废气治理设施</w:t>
      </w:r>
      <w:r>
        <w:rPr>
          <w:rFonts w:hint="eastAsia" w:ascii="宋体" w:hAnsi="宋体" w:eastAsia="宋体" w:cs="宋体"/>
          <w:color w:val="auto"/>
          <w:sz w:val="28"/>
          <w:szCs w:val="28"/>
          <w:highlight w:val="none"/>
          <w:u w:val="none" w:color="auto"/>
          <w:lang w:eastAsia="zh-CN"/>
        </w:rPr>
        <w:t>。</w:t>
      </w:r>
    </w:p>
    <w:p>
      <w:pPr>
        <w:spacing w:line="360" w:lineRule="auto"/>
        <w:ind w:firstLine="560"/>
        <w:rPr>
          <w:rFonts w:hint="eastAsia" w:ascii="宋体" w:hAnsi="宋体" w:eastAsia="宋体" w:cs="宋体"/>
          <w:color w:val="auto"/>
          <w:spacing w:val="0"/>
          <w:kern w:val="2"/>
          <w:sz w:val="28"/>
          <w:szCs w:val="28"/>
          <w:highlight w:val="none"/>
          <w:u w:val="none" w:color="auto"/>
          <w:lang w:val="en-US" w:eastAsia="zh-CN" w:bidi="zh-CN"/>
        </w:rPr>
      </w:pPr>
      <w:r>
        <w:rPr>
          <w:rFonts w:hint="eastAsia" w:ascii="宋体" w:hAnsi="宋体" w:eastAsia="宋体" w:cs="宋体"/>
          <w:color w:val="auto"/>
          <w:spacing w:val="0"/>
          <w:kern w:val="2"/>
          <w:sz w:val="28"/>
          <w:szCs w:val="28"/>
          <w:highlight w:val="none"/>
          <w:u w:val="none" w:color="auto"/>
          <w:lang w:val="zh-CN" w:eastAsia="zh-CN" w:bidi="zh-CN"/>
        </w:rPr>
        <w:t>建厂至今，河南德利新能源材料有限公司从未发生过重大环境投诉、群体性上访、重大安全与环境事故等。</w:t>
      </w:r>
      <w:r>
        <w:rPr>
          <w:rFonts w:hint="eastAsia" w:ascii="宋体" w:hAnsi="宋体" w:eastAsia="宋体" w:cs="宋体"/>
          <w:color w:val="auto"/>
          <w:spacing w:val="0"/>
          <w:kern w:val="2"/>
          <w:sz w:val="28"/>
          <w:szCs w:val="28"/>
          <w:highlight w:val="none"/>
          <w:u w:val="none" w:color="auto"/>
          <w:lang w:val="en-US" w:eastAsia="zh-CN" w:bidi="zh-CN"/>
        </w:rPr>
        <w:t>公司2023年1月至3月间断生产，自2023年3月以后处于全线停产状态。</w:t>
      </w:r>
    </w:p>
    <w:p>
      <w:pPr>
        <w:autoSpaceDE w:val="0"/>
        <w:adjustRightInd w:val="0"/>
        <w:snapToGrid w:val="0"/>
        <w:ind w:firstLine="560" w:firstLineChars="200"/>
        <w:jc w:val="both"/>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企业基本信息见表2-1。</w:t>
      </w:r>
    </w:p>
    <w:p>
      <w:pPr>
        <w:widowControl/>
        <w:tabs>
          <w:tab w:val="left" w:pos="2278"/>
        </w:tabs>
        <w:spacing w:line="540" w:lineRule="exact"/>
        <w:ind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表2-1企业基本信息表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4"/>
        <w:gridCol w:w="6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bookmarkStart w:id="102" w:name="_Toc5896"/>
            <w:r>
              <w:rPr>
                <w:rFonts w:hint="eastAsia" w:ascii="宋体" w:hAnsi="宋体" w:eastAsia="宋体" w:cs="宋体"/>
                <w:color w:val="auto"/>
                <w:kern w:val="2"/>
                <w:sz w:val="24"/>
                <w:szCs w:val="24"/>
                <w:highlight w:val="none"/>
              </w:rPr>
              <w:t>单位名称</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河南德利新能源材料有限公司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企业性质</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私营企业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法人代表</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李彩萍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营业执照</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统一社会信用代码：91411222MA3XDWCFX2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单位地址</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u w:val="none" w:color="auto"/>
                <w:lang w:val="en-US" w:eastAsia="zh-CN"/>
              </w:rPr>
              <w:t>三门峡陕州区先进制造业开发区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中心经度</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111°35′13.21″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中心纬度</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34°40′33.24″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所属行业</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C26化学原料和化学制品制造业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建厂时间</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2018年3月-2019年1月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企业规模</w:t>
            </w:r>
          </w:p>
        </w:tc>
        <w:tc>
          <w:tcPr>
            <w:tcW w:w="6464" w:type="dxa"/>
            <w:noWrap w:val="0"/>
            <w:vAlign w:val="center"/>
          </w:tcPr>
          <w:p>
            <w:pPr>
              <w:keepNext w:val="0"/>
              <w:keepLines w:val="0"/>
              <w:widowControl/>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rPr>
              <w:t>年产1万吨碳酸甲乙酯、碳酸二乙酯</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6吨燃气锅炉；1套RCO有机废气治理设施、年产</w:t>
            </w:r>
            <w:r>
              <w:rPr>
                <w:rFonts w:hint="eastAsia" w:ascii="宋体" w:hAnsi="宋体" w:eastAsia="宋体" w:cs="宋体"/>
                <w:color w:val="auto"/>
                <w:kern w:val="2"/>
                <w:sz w:val="24"/>
                <w:szCs w:val="24"/>
                <w:highlight w:val="none"/>
              </w:rPr>
              <w:t>3万吨碳酸甲乙酯扩能改造项目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从业人数</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9</w:t>
            </w:r>
            <w:r>
              <w:rPr>
                <w:rFonts w:hint="eastAsia" w:ascii="宋体" w:hAnsi="宋体" w:eastAsia="宋体" w:cs="宋体"/>
                <w:color w:val="auto"/>
                <w:kern w:val="2"/>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联系人</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李琛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195"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联系电话</w:t>
            </w:r>
          </w:p>
        </w:tc>
        <w:tc>
          <w:tcPr>
            <w:tcW w:w="6464" w:type="dxa"/>
            <w:noWrap w:val="0"/>
            <w:vAlign w:val="center"/>
          </w:tcPr>
          <w:p>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13653595901（13193946888）</w:t>
            </w:r>
          </w:p>
        </w:tc>
      </w:tr>
    </w:tbl>
    <w:p>
      <w:pPr>
        <w:pStyle w:val="8"/>
        <w:bidi w:val="0"/>
        <w:rPr>
          <w:rFonts w:hint="eastAsia" w:ascii="宋体" w:hAnsi="宋体" w:eastAsia="宋体" w:cs="宋体"/>
          <w:color w:val="auto"/>
          <w:highlight w:val="none"/>
          <w:lang w:val="en-US" w:eastAsia="zh-CN"/>
        </w:rPr>
      </w:pPr>
      <w:bookmarkStart w:id="103" w:name="_Toc32090"/>
      <w:r>
        <w:rPr>
          <w:rFonts w:hint="eastAsia" w:ascii="宋体" w:hAnsi="宋体" w:eastAsia="宋体" w:cs="宋体"/>
          <w:color w:val="auto"/>
          <w:highlight w:val="none"/>
          <w:lang w:val="en-US" w:eastAsia="zh-CN"/>
        </w:rPr>
        <w:t>2.2企业用地历史沿革</w:t>
      </w:r>
      <w:bookmarkEnd w:id="102"/>
      <w:bookmarkEnd w:id="103"/>
    </w:p>
    <w:p>
      <w:pPr>
        <w:adjustRightInd w:val="0"/>
        <w:snapToGrid w:val="0"/>
        <w:spacing w:line="520" w:lineRule="exact"/>
        <w:ind w:firstLine="560" w:firstLineChars="200"/>
        <w:rPr>
          <w:rFonts w:hint="eastAsia" w:ascii="宋体" w:hAnsi="宋体" w:eastAsia="宋体" w:cs="宋体"/>
          <w:sz w:val="28"/>
          <w:szCs w:val="28"/>
          <w:highlight w:val="green"/>
          <w:lang w:eastAsia="zh-CN"/>
        </w:rPr>
      </w:pPr>
      <w:r>
        <w:rPr>
          <w:rFonts w:hint="eastAsia" w:ascii="宋体" w:hAnsi="宋体" w:eastAsia="宋体" w:cs="宋体"/>
          <w:color w:val="auto"/>
          <w:sz w:val="28"/>
          <w:highlight w:val="none"/>
          <w:lang w:val="en-US" w:eastAsia="zh-CN"/>
        </w:rPr>
        <w:t>根据企业提供资料，建厂前，2018年2月企业所在地块用地情况为空地。</w:t>
      </w:r>
      <w:r>
        <w:rPr>
          <w:rFonts w:hint="eastAsia" w:ascii="宋体" w:hAnsi="宋体" w:eastAsia="宋体" w:cs="宋体"/>
          <w:sz w:val="28"/>
          <w:szCs w:val="28"/>
          <w:highlight w:val="none"/>
          <w:lang w:eastAsia="zh-CN"/>
        </w:rPr>
        <w:t>环评手续情况如下：</w:t>
      </w:r>
    </w:p>
    <w:p>
      <w:pPr>
        <w:spacing w:line="360" w:lineRule="auto"/>
        <w:ind w:firstLine="560"/>
        <w:rPr>
          <w:rFonts w:hint="eastAsia" w:ascii="宋体" w:hAnsi="宋体" w:eastAsia="宋体" w:cs="宋体"/>
          <w:color w:val="auto"/>
          <w:spacing w:val="0"/>
          <w:kern w:val="2"/>
          <w:sz w:val="28"/>
          <w:szCs w:val="28"/>
          <w:highlight w:val="none"/>
          <w:u w:val="none" w:color="auto"/>
          <w:lang w:val="en-US" w:eastAsia="zh-CN" w:bidi="zh-CN"/>
        </w:rPr>
      </w:pPr>
      <w:r>
        <w:rPr>
          <w:rFonts w:hint="eastAsia" w:ascii="宋体" w:hAnsi="宋体" w:eastAsia="宋体" w:cs="宋体"/>
          <w:color w:val="auto"/>
          <w:spacing w:val="0"/>
          <w:kern w:val="2"/>
          <w:sz w:val="28"/>
          <w:szCs w:val="28"/>
          <w:highlight w:val="none"/>
          <w:u w:val="none" w:color="auto"/>
          <w:lang w:val="en-US" w:eastAsia="zh-CN" w:bidi="zh-CN"/>
        </w:rPr>
        <w:t>河南德利新能源材料有限公司年产1万吨碳酸甲乙酯、碳酸二乙酯项目环评报告书于2017年1月由河南省化工研究所有限责任编制完成，2017年4月25号由原三门峡市环保局批复，批复文号三环审[2017]18号，河南德利新能源材料有限公司年产1万吨碳酸甲乙酯、碳酸二乙酯项目于2021年6月通过自主验收。</w:t>
      </w:r>
    </w:p>
    <w:p>
      <w:pPr>
        <w:spacing w:line="360" w:lineRule="auto"/>
        <w:ind w:firstLine="560"/>
        <w:rPr>
          <w:rFonts w:hint="eastAsia" w:ascii="宋体" w:hAnsi="宋体" w:eastAsia="宋体" w:cs="宋体"/>
          <w:color w:val="auto"/>
          <w:spacing w:val="0"/>
          <w:kern w:val="2"/>
          <w:sz w:val="28"/>
          <w:szCs w:val="28"/>
          <w:highlight w:val="none"/>
          <w:u w:val="none" w:color="auto"/>
          <w:lang w:val="en-US" w:eastAsia="zh-CN" w:bidi="zh-CN"/>
        </w:rPr>
      </w:pPr>
      <w:r>
        <w:rPr>
          <w:rFonts w:hint="eastAsia" w:ascii="宋体" w:hAnsi="宋体" w:eastAsia="宋体" w:cs="宋体"/>
          <w:color w:val="auto"/>
          <w:spacing w:val="0"/>
          <w:kern w:val="2"/>
          <w:sz w:val="28"/>
          <w:szCs w:val="28"/>
          <w:highlight w:val="none"/>
          <w:u w:val="none" w:color="auto"/>
          <w:lang w:val="en-US" w:eastAsia="zh-CN" w:bidi="zh-CN"/>
        </w:rPr>
        <w:t>2020年8月，河南省化工研究所有限责任公司编制完成了《河南德利新能源材料新建6吨天然气锅炉项目环境影响报告表》，2020年8月27日，三门峡市生态环境局以三环审[2020]160号对报告表予以批复，并于2021年完成自主验收。随着锂离子电池的广泛应用和不断发展，对电解液的需求上涨，本项目产品碳酸甲乙酯可以作为锂离子电池电解液溶剂。公司于2020年8月27日取得排污许可证。</w:t>
      </w:r>
    </w:p>
    <w:p>
      <w:pPr>
        <w:pStyle w:val="5"/>
        <w:ind w:left="0" w:leftChars="0" w:firstLine="0" w:firstLineChars="0"/>
        <w:outlineLvl w:val="1"/>
        <w:rPr>
          <w:rFonts w:hint="eastAsia" w:ascii="宋体" w:hAnsi="宋体" w:eastAsia="宋体" w:cs="宋体"/>
          <w:b/>
          <w:bCs/>
          <w:color w:val="auto"/>
          <w:kern w:val="2"/>
          <w:sz w:val="28"/>
          <w:szCs w:val="32"/>
          <w:highlight w:val="none"/>
          <w:lang w:val="en-US" w:eastAsia="zh-CN" w:bidi="ar-SA"/>
        </w:rPr>
      </w:pPr>
      <w:bookmarkStart w:id="104" w:name="_Toc27832"/>
      <w:bookmarkStart w:id="105" w:name="_Toc9097"/>
      <w:r>
        <w:rPr>
          <w:rFonts w:hint="eastAsia" w:ascii="宋体" w:hAnsi="宋体" w:eastAsia="宋体" w:cs="宋体"/>
          <w:b/>
          <w:bCs/>
          <w:color w:val="auto"/>
          <w:kern w:val="2"/>
          <w:sz w:val="28"/>
          <w:szCs w:val="32"/>
          <w:highlight w:val="none"/>
          <w:lang w:val="en-US" w:eastAsia="zh-CN" w:bidi="ar-SA"/>
        </w:rPr>
        <w:t>2.3企业用地已有的环境调查与监测信息</w:t>
      </w:r>
      <w:bookmarkEnd w:id="104"/>
      <w:bookmarkEnd w:id="105"/>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sz w:val="28"/>
          <w:szCs w:val="28"/>
          <w:highlight w:val="none"/>
        </w:rPr>
        <w:t>根据</w:t>
      </w:r>
      <w:r>
        <w:rPr>
          <w:rFonts w:hint="eastAsia" w:ascii="宋体" w:hAnsi="宋体" w:eastAsia="宋体" w:cs="宋体"/>
          <w:color w:val="auto"/>
          <w:sz w:val="28"/>
          <w:szCs w:val="28"/>
          <w:highlight w:val="none"/>
          <w:lang w:eastAsia="zh-CN"/>
        </w:rPr>
        <w:t>《关于更新2023年土壤、地下水环境重点监管单位名录的公示》</w:t>
      </w:r>
      <w:r>
        <w:rPr>
          <w:rFonts w:hint="eastAsia" w:ascii="宋体" w:hAnsi="宋体" w:eastAsia="宋体" w:cs="宋体"/>
          <w:color w:val="auto"/>
          <w:sz w:val="28"/>
          <w:szCs w:val="28"/>
          <w:highlight w:val="none"/>
        </w:rPr>
        <w:t>文件要求，</w:t>
      </w:r>
      <w:r>
        <w:rPr>
          <w:rFonts w:hint="eastAsia" w:ascii="宋体" w:hAnsi="宋体" w:eastAsia="宋体" w:cs="宋体"/>
          <w:color w:val="auto"/>
          <w:kern w:val="0"/>
          <w:sz w:val="28"/>
          <w:szCs w:val="28"/>
          <w:highlight w:val="none"/>
          <w:lang w:eastAsia="zh-CN" w:bidi="ar"/>
        </w:rPr>
        <w:t>河南德利新能源材料有限公司</w:t>
      </w:r>
      <w:r>
        <w:rPr>
          <w:rFonts w:hint="eastAsia" w:ascii="宋体" w:hAnsi="宋体" w:eastAsia="宋体" w:cs="宋体"/>
          <w:color w:val="auto"/>
          <w:kern w:val="0"/>
          <w:sz w:val="28"/>
          <w:szCs w:val="28"/>
          <w:highlight w:val="none"/>
          <w:lang w:bidi="ar"/>
        </w:rPr>
        <w:t>被列入</w:t>
      </w:r>
      <w:r>
        <w:rPr>
          <w:rFonts w:hint="eastAsia" w:ascii="宋体" w:hAnsi="宋体" w:eastAsia="宋体" w:cs="宋体"/>
          <w:color w:val="auto"/>
          <w:kern w:val="0"/>
          <w:sz w:val="28"/>
          <w:szCs w:val="28"/>
          <w:highlight w:val="none"/>
          <w:lang w:val="en-US" w:eastAsia="zh-Hans" w:bidi="ar"/>
        </w:rPr>
        <w:t>三门峡</w:t>
      </w:r>
      <w:r>
        <w:rPr>
          <w:rFonts w:hint="eastAsia" w:ascii="宋体" w:hAnsi="宋体" w:eastAsia="宋体" w:cs="宋体"/>
          <w:color w:val="auto"/>
          <w:kern w:val="0"/>
          <w:sz w:val="28"/>
          <w:szCs w:val="28"/>
          <w:highlight w:val="none"/>
          <w:lang w:bidi="ar"/>
        </w:rPr>
        <w:t>市</w:t>
      </w:r>
      <w:r>
        <w:rPr>
          <w:rFonts w:hint="eastAsia" w:ascii="宋体" w:hAnsi="宋体" w:eastAsia="宋体" w:cs="宋体"/>
          <w:color w:val="auto"/>
          <w:kern w:val="0"/>
          <w:sz w:val="28"/>
          <w:szCs w:val="28"/>
          <w:highlight w:val="none"/>
          <w:lang w:val="en-US" w:eastAsia="zh-CN" w:bidi="ar"/>
        </w:rPr>
        <w:t>2023</w:t>
      </w:r>
      <w:r>
        <w:rPr>
          <w:rFonts w:hint="eastAsia" w:ascii="宋体" w:hAnsi="宋体" w:eastAsia="宋体" w:cs="宋体"/>
          <w:color w:val="auto"/>
          <w:kern w:val="0"/>
          <w:sz w:val="28"/>
          <w:szCs w:val="28"/>
          <w:highlight w:val="none"/>
          <w:lang w:bidi="ar"/>
        </w:rPr>
        <w:t>土壤污染重点监管单位名录。</w:t>
      </w:r>
    </w:p>
    <w:p>
      <w:pPr>
        <w:pStyle w:val="5"/>
        <w:keepNext w:val="0"/>
        <w:keepLines w:val="0"/>
        <w:pageBreakBefore w:val="0"/>
        <w:widowControl w:val="0"/>
        <w:kinsoku/>
        <w:wordWrap/>
        <w:overflowPunct/>
        <w:topLinePunct w:val="0"/>
        <w:autoSpaceDE/>
        <w:autoSpaceDN/>
        <w:bidi w:val="0"/>
        <w:adjustRightInd/>
        <w:snapToGrid/>
        <w:spacing w:after="0" w:line="520" w:lineRule="exact"/>
        <w:ind w:left="0" w:leftChars="0" w:firstLine="560" w:firstLineChars="200"/>
        <w:textAlignment w:val="auto"/>
        <w:rPr>
          <w:rFonts w:hint="eastAsia" w:ascii="宋体" w:hAnsi="宋体" w:eastAsia="宋体" w:cs="宋体"/>
          <w:color w:val="auto"/>
          <w:kern w:val="0"/>
          <w:sz w:val="28"/>
          <w:szCs w:val="28"/>
          <w:highlight w:val="none"/>
          <w:lang w:eastAsia="zh-CN" w:bidi="ar"/>
        </w:rPr>
      </w:pPr>
      <w:r>
        <w:rPr>
          <w:rFonts w:hint="eastAsia" w:ascii="宋体" w:hAnsi="宋体" w:eastAsia="宋体" w:cs="宋体"/>
          <w:color w:val="auto"/>
          <w:kern w:val="0"/>
          <w:sz w:val="28"/>
          <w:szCs w:val="28"/>
          <w:highlight w:val="none"/>
          <w:lang w:val="en-US" w:eastAsia="zh-CN" w:bidi="ar"/>
        </w:rPr>
        <w:t>为完成土壤污染防治工作，</w:t>
      </w:r>
      <w:r>
        <w:rPr>
          <w:rFonts w:hint="eastAsia" w:ascii="宋体" w:hAnsi="宋体" w:eastAsia="宋体" w:cs="宋体"/>
          <w:color w:val="auto"/>
          <w:kern w:val="0"/>
          <w:sz w:val="28"/>
          <w:szCs w:val="28"/>
          <w:highlight w:val="none"/>
          <w:lang w:eastAsia="zh-CN" w:bidi="ar"/>
        </w:rPr>
        <w:t>河南德利新能源材料有限公司</w:t>
      </w:r>
      <w:r>
        <w:rPr>
          <w:rFonts w:hint="eastAsia" w:ascii="宋体" w:hAnsi="宋体" w:eastAsia="宋体" w:cs="宋体"/>
          <w:color w:val="auto"/>
          <w:kern w:val="0"/>
          <w:sz w:val="28"/>
          <w:szCs w:val="28"/>
          <w:highlight w:val="none"/>
          <w:lang w:val="en-US" w:eastAsia="zh-CN" w:bidi="ar"/>
        </w:rPr>
        <w:t>委托洛阳市达峰环境检测有限公司提供技术支持，与</w:t>
      </w:r>
      <w:r>
        <w:rPr>
          <w:rFonts w:hint="eastAsia" w:ascii="宋体" w:hAnsi="宋体" w:eastAsia="宋体" w:cs="宋体"/>
          <w:color w:val="auto"/>
          <w:kern w:val="0"/>
          <w:sz w:val="28"/>
          <w:szCs w:val="28"/>
          <w:highlight w:val="none"/>
          <w:lang w:eastAsia="zh-CN" w:bidi="ar"/>
        </w:rPr>
        <w:t>河南德利新能源材料有限公司</w:t>
      </w:r>
      <w:r>
        <w:rPr>
          <w:rFonts w:hint="eastAsia" w:ascii="宋体" w:hAnsi="宋体" w:eastAsia="宋体" w:cs="宋体"/>
          <w:color w:val="auto"/>
          <w:kern w:val="0"/>
          <w:sz w:val="28"/>
          <w:szCs w:val="28"/>
          <w:highlight w:val="none"/>
          <w:lang w:val="en-US" w:eastAsia="zh-CN" w:bidi="ar"/>
        </w:rPr>
        <w:t>共同开展企业土壤自行监测工作。经过技术人员到现场对企业现状及周边情况进行了详细调查，收集相关资料，依据《在产企业土壤和地下水自行监测技术指南》及有关标准，结合企业实践，编制了《</w:t>
      </w:r>
      <w:r>
        <w:rPr>
          <w:rFonts w:hint="eastAsia" w:ascii="宋体" w:hAnsi="宋体" w:eastAsia="宋体" w:cs="宋体"/>
          <w:color w:val="auto"/>
          <w:sz w:val="28"/>
          <w:szCs w:val="28"/>
          <w:highlight w:val="none"/>
          <w:lang w:eastAsia="zh-CN"/>
        </w:rPr>
        <w:t>河南德利新能源材料有限公司</w:t>
      </w:r>
      <w:r>
        <w:rPr>
          <w:rFonts w:hint="eastAsia" w:ascii="宋体" w:hAnsi="宋体" w:eastAsia="宋体" w:cs="宋体"/>
          <w:color w:val="auto"/>
          <w:sz w:val="28"/>
          <w:szCs w:val="28"/>
          <w:highlight w:val="none"/>
        </w:rPr>
        <w:t>自行监测方案</w:t>
      </w:r>
      <w:r>
        <w:rPr>
          <w:rFonts w:hint="eastAsia" w:ascii="宋体" w:hAnsi="宋体" w:eastAsia="宋体" w:cs="宋体"/>
          <w:color w:val="auto"/>
          <w:kern w:val="0"/>
          <w:sz w:val="28"/>
          <w:szCs w:val="28"/>
          <w:highlight w:val="none"/>
          <w:lang w:val="en-US" w:eastAsia="zh-CN" w:bidi="ar"/>
        </w:rPr>
        <w:t>》及</w:t>
      </w:r>
      <w:r>
        <w:rPr>
          <w:rFonts w:hint="eastAsia" w:ascii="宋体" w:hAnsi="宋体" w:eastAsia="宋体" w:cs="宋体"/>
          <w:color w:val="auto"/>
          <w:kern w:val="0"/>
          <w:sz w:val="28"/>
          <w:szCs w:val="28"/>
          <w:highlight w:val="none"/>
          <w:lang w:eastAsia="zh-CN" w:bidi="ar"/>
        </w:rPr>
        <w:t>《河南德利新能源材料有限公司土壤污染隐患排查报告》</w:t>
      </w:r>
      <w:r>
        <w:rPr>
          <w:rFonts w:hint="eastAsia" w:ascii="宋体" w:hAnsi="宋体" w:eastAsia="宋体" w:cs="宋体"/>
          <w:color w:val="auto"/>
          <w:kern w:val="0"/>
          <w:sz w:val="28"/>
          <w:szCs w:val="28"/>
          <w:highlight w:val="none"/>
          <w:lang w:val="en-US" w:eastAsia="zh-Hans" w:bidi="ar"/>
        </w:rPr>
        <w:t>等</w:t>
      </w:r>
      <w:r>
        <w:rPr>
          <w:rFonts w:hint="eastAsia" w:ascii="宋体" w:hAnsi="宋体" w:eastAsia="宋体" w:cs="宋体"/>
          <w:color w:val="auto"/>
          <w:kern w:val="0"/>
          <w:sz w:val="28"/>
          <w:szCs w:val="28"/>
          <w:highlight w:val="none"/>
          <w:lang w:val="en-US" w:eastAsia="zh-CN" w:bidi="ar"/>
        </w:rPr>
        <w:t>。根据监测方案，企业于2023年开展土壤检测工作，并编制了自行监测报告。</w:t>
      </w:r>
    </w:p>
    <w:p>
      <w:pPr>
        <w:pStyle w:val="7"/>
        <w:bidi w:val="0"/>
        <w:ind w:firstLineChars="0"/>
        <w:jc w:val="left"/>
        <w:rPr>
          <w:rFonts w:hint="eastAsia" w:ascii="宋体" w:hAnsi="宋体" w:eastAsia="宋体" w:cs="宋体"/>
          <w:sz w:val="28"/>
          <w:lang w:val="en-US" w:eastAsia="zh-CN"/>
        </w:rPr>
      </w:pPr>
      <w:bookmarkStart w:id="106" w:name="_Toc20039"/>
      <w:r>
        <w:rPr>
          <w:rFonts w:hint="eastAsia" w:ascii="宋体" w:hAnsi="宋体" w:eastAsia="宋体" w:cs="宋体"/>
          <w:sz w:val="28"/>
          <w:lang w:val="en-US" w:eastAsia="zh-CN"/>
        </w:rPr>
        <w:t>3地勘资料</w:t>
      </w:r>
      <w:bookmarkEnd w:id="106"/>
    </w:p>
    <w:p>
      <w:pPr>
        <w:pStyle w:val="8"/>
        <w:numPr>
          <w:ilvl w:val="1"/>
          <w:numId w:val="0"/>
        </w:numPr>
        <w:bidi w:val="0"/>
        <w:spacing w:before="0" w:after="0"/>
        <w:ind w:firstLine="562" w:firstLineChars="200"/>
        <w:jc w:val="left"/>
        <w:rPr>
          <w:rFonts w:hint="eastAsia" w:ascii="宋体" w:hAnsi="宋体" w:eastAsia="宋体" w:cs="宋体"/>
          <w:sz w:val="28"/>
          <w:szCs w:val="28"/>
          <w:lang w:val="en-US" w:eastAsia="zh-CN"/>
        </w:rPr>
      </w:pPr>
      <w:bookmarkStart w:id="107" w:name="_Toc107924565"/>
      <w:bookmarkStart w:id="108" w:name="_Toc27868"/>
      <w:bookmarkStart w:id="109" w:name="_Toc11741"/>
      <w:r>
        <w:rPr>
          <w:rFonts w:hint="eastAsia" w:ascii="宋体" w:hAnsi="宋体" w:eastAsia="宋体" w:cs="宋体"/>
          <w:sz w:val="28"/>
          <w:szCs w:val="28"/>
          <w:lang w:val="en-US" w:eastAsia="zh-CN"/>
        </w:rPr>
        <w:t>3.1地质信息</w:t>
      </w:r>
      <w:bookmarkEnd w:id="107"/>
      <w:bookmarkEnd w:id="108"/>
      <w:bookmarkEnd w:id="109"/>
    </w:p>
    <w:p>
      <w:pPr>
        <w:keepNext/>
        <w:keepLines/>
        <w:widowControl w:val="0"/>
        <w:spacing w:line="520" w:lineRule="exact"/>
        <w:ind w:firstLine="562" w:firstLineChars="200"/>
        <w:jc w:val="both"/>
        <w:outlineLvl w:val="2"/>
        <w:rPr>
          <w:rFonts w:hint="eastAsia" w:ascii="宋体" w:hAnsi="宋体" w:eastAsia="宋体" w:cs="宋体"/>
          <w:b/>
          <w:bCs/>
          <w:kern w:val="2"/>
          <w:sz w:val="28"/>
          <w:szCs w:val="28"/>
          <w:lang w:val="en-US" w:eastAsia="zh-CN" w:bidi="ar-SA"/>
        </w:rPr>
      </w:pPr>
      <w:bookmarkStart w:id="110" w:name="_Toc9481"/>
      <w:bookmarkStart w:id="111" w:name="_Toc20169"/>
      <w:bookmarkStart w:id="112" w:name="_Toc107924566"/>
      <w:bookmarkStart w:id="113" w:name="_Toc30130"/>
      <w:bookmarkStart w:id="114" w:name="_Toc7792"/>
      <w:r>
        <w:rPr>
          <w:rFonts w:hint="eastAsia" w:ascii="宋体" w:hAnsi="宋体" w:eastAsia="宋体" w:cs="宋体"/>
          <w:b/>
          <w:bCs/>
          <w:kern w:val="2"/>
          <w:sz w:val="28"/>
          <w:szCs w:val="28"/>
          <w:lang w:val="en-US" w:eastAsia="zh-CN" w:bidi="ar-SA"/>
        </w:rPr>
        <w:t>3.1.1场地地质及地形地貌</w:t>
      </w:r>
      <w:bookmarkEnd w:id="110"/>
      <w:bookmarkEnd w:id="111"/>
      <w:bookmarkEnd w:id="112"/>
      <w:bookmarkEnd w:id="113"/>
      <w:bookmarkEnd w:id="114"/>
    </w:p>
    <w:p>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门峡市处于秦岭山脉东延与伏牛山、熊耳山、崤山交汇地带，地势西南高，东北低。从陕西省入境的秦岭身东延伸止于黄河谷地，海拔高度由2000米以上递降为低于200米。地貌特征复杂，有山地、丘陵、河谷、平原等多种类型，其中以山地、丘陵和川塬地貌为主。</w:t>
      </w:r>
    </w:p>
    <w:p>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门峡市地质构造复杂，活动剧烈，对本市地形、矿藏、地质产生了重要影响，成为有色金属矿藏资源和沉积变质矿产资源极大蕴藏量的富积地。在地质构造上，位于华北地台西南隅和昆仑——秦岭地槽东延部分的接合部位。在构造体系上，属于昆仑——秦岭纬向构造带和新华夏系的华北沉降带、太行山隆起带的交接复合、联合部位的一部分。基地构造以紧密褶皱为主，岩层遭受区域变质作用和混合岩化作用。区内断裂发育，规模较大，纵横交错，尤以中新生代的断裂活动最强。</w:t>
      </w:r>
    </w:p>
    <w:p>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项目所在地三门峡陕州区先进制造业开发区地貌单元为低山丘陵地区，场地为东西走向的沟谷地貌，场地北部位于沟谷的谷地，而南部位于沟谷的南岸。场地北部沟谷的谷地已回填4.0米左右的素填土，部分场地未回填，形成一道近似南北走向的沟，沟深约2.0-3.0米，长约80.0米，宽约16.0米。场地西南高东北低，场地内地势整体较为平坦，高程为646.2-648.6米。场地内未发现有影响场地地基稳定性的不良地质作用。在地貌单元上，场地位于低山丘陵地区</w:t>
      </w:r>
      <w:r>
        <w:rPr>
          <w:rFonts w:hint="eastAsia" w:ascii="宋体" w:hAnsi="宋体" w:eastAsia="宋体" w:cs="宋体"/>
          <w:color w:val="auto"/>
          <w:sz w:val="28"/>
          <w:szCs w:val="28"/>
          <w:highlight w:val="none"/>
        </w:rPr>
        <w:t>。</w:t>
      </w:r>
    </w:p>
    <w:p>
      <w:pPr>
        <w:spacing w:line="52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根据河南省地质志，工程区域在地质构造单元上位于华北地台华熊台缘坳陷，工程区域附近未发现断裂构造，场地是稳定的。</w:t>
      </w:r>
    </w:p>
    <w:p>
      <w:pPr>
        <w:ind w:firstLine="562" w:firstLineChars="200"/>
        <w:outlineLvl w:val="2"/>
        <w:rPr>
          <w:rFonts w:hint="eastAsia" w:ascii="宋体" w:hAnsi="宋体" w:eastAsia="宋体" w:cs="宋体"/>
          <w:b/>
          <w:bCs/>
          <w:kern w:val="2"/>
          <w:sz w:val="28"/>
          <w:szCs w:val="36"/>
          <w:lang w:val="en-US" w:eastAsia="zh-CN" w:bidi="ar-SA"/>
        </w:rPr>
      </w:pPr>
      <w:bookmarkStart w:id="115" w:name="_Toc107924567"/>
      <w:bookmarkStart w:id="116" w:name="_Toc23136"/>
      <w:r>
        <w:rPr>
          <w:rFonts w:hint="eastAsia" w:ascii="宋体" w:hAnsi="宋体" w:eastAsia="宋体" w:cs="宋体"/>
          <w:b/>
          <w:bCs/>
          <w:kern w:val="2"/>
          <w:sz w:val="28"/>
          <w:szCs w:val="36"/>
          <w:lang w:val="en-US" w:eastAsia="zh-CN" w:bidi="ar-SA"/>
        </w:rPr>
        <w:t>3.1.2厂区地层及岩土特性</w:t>
      </w:r>
      <w:bookmarkEnd w:id="115"/>
      <w:bookmarkEnd w:id="116"/>
    </w:p>
    <w:p>
      <w:pPr>
        <w:spacing w:line="52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依据岩土工程勘察获取的资料及室内土工试验成果，场地地层主要由填土和第四纪全新世Q</w:t>
      </w:r>
      <w:r>
        <w:rPr>
          <w:rFonts w:hint="eastAsia" w:ascii="宋体" w:hAnsi="宋体" w:eastAsia="宋体" w:cs="宋体"/>
          <w:color w:val="auto"/>
          <w:sz w:val="28"/>
          <w:szCs w:val="28"/>
          <w:highlight w:val="none"/>
          <w:vertAlign w:val="subscript"/>
          <w:lang w:val="en-US" w:eastAsia="zh-CN"/>
        </w:rPr>
        <w:t>4</w:t>
      </w:r>
      <w:r>
        <w:rPr>
          <w:rFonts w:hint="eastAsia" w:ascii="宋体" w:hAnsi="宋体" w:eastAsia="宋体" w:cs="宋体"/>
          <w:color w:val="auto"/>
          <w:sz w:val="28"/>
          <w:szCs w:val="28"/>
          <w:highlight w:val="none"/>
          <w:lang w:val="en-US" w:eastAsia="zh-CN"/>
        </w:rPr>
        <w:t>冲积成因类型的粉质粘土层及强风化砂岩构成。场地地层的岩土特征自上而下分别描述如下：</w:t>
      </w:r>
    </w:p>
    <w:p>
      <w:pPr>
        <w:spacing w:line="52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填土：以素填土为主，颜色以红褐色为主。厚为0.80-5.80米，层底高程为640.60-647.20米，位于场地西部及南部靠近谷地南岸勘探点该层厚度较小，位于场地中部以北的勘探点该层厚度较大。物质成分以粉质粘土为主，含有少量植物根系；在场地北部及东部部分勘探点内含有少量炉渣、砖块等建筑垃圾。该层堆积年代较短，密实度不均一，物理力学性质较差，稍密状态。</w:t>
      </w:r>
    </w:p>
    <w:p>
      <w:pPr>
        <w:spacing w:line="52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粉质粘土层(Q):红褐色至灰褐色。本次勘察未揭穿，已揭露最大厚度为厚度为7.70米。该层在场地西部及北部勘探点内厚度较大，在场地南部缺失。大孔不发育，土质较均匀。土体中含有大量黑色斑点，含大量姜石，局部成层。该层硬塑状态；天然含水率w=19.9-25.8%,平均值为22.7%,稍湿至湿，该层底部含水率较大；天然孔隙比e=0.826-0.951,平均值为0.879,中密至密实；压缩系数a₁.0-2o=0.094-0.383MPa',平均值为0.190MPa-1中低压缩性；湿陷系数δ=0.0002-0.009,无湿陷性。稍有光泽，摇震反应中等，韧性中等，干强度中等。</w:t>
      </w:r>
    </w:p>
    <w:p>
      <w:pPr>
        <w:spacing w:line="52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强风化砂岩：灰褐色为主。本次勘察未揭穿，已揭露最大厚度为4.6米。该层风化较严重，以强风化为主，结构大部分已破坏，风化裂隙发育，锹镐可挖掘。锤击声哑，无回弹，较易击碎；岩芯呈碎块状，采取率低。强风化层厚度不一致。</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宋体" w:hAnsi="宋体" w:eastAsia="宋体" w:cs="宋体"/>
          <w:b/>
          <w:bCs/>
          <w:kern w:val="2"/>
          <w:sz w:val="28"/>
          <w:szCs w:val="32"/>
          <w:highlight w:val="none"/>
          <w:lang w:val="en-US" w:eastAsia="zh-CN" w:bidi="ar-SA"/>
        </w:rPr>
      </w:pPr>
      <w:bookmarkStart w:id="117" w:name="_Toc7276"/>
      <w:bookmarkStart w:id="118" w:name="_Toc107924568"/>
      <w:bookmarkStart w:id="119" w:name="_Toc2198"/>
      <w:r>
        <w:rPr>
          <w:rFonts w:hint="eastAsia" w:ascii="宋体" w:hAnsi="宋体" w:eastAsia="宋体" w:cs="宋体"/>
          <w:b/>
          <w:bCs/>
          <w:kern w:val="2"/>
          <w:sz w:val="28"/>
          <w:szCs w:val="32"/>
          <w:highlight w:val="none"/>
          <w:lang w:val="en-US" w:eastAsia="zh-CN" w:bidi="ar-SA"/>
        </w:rPr>
        <w:t>3.2水文地质信息</w:t>
      </w:r>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河南德利新能源材料有限公司于2016年12月委托中国水电十一局郑州科研设计有限公司编制了《河南德利新能源材料有限公司年产一万吨碳酸甲乙酯、碳酸二乙酯项目岩土工程勘察报告》，厂区地貌单元为低山丘陵地区，本场地岩土工程勘察期间（2016年12月7日至15日），在勘探深度范围内未见地下水，根据《岩土工程勘察规范》第12.1.2条，由于该场地地下水埋藏较深，混凝土结构处于地下水位以上，设计与施工时可不考虑地下水的影响。详见附件3河南德利新能源材料有限公司年产一万吨碳酸甲乙酯、碳酸二乙酯项目岩土工程勘察报告（剖面图、钻孔柱状图）。</w:t>
      </w:r>
    </w:p>
    <w:p>
      <w:pPr>
        <w:pStyle w:val="7"/>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lang w:val="en-US" w:eastAsia="zh-CN"/>
        </w:rPr>
      </w:pPr>
      <w:bookmarkStart w:id="120" w:name="_Toc297"/>
      <w:bookmarkStart w:id="121" w:name="_Toc107924569"/>
      <w:bookmarkStart w:id="122" w:name="_Toc13693"/>
      <w:r>
        <w:rPr>
          <w:rFonts w:hint="eastAsia" w:ascii="宋体" w:hAnsi="宋体" w:eastAsia="宋体" w:cs="宋体"/>
          <w:lang w:val="en-US" w:eastAsia="zh-CN"/>
        </w:rPr>
        <w:t>4企业生产及污染防治情况</w:t>
      </w:r>
      <w:bookmarkEnd w:id="120"/>
      <w:bookmarkEnd w:id="121"/>
      <w:bookmarkEnd w:id="122"/>
    </w:p>
    <w:p>
      <w:pPr>
        <w:pStyle w:val="8"/>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kern w:val="2"/>
          <w:sz w:val="28"/>
          <w:szCs w:val="32"/>
          <w:lang w:val="en-US" w:eastAsia="zh-CN" w:bidi="ar-SA"/>
        </w:rPr>
      </w:pPr>
      <w:bookmarkStart w:id="123" w:name="_Toc4011"/>
      <w:bookmarkStart w:id="124" w:name="_Toc107924570"/>
      <w:bookmarkStart w:id="125" w:name="_Toc23977"/>
      <w:r>
        <w:rPr>
          <w:rFonts w:hint="eastAsia" w:ascii="宋体" w:hAnsi="宋体" w:eastAsia="宋体" w:cs="宋体"/>
          <w:b/>
          <w:bCs/>
          <w:kern w:val="2"/>
          <w:sz w:val="28"/>
          <w:szCs w:val="32"/>
          <w:lang w:val="en-US" w:eastAsia="zh-CN" w:bidi="ar-SA"/>
        </w:rPr>
        <w:t>4.1企业生产概况</w:t>
      </w:r>
      <w:bookmarkEnd w:id="123"/>
      <w:bookmarkEnd w:id="124"/>
      <w:bookmarkEnd w:id="125"/>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宋体" w:hAnsi="宋体" w:eastAsia="宋体" w:cs="宋体"/>
          <w:b/>
          <w:bCs/>
          <w:kern w:val="2"/>
          <w:sz w:val="28"/>
          <w:szCs w:val="36"/>
          <w:lang w:val="en-US" w:eastAsia="zh-CN" w:bidi="ar-SA"/>
        </w:rPr>
      </w:pPr>
      <w:bookmarkStart w:id="126" w:name="_Toc107924571"/>
      <w:r>
        <w:rPr>
          <w:rFonts w:hint="eastAsia" w:ascii="宋体" w:hAnsi="宋体" w:eastAsia="宋体" w:cs="宋体"/>
          <w:b/>
          <w:bCs/>
          <w:spacing w:val="6"/>
          <w:kern w:val="2"/>
          <w:sz w:val="28"/>
          <w:szCs w:val="36"/>
          <w:lang w:val="en-US" w:eastAsia="zh-CN" w:bidi="ar-SA"/>
        </w:rPr>
        <w:t>4</w:t>
      </w:r>
      <w:r>
        <w:rPr>
          <w:rFonts w:hint="eastAsia" w:ascii="宋体" w:hAnsi="宋体" w:eastAsia="宋体" w:cs="宋体"/>
          <w:b/>
          <w:bCs/>
          <w:spacing w:val="3"/>
          <w:kern w:val="2"/>
          <w:sz w:val="28"/>
          <w:szCs w:val="36"/>
          <w:lang w:val="en-US" w:eastAsia="zh-CN" w:bidi="ar-SA"/>
        </w:rPr>
        <w:t>.</w:t>
      </w:r>
      <w:r>
        <w:rPr>
          <w:rFonts w:hint="eastAsia" w:ascii="宋体" w:hAnsi="宋体" w:eastAsia="宋体" w:cs="宋体"/>
          <w:b/>
          <w:bCs/>
          <w:spacing w:val="6"/>
          <w:kern w:val="2"/>
          <w:sz w:val="28"/>
          <w:szCs w:val="36"/>
          <w:lang w:val="en-US" w:eastAsia="zh-CN" w:bidi="ar-SA"/>
        </w:rPr>
        <w:t>1</w:t>
      </w:r>
      <w:r>
        <w:rPr>
          <w:rFonts w:hint="eastAsia" w:ascii="宋体" w:hAnsi="宋体" w:eastAsia="宋体" w:cs="宋体"/>
          <w:b/>
          <w:bCs/>
          <w:spacing w:val="3"/>
          <w:kern w:val="2"/>
          <w:sz w:val="28"/>
          <w:szCs w:val="36"/>
          <w:lang w:val="en-US" w:eastAsia="zh-CN" w:bidi="ar-SA"/>
        </w:rPr>
        <w:t>.</w:t>
      </w:r>
      <w:r>
        <w:rPr>
          <w:rFonts w:hint="eastAsia" w:ascii="宋体" w:hAnsi="宋体" w:eastAsia="宋体" w:cs="宋体"/>
          <w:b/>
          <w:bCs/>
          <w:spacing w:val="6"/>
          <w:kern w:val="2"/>
          <w:sz w:val="28"/>
          <w:szCs w:val="36"/>
          <w:lang w:val="en-US" w:eastAsia="zh-CN" w:bidi="ar-SA"/>
        </w:rPr>
        <w:t>1</w:t>
      </w:r>
      <w:r>
        <w:rPr>
          <w:rFonts w:hint="eastAsia" w:ascii="宋体" w:hAnsi="宋体" w:eastAsia="宋体" w:cs="宋体"/>
          <w:b/>
          <w:bCs/>
          <w:kern w:val="2"/>
          <w:sz w:val="28"/>
          <w:szCs w:val="36"/>
          <w:lang w:val="en-US" w:eastAsia="zh-CN" w:bidi="ar-SA"/>
        </w:rPr>
        <w:t>基本生产概况</w:t>
      </w:r>
      <w:bookmarkEnd w:id="126"/>
    </w:p>
    <w:p>
      <w:pPr>
        <w:pageBreakBefore w:val="0"/>
        <w:widowControl w:val="0"/>
        <w:kinsoku/>
        <w:wordWrap/>
        <w:overflowPunct/>
        <w:topLinePunct w:val="0"/>
        <w:autoSpaceDE/>
        <w:autoSpaceDN/>
        <w:bidi w:val="0"/>
        <w:adjustRightInd/>
        <w:snapToGrid/>
        <w:spacing w:line="360" w:lineRule="auto"/>
        <w:ind w:firstLine="560"/>
        <w:textAlignment w:val="auto"/>
        <w:rPr>
          <w:rFonts w:hint="eastAsia" w:ascii="宋体" w:hAnsi="宋体" w:eastAsia="宋体" w:cs="宋体"/>
          <w:color w:val="auto"/>
          <w:sz w:val="28"/>
          <w:szCs w:val="28"/>
          <w:highlight w:val="none"/>
          <w:u w:val="none" w:color="auto"/>
          <w:lang w:eastAsia="zh-CN"/>
        </w:rPr>
      </w:pPr>
      <w:r>
        <w:rPr>
          <w:rFonts w:hint="eastAsia" w:ascii="宋体" w:hAnsi="宋体" w:eastAsia="宋体" w:cs="宋体"/>
          <w:color w:val="auto"/>
          <w:sz w:val="28"/>
          <w:szCs w:val="28"/>
          <w:highlight w:val="none"/>
          <w:u w:val="none" w:color="auto"/>
          <w:lang w:eastAsia="zh-CN"/>
        </w:rPr>
        <w:t>河南德利新能源材料有限公司</w:t>
      </w:r>
      <w:r>
        <w:rPr>
          <w:rFonts w:hint="eastAsia" w:ascii="宋体" w:hAnsi="宋体" w:eastAsia="宋体" w:cs="宋体"/>
          <w:color w:val="auto"/>
          <w:sz w:val="28"/>
          <w:szCs w:val="28"/>
          <w:highlight w:val="none"/>
          <w:u w:val="none" w:color="auto"/>
        </w:rPr>
        <w:t>位于</w:t>
      </w:r>
      <w:r>
        <w:rPr>
          <w:rFonts w:hint="eastAsia" w:ascii="宋体" w:hAnsi="宋体" w:eastAsia="宋体" w:cs="宋体"/>
          <w:color w:val="auto"/>
          <w:sz w:val="28"/>
          <w:szCs w:val="28"/>
          <w:highlight w:val="none"/>
          <w:u w:val="none" w:color="auto"/>
          <w:lang w:val="en-US" w:eastAsia="zh-CN"/>
        </w:rPr>
        <w:t>三门峡陕州区先进制造业开发区（原</w:t>
      </w:r>
      <w:r>
        <w:rPr>
          <w:rFonts w:hint="eastAsia" w:ascii="宋体" w:hAnsi="宋体" w:eastAsia="宋体" w:cs="宋体"/>
          <w:color w:val="auto"/>
          <w:sz w:val="28"/>
          <w:szCs w:val="28"/>
          <w:highlight w:val="none"/>
          <w:u w:val="none" w:color="auto"/>
        </w:rPr>
        <w:t>陕州区产业集聚区</w:t>
      </w:r>
      <w:r>
        <w:rPr>
          <w:rFonts w:hint="eastAsia" w:ascii="宋体" w:hAnsi="宋体" w:eastAsia="宋体" w:cs="宋体"/>
          <w:color w:val="auto"/>
          <w:sz w:val="28"/>
          <w:szCs w:val="28"/>
          <w:highlight w:val="none"/>
          <w:u w:val="none" w:color="auto"/>
          <w:lang w:val="en-US" w:eastAsia="zh-CN"/>
        </w:rPr>
        <w:t>）</w:t>
      </w:r>
      <w:r>
        <w:rPr>
          <w:rFonts w:hint="eastAsia" w:ascii="宋体" w:hAnsi="宋体" w:eastAsia="宋体" w:cs="宋体"/>
          <w:color w:val="auto"/>
          <w:sz w:val="28"/>
          <w:szCs w:val="28"/>
          <w:highlight w:val="none"/>
          <w:u w:val="none" w:color="auto"/>
          <w:lang w:eastAsia="zh-CN"/>
        </w:rPr>
        <w:t>，公司于2016年建厂，现有工程包括“年产1万吨碳酸甲乙酯、碳酸二乙酯项目”、“新建6吨天然气锅炉项目”</w:t>
      </w:r>
      <w:r>
        <w:rPr>
          <w:rFonts w:hint="eastAsia" w:ascii="宋体" w:hAnsi="宋体" w:eastAsia="宋体" w:cs="宋体"/>
          <w:color w:val="auto"/>
          <w:sz w:val="28"/>
          <w:szCs w:val="28"/>
          <w:highlight w:val="none"/>
          <w:u w:val="none" w:color="auto"/>
          <w:lang w:val="en-US" w:eastAsia="zh-CN"/>
        </w:rPr>
        <w:t>、年产</w:t>
      </w:r>
      <w:r>
        <w:rPr>
          <w:rFonts w:hint="eastAsia" w:ascii="宋体" w:hAnsi="宋体" w:eastAsia="宋体" w:cs="宋体"/>
          <w:color w:val="auto"/>
          <w:sz w:val="28"/>
          <w:szCs w:val="28"/>
          <w:highlight w:val="none"/>
          <w:u w:val="none" w:color="auto"/>
          <w:lang w:eastAsia="zh-CN"/>
        </w:rPr>
        <w:t>3万吨碳酸甲乙酯扩能改造项目，产品为碳酸甲乙酯和碳酸二乙酯，</w:t>
      </w:r>
      <w:r>
        <w:rPr>
          <w:rFonts w:hint="eastAsia" w:ascii="宋体" w:hAnsi="宋体" w:eastAsia="宋体" w:cs="宋体"/>
          <w:color w:val="auto"/>
          <w:sz w:val="28"/>
          <w:szCs w:val="28"/>
          <w:highlight w:val="none"/>
          <w:u w:val="none" w:color="auto"/>
          <w:lang w:val="en-US" w:eastAsia="zh-CN"/>
        </w:rPr>
        <w:t>为提升有机废气治理效果，公司增加一套RCO有机废气治理设施</w:t>
      </w:r>
      <w:r>
        <w:rPr>
          <w:rFonts w:hint="eastAsia" w:ascii="宋体" w:hAnsi="宋体" w:eastAsia="宋体" w:cs="宋体"/>
          <w:color w:val="auto"/>
          <w:sz w:val="28"/>
          <w:szCs w:val="28"/>
          <w:highlight w:val="none"/>
          <w:u w:val="none" w:color="auto"/>
          <w:lang w:eastAsia="zh-CN"/>
        </w:rPr>
        <w:t>。</w:t>
      </w:r>
      <w:r>
        <w:rPr>
          <w:rFonts w:hint="eastAsia" w:ascii="宋体" w:hAnsi="宋体" w:eastAsia="宋体" w:cs="宋体"/>
          <w:color w:val="auto"/>
          <w:sz w:val="28"/>
          <w:szCs w:val="28"/>
          <w:highlight w:val="none"/>
          <w:u w:val="none" w:color="auto"/>
          <w:lang w:val="en-US" w:eastAsia="zh-CN"/>
        </w:rPr>
        <w:t>公司2023年1月至3月间断生产，自2023年3月以后处于全线停产状态。</w:t>
      </w:r>
    </w:p>
    <w:p>
      <w:pPr>
        <w:widowControl/>
        <w:tabs>
          <w:tab w:val="left" w:pos="2278"/>
        </w:tabs>
        <w:spacing w:line="540" w:lineRule="exact"/>
        <w:ind w:firstLine="560" w:firstLineChars="200"/>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（1）主要生产设备</w:t>
      </w:r>
    </w:p>
    <w:p>
      <w:pPr>
        <w:ind w:firstLine="482" w:firstLineChars="200"/>
        <w:jc w:val="center"/>
        <w:rPr>
          <w:rFonts w:hint="eastAsia" w:ascii="宋体" w:hAnsi="宋体" w:eastAsia="宋体" w:cs="宋体"/>
          <w:b/>
          <w:bCs w:val="0"/>
          <w:sz w:val="24"/>
          <w:szCs w:val="22"/>
        </w:rPr>
      </w:pPr>
      <w:r>
        <w:rPr>
          <w:rFonts w:hint="eastAsia" w:ascii="宋体" w:hAnsi="宋体" w:eastAsia="宋体" w:cs="宋体"/>
          <w:b/>
          <w:bCs w:val="0"/>
          <w:sz w:val="24"/>
          <w:szCs w:val="22"/>
        </w:rPr>
        <w:t>表4</w:t>
      </w:r>
      <w:r>
        <w:rPr>
          <w:rFonts w:hint="eastAsia" w:ascii="宋体" w:hAnsi="宋体" w:eastAsia="宋体" w:cs="宋体"/>
          <w:b/>
          <w:bCs w:val="0"/>
          <w:sz w:val="24"/>
          <w:szCs w:val="22"/>
          <w:lang w:val="en-US" w:eastAsia="zh-CN"/>
        </w:rPr>
        <w:t>-1</w:t>
      </w:r>
      <w:r>
        <w:rPr>
          <w:rFonts w:hint="eastAsia" w:ascii="宋体" w:hAnsi="宋体" w:eastAsia="宋体" w:cs="宋体"/>
          <w:b/>
          <w:bCs w:val="0"/>
          <w:color w:val="auto"/>
          <w:kern w:val="0"/>
          <w:sz w:val="28"/>
          <w:szCs w:val="28"/>
          <w:highlight w:val="none"/>
          <w:u w:val="none"/>
          <w:lang w:bidi="ar"/>
        </w:rPr>
        <w:t>企业主要设备及重点设施</w:t>
      </w:r>
      <w:r>
        <w:rPr>
          <w:rFonts w:hint="eastAsia" w:ascii="宋体" w:hAnsi="宋体" w:eastAsia="宋体" w:cs="宋体"/>
          <w:b/>
          <w:bCs w:val="0"/>
          <w:color w:val="auto"/>
          <w:kern w:val="0"/>
          <w:sz w:val="28"/>
          <w:szCs w:val="28"/>
          <w:highlight w:val="none"/>
          <w:u w:val="none"/>
        </w:rPr>
        <w:t>一览表</w:t>
      </w:r>
    </w:p>
    <w:tbl>
      <w:tblPr>
        <w:tblStyle w:val="19"/>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519"/>
        <w:gridCol w:w="3245"/>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设备名称</w:t>
            </w:r>
          </w:p>
        </w:tc>
        <w:tc>
          <w:tcPr>
            <w:tcW w:w="324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规格</w:t>
            </w:r>
          </w:p>
        </w:tc>
        <w:tc>
          <w:tcPr>
            <w:tcW w:w="9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精馏塔</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∮1m*27.5m</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蒸馏釜</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卧式，3m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，∮1m×3m</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蒸馏釜</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卧式，5m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 xml:space="preserve">，∮1.5m×2m </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加热器</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立式∮0.7m×3m</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加热器</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卧式,∮0.4m×3m</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加热器</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立式∮0.6m×3m</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冷凝器</w:t>
            </w:r>
          </w:p>
        </w:tc>
        <w:tc>
          <w:tcPr>
            <w:tcW w:w="324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卧式，∮0.4m×3m</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冷凝器</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卧式，∮0.6m×4m</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催化剂罐</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卧式，1m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 xml:space="preserve">，∮0.8m×1.5m </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35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馏份罐</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卧式，8 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，∮1.8m×2.8m</w:t>
            </w:r>
          </w:p>
        </w:tc>
        <w:tc>
          <w:tcPr>
            <w:tcW w:w="9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碳酸甲乙酯(EMC)成品中间罐</w:t>
            </w:r>
          </w:p>
        </w:tc>
        <w:tc>
          <w:tcPr>
            <w:tcW w:w="324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卧式，8 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，∮1.8m×2.8m</w:t>
            </w:r>
          </w:p>
        </w:tc>
        <w:tc>
          <w:tcPr>
            <w:tcW w:w="9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碳酸二乙酯(DEC)成品中间罐</w:t>
            </w:r>
          </w:p>
        </w:tc>
        <w:tc>
          <w:tcPr>
            <w:tcW w:w="324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卧式，8 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，∮1.8m×2.8m</w:t>
            </w:r>
          </w:p>
        </w:tc>
        <w:tc>
          <w:tcPr>
            <w:tcW w:w="9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水泵</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30KW </w:t>
            </w:r>
          </w:p>
        </w:tc>
        <w:tc>
          <w:tcPr>
            <w:tcW w:w="9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罗茨真空泵</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7.5KW</w:t>
            </w:r>
          </w:p>
        </w:tc>
        <w:tc>
          <w:tcPr>
            <w:tcW w:w="9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冷却塔</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/h</w:t>
            </w:r>
          </w:p>
        </w:tc>
        <w:tc>
          <w:tcPr>
            <w:tcW w:w="9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6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备用锅炉</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6t/h</w:t>
            </w:r>
          </w:p>
        </w:tc>
        <w:tc>
          <w:tcPr>
            <w:tcW w:w="9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6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17</w:t>
            </w:r>
          </w:p>
        </w:tc>
        <w:tc>
          <w:tcPr>
            <w:tcW w:w="35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RCO有机废气治理设施</w:t>
            </w:r>
          </w:p>
        </w:tc>
        <w:tc>
          <w:tcPr>
            <w:tcW w:w="32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1套</w:t>
            </w:r>
          </w:p>
        </w:tc>
        <w:tc>
          <w:tcPr>
            <w:tcW w:w="9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r>
    </w:tbl>
    <w:p>
      <w:pPr>
        <w:numPr>
          <w:ilvl w:val="0"/>
          <w:numId w:val="0"/>
        </w:numPr>
        <w:spacing w:line="520" w:lineRule="exact"/>
        <w:ind w:firstLine="560" w:firstLineChars="200"/>
        <w:jc w:val="both"/>
        <w:outlineLvl w:val="3"/>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（2）主要原辅材料消耗</w:t>
      </w:r>
    </w:p>
    <w:p>
      <w:pPr>
        <w:pStyle w:val="12"/>
        <w:adjustRightInd w:val="0"/>
        <w:snapToGrid w:val="0"/>
        <w:spacing w:line="480" w:lineRule="exact"/>
        <w:ind w:left="0" w:leftChars="0" w:firstLine="0" w:firstLineChars="0"/>
        <w:jc w:val="center"/>
        <w:rPr>
          <w:rFonts w:hint="eastAsia" w:ascii="宋体" w:hAnsi="宋体" w:eastAsia="宋体" w:cs="宋体"/>
          <w:color w:val="auto"/>
          <w:sz w:val="28"/>
          <w:szCs w:val="21"/>
          <w:highlight w:val="none"/>
        </w:rPr>
      </w:pPr>
      <w:bookmarkStart w:id="127" w:name="_Toc107924572"/>
      <w:bookmarkStart w:id="128" w:name="_Toc19828"/>
      <w:bookmarkStart w:id="129" w:name="_Toc161"/>
      <w:r>
        <w:rPr>
          <w:rFonts w:hint="eastAsia" w:ascii="宋体" w:hAnsi="宋体" w:eastAsia="宋体" w:cs="宋体"/>
          <w:b/>
          <w:bCs/>
          <w:color w:val="auto"/>
          <w:sz w:val="28"/>
          <w:szCs w:val="21"/>
          <w:highlight w:val="none"/>
          <w:lang w:val="en-US" w:eastAsia="zh-CN"/>
        </w:rPr>
        <w:t>表4-2</w:t>
      </w:r>
      <w:r>
        <w:rPr>
          <w:rFonts w:hint="eastAsia" w:ascii="宋体" w:hAnsi="宋体" w:eastAsia="宋体" w:cs="宋体"/>
          <w:b/>
          <w:bCs/>
          <w:color w:val="auto"/>
          <w:sz w:val="28"/>
          <w:szCs w:val="21"/>
          <w:highlight w:val="none"/>
        </w:rPr>
        <w:t>原辅材料、中间产品、产品中涉及主要危险物质储存情况一览表</w:t>
      </w:r>
    </w:p>
    <w:tbl>
      <w:tblPr>
        <w:tblStyle w:val="19"/>
        <w:tblW w:w="4911"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6"/>
        <w:gridCol w:w="1465"/>
        <w:gridCol w:w="478"/>
        <w:gridCol w:w="722"/>
        <w:gridCol w:w="779"/>
        <w:gridCol w:w="1424"/>
        <w:gridCol w:w="1176"/>
        <w:gridCol w:w="816"/>
        <w:gridCol w:w="11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物质名称/产污环节</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储存方式</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6"/>
                <w:sz w:val="24"/>
                <w:szCs w:val="24"/>
                <w:highlight w:val="none"/>
              </w:rPr>
            </w:pPr>
            <w:r>
              <w:rPr>
                <w:rFonts w:hint="eastAsia" w:ascii="宋体" w:hAnsi="宋体" w:eastAsia="宋体" w:cs="宋体"/>
                <w:color w:val="auto"/>
                <w:sz w:val="24"/>
                <w:szCs w:val="24"/>
                <w:highlight w:val="none"/>
              </w:rPr>
              <w:t>最大储量（t）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储存场所/污染因子</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CAS编号</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临界量（t）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是否环境风险物质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原辅材料</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碳酸二甲酯</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储罐</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z w:val="24"/>
                <w:szCs w:val="24"/>
                <w:highlight w:val="none"/>
              </w:rPr>
              <w:t>200m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储罐×1</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181.9</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3"/>
                <w:kern w:val="2"/>
                <w:sz w:val="24"/>
                <w:szCs w:val="24"/>
                <w:highlight w:val="none"/>
              </w:rPr>
            </w:pPr>
            <w:r>
              <w:rPr>
                <w:rFonts w:hint="eastAsia" w:ascii="宋体" w:hAnsi="宋体" w:eastAsia="宋体" w:cs="宋体"/>
                <w:color w:val="auto"/>
                <w:spacing w:val="-3"/>
                <w:sz w:val="24"/>
                <w:szCs w:val="24"/>
                <w:highlight w:val="none"/>
              </w:rPr>
              <w:t>储罐区</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616-38-6</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r>
              <w:rPr>
                <w:rFonts w:hint="eastAsia" w:ascii="宋体" w:hAnsi="宋体" w:eastAsia="宋体" w:cs="宋体"/>
                <w:bCs/>
                <w:color w:val="auto"/>
                <w:sz w:val="24"/>
                <w:szCs w:val="24"/>
                <w:highlight w:val="none"/>
              </w:rPr>
              <w:t>第3.2类中闪点易燃液体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无水乙醇</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储罐</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z w:val="24"/>
                <w:szCs w:val="24"/>
                <w:highlight w:val="none"/>
              </w:rPr>
              <w:t>200m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储罐×1</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147.9</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3"/>
                <w:kern w:val="2"/>
                <w:sz w:val="24"/>
                <w:szCs w:val="24"/>
                <w:highlight w:val="none"/>
              </w:rPr>
            </w:pPr>
            <w:r>
              <w:rPr>
                <w:rFonts w:hint="eastAsia" w:ascii="宋体" w:hAnsi="宋体" w:eastAsia="宋体" w:cs="宋体"/>
                <w:color w:val="auto"/>
                <w:spacing w:val="-3"/>
                <w:sz w:val="24"/>
                <w:szCs w:val="24"/>
                <w:highlight w:val="none"/>
              </w:rPr>
              <w:t>储罐区</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64-17-5</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r>
              <w:rPr>
                <w:rFonts w:hint="eastAsia" w:ascii="宋体" w:hAnsi="宋体" w:eastAsia="宋体" w:cs="宋体"/>
                <w:bCs/>
                <w:color w:val="auto"/>
                <w:sz w:val="24"/>
                <w:szCs w:val="24"/>
                <w:highlight w:val="none"/>
              </w:rPr>
              <w:t>第3.2类中闪点易燃液体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甲醇钠甲醇溶液</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桶装</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200L桶装</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原料库</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天然气</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管线输送</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在线量</w:t>
            </w:r>
            <w:r>
              <w:rPr>
                <w:rFonts w:hint="eastAsia" w:ascii="宋体" w:hAnsi="宋体" w:eastAsia="宋体" w:cs="宋体"/>
                <w:color w:val="auto"/>
                <w:spacing w:val="-2"/>
                <w:sz w:val="24"/>
                <w:szCs w:val="24"/>
                <w:highlight w:val="none"/>
              </w:rPr>
              <w:t>0.14t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备用锅炉房</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74-82-8</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是，4易燃气体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产品</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碳酸甲乙酯</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储罐</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储罐×1</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3"/>
                <w:kern w:val="2"/>
                <w:sz w:val="24"/>
                <w:szCs w:val="24"/>
                <w:highlight w:val="none"/>
              </w:rPr>
            </w:pPr>
            <w:r>
              <w:rPr>
                <w:rFonts w:hint="eastAsia" w:ascii="宋体" w:hAnsi="宋体" w:eastAsia="宋体" w:cs="宋体"/>
                <w:color w:val="auto"/>
                <w:spacing w:val="-3"/>
                <w:sz w:val="24"/>
                <w:szCs w:val="24"/>
                <w:highlight w:val="none"/>
              </w:rPr>
              <w:t>储罐区</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623-53-0</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5000</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是，第3.3类高闪点易燃液体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碳酸二乙酯</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储罐</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储罐×1</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3"/>
                <w:kern w:val="2"/>
                <w:sz w:val="24"/>
                <w:szCs w:val="24"/>
                <w:highlight w:val="none"/>
              </w:rPr>
            </w:pPr>
            <w:r>
              <w:rPr>
                <w:rFonts w:hint="eastAsia" w:ascii="宋体" w:hAnsi="宋体" w:eastAsia="宋体" w:cs="宋体"/>
                <w:color w:val="auto"/>
                <w:spacing w:val="-3"/>
                <w:sz w:val="24"/>
                <w:szCs w:val="24"/>
                <w:highlight w:val="none"/>
              </w:rPr>
              <w:t>储罐区</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105-58-8</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5000</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是，第3.3类高闪点易燃液体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甲醇</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储罐</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储罐×1</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134.3</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3"/>
                <w:kern w:val="2"/>
                <w:sz w:val="24"/>
                <w:szCs w:val="24"/>
                <w:highlight w:val="none"/>
              </w:rPr>
            </w:pPr>
            <w:r>
              <w:rPr>
                <w:rFonts w:hint="eastAsia" w:ascii="宋体" w:hAnsi="宋体" w:eastAsia="宋体" w:cs="宋体"/>
                <w:color w:val="auto"/>
                <w:spacing w:val="-3"/>
                <w:sz w:val="24"/>
                <w:szCs w:val="24"/>
                <w:highlight w:val="none"/>
              </w:rPr>
              <w:t>储罐区</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64-56-1</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r>
              <w:rPr>
                <w:rFonts w:hint="eastAsia" w:ascii="宋体" w:hAnsi="宋体" w:eastAsia="宋体" w:cs="宋体"/>
                <w:bCs/>
                <w:color w:val="auto"/>
                <w:sz w:val="24"/>
                <w:szCs w:val="24"/>
                <w:highlight w:val="none"/>
              </w:rPr>
              <w:t>第3.2类中闪点易燃液体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三废污染物</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vMerge w:val="restar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废气</w:t>
            </w:r>
          </w:p>
        </w:tc>
        <w:tc>
          <w:tcPr>
            <w:tcW w:w="897" w:type="pct"/>
            <w:vMerge w:val="restar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精馏不凝气</w:t>
            </w:r>
          </w:p>
        </w:tc>
        <w:tc>
          <w:tcPr>
            <w:tcW w:w="302" w:type="pct"/>
            <w:vMerge w:val="restar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49" w:type="pct"/>
            <w:vMerge w:val="restar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甲醇</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64-56-1</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vMerge w:val="continue"/>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97" w:type="pct"/>
            <w:vMerge w:val="continue"/>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302" w:type="pct"/>
            <w:vMerge w:val="continue"/>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p>
        </w:tc>
        <w:tc>
          <w:tcPr>
            <w:tcW w:w="449" w:type="pct"/>
            <w:vMerge w:val="continue"/>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VOCs</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vMerge w:val="continue"/>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食堂油烟</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油烟</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vMerge w:val="continue"/>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备用锅炉废气</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烟尘、SO</w:t>
            </w:r>
            <w:r>
              <w:rPr>
                <w:rFonts w:hint="eastAsia" w:ascii="宋体" w:hAnsi="宋体" w:eastAsia="宋体" w:cs="宋体"/>
                <w:color w:val="auto"/>
                <w:sz w:val="24"/>
                <w:szCs w:val="24"/>
                <w:highlight w:val="none"/>
                <w:vertAlign w:val="subscript"/>
              </w:rPr>
              <w:t>2</w:t>
            </w:r>
            <w:r>
              <w:rPr>
                <w:rFonts w:hint="eastAsia" w:ascii="宋体" w:hAnsi="宋体" w:eastAsia="宋体" w:cs="宋体"/>
                <w:color w:val="auto"/>
                <w:sz w:val="24"/>
                <w:szCs w:val="24"/>
                <w:highlight w:val="none"/>
              </w:rPr>
              <w:t>、NO</w:t>
            </w:r>
            <w:r>
              <w:rPr>
                <w:rFonts w:hint="eastAsia" w:ascii="宋体" w:hAnsi="宋体" w:eastAsia="宋体" w:cs="宋体"/>
                <w:color w:val="auto"/>
                <w:sz w:val="24"/>
                <w:szCs w:val="24"/>
                <w:highlight w:val="none"/>
                <w:vertAlign w:val="subscript"/>
              </w:rPr>
              <w:t>x</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vMerge w:val="continue"/>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97" w:type="pct"/>
            <w:vMerge w:val="restar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罐区无组织废气</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甲醇</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64-56-1</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vMerge w:val="continue"/>
            <w:tcBorders>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97" w:type="pct"/>
            <w:vMerge w:val="continue"/>
            <w:tcBorders>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VOCs</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167" w:type="pct"/>
            <w:vMerge w:val="restar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生活废水</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COD、BOD、SS、NH</w:t>
            </w:r>
            <w:r>
              <w:rPr>
                <w:rFonts w:hint="eastAsia" w:ascii="宋体" w:hAnsi="宋体" w:eastAsia="宋体" w:cs="宋体"/>
                <w:color w:val="auto"/>
                <w:sz w:val="24"/>
                <w:szCs w:val="24"/>
                <w:highlight w:val="none"/>
                <w:vertAlign w:val="subscript"/>
              </w:rPr>
              <w:t>3</w:t>
            </w:r>
            <w:r>
              <w:rPr>
                <w:rFonts w:hint="eastAsia" w:ascii="宋体" w:hAnsi="宋体" w:eastAsia="宋体" w:cs="宋体"/>
                <w:color w:val="auto"/>
                <w:sz w:val="24"/>
                <w:szCs w:val="24"/>
                <w:highlight w:val="none"/>
              </w:rPr>
              <w:t>-N</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67" w:type="pct"/>
            <w:vMerge w:val="continue"/>
            <w:tcBorders>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锅炉排水</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167" w:type="pct"/>
            <w:vMerge w:val="restar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固废</w:t>
            </w: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废活性炭</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25kg/袋</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危废暂存间</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167" w:type="pct"/>
            <w:vMerge w:val="continue"/>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废离子交换树脂</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0.5t</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危废暂存间</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167" w:type="pct"/>
            <w:vMerge w:val="continue"/>
            <w:tcBorders>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p>
        </w:tc>
        <w:tc>
          <w:tcPr>
            <w:tcW w:w="89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生活垃圾</w:t>
            </w:r>
          </w:p>
        </w:tc>
        <w:tc>
          <w:tcPr>
            <w:tcW w:w="30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49"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pacing w:val="-10"/>
                <w:sz w:val="24"/>
                <w:szCs w:val="24"/>
                <w:highlight w:val="none"/>
                <w:lang w:val="en-US" w:eastAsia="zh-CN"/>
              </w:rPr>
            </w:pPr>
            <w:r>
              <w:rPr>
                <w:rFonts w:hint="eastAsia" w:ascii="宋体" w:hAnsi="宋体" w:eastAsia="宋体" w:cs="宋体"/>
                <w:color w:val="auto"/>
                <w:spacing w:val="-10"/>
                <w:sz w:val="24"/>
                <w:szCs w:val="24"/>
                <w:highlight w:val="none"/>
                <w:lang w:val="en-US" w:eastAsia="zh-CN"/>
              </w:rPr>
              <w:t>/</w:t>
            </w:r>
          </w:p>
        </w:tc>
        <w:tc>
          <w:tcPr>
            <w:tcW w:w="48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0.015</w:t>
            </w:r>
          </w:p>
        </w:tc>
        <w:tc>
          <w:tcPr>
            <w:tcW w:w="87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生活垃圾收集桶</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000" w:type="pct"/>
            <w:gridSpan w:val="9"/>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备注：碳酸二甲酯、碳酸甲乙酯、碳酸二乙酯临界量参照《危险化学品重大危险源辨识》（GB18218-2018）</w:t>
            </w:r>
          </w:p>
        </w:tc>
      </w:tr>
    </w:tbl>
    <w:p>
      <w:pPr>
        <w:pStyle w:val="8"/>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kern w:val="2"/>
          <w:sz w:val="28"/>
          <w:szCs w:val="32"/>
          <w:lang w:val="en-US" w:eastAsia="zh-CN" w:bidi="ar-SA"/>
        </w:rPr>
      </w:pPr>
      <w:bookmarkStart w:id="130" w:name="_Toc5168"/>
      <w:r>
        <w:rPr>
          <w:rFonts w:hint="eastAsia" w:ascii="宋体" w:hAnsi="宋体" w:eastAsia="宋体" w:cs="宋体"/>
          <w:b/>
          <w:bCs/>
          <w:kern w:val="2"/>
          <w:sz w:val="28"/>
          <w:szCs w:val="32"/>
          <w:lang w:val="en-US" w:eastAsia="zh-CN" w:bidi="ar-SA"/>
        </w:rPr>
        <w:t>4.2企业生产工艺</w:t>
      </w:r>
      <w:bookmarkEnd w:id="127"/>
      <w:bookmarkEnd w:id="128"/>
      <w:bookmarkEnd w:id="129"/>
      <w:r>
        <w:rPr>
          <w:rFonts w:hint="eastAsia" w:ascii="宋体" w:hAnsi="宋体" w:eastAsia="宋体" w:cs="宋体"/>
          <w:b/>
          <w:bCs/>
          <w:kern w:val="2"/>
          <w:sz w:val="28"/>
          <w:szCs w:val="32"/>
          <w:lang w:val="en-US" w:eastAsia="zh-CN" w:bidi="ar-SA"/>
        </w:rPr>
        <w:t>及产排污环节</w:t>
      </w:r>
      <w:bookmarkEnd w:id="130"/>
    </w:p>
    <w:p>
      <w:pPr>
        <w:spacing w:line="360" w:lineRule="auto"/>
        <w:ind w:firstLine="560" w:firstLineChars="200"/>
        <w:rPr>
          <w:rFonts w:hint="eastAsia" w:ascii="宋体" w:hAnsi="宋体" w:eastAsia="宋体" w:cs="宋体"/>
          <w:color w:val="auto"/>
          <w:sz w:val="28"/>
          <w:szCs w:val="28"/>
          <w:highlight w:val="none"/>
        </w:rPr>
      </w:pPr>
      <w:bookmarkStart w:id="131" w:name="_Toc30707"/>
      <w:bookmarkStart w:id="132" w:name="_Toc17786"/>
      <w:bookmarkStart w:id="133" w:name="_Toc19887_WPSOffice_Level1"/>
      <w:bookmarkStart w:id="134" w:name="_Toc22500"/>
      <w:bookmarkStart w:id="135" w:name="_Toc12454"/>
      <w:bookmarkStart w:id="136" w:name="_Toc29313_WPSOffice_Level1"/>
      <w:bookmarkStart w:id="137" w:name="_Toc22983"/>
      <w:bookmarkStart w:id="138" w:name="_Toc5120"/>
      <w:bookmarkStart w:id="139" w:name="_Toc53736354"/>
      <w:bookmarkStart w:id="140" w:name="_Toc11417"/>
      <w:bookmarkStart w:id="141" w:name="_Toc19398"/>
      <w:bookmarkStart w:id="142" w:name="_Toc15291"/>
      <w:bookmarkStart w:id="143" w:name="_Toc26004781"/>
      <w:bookmarkStart w:id="144" w:name="_Toc14776"/>
      <w:bookmarkStart w:id="145" w:name="_Toc29431"/>
      <w:r>
        <w:rPr>
          <w:rFonts w:hint="eastAsia" w:ascii="宋体" w:hAnsi="宋体" w:eastAsia="宋体" w:cs="宋体"/>
          <w:color w:val="auto"/>
          <w:sz w:val="28"/>
          <w:szCs w:val="28"/>
          <w:highlight w:val="none"/>
        </w:rPr>
        <w:t>本项目为连续生产。精馏系统利用二台罗茨真空泵保持负压，1#塔单独用一台真空泵，2#~5#塔共用一台真空泵。</w:t>
      </w:r>
    </w:p>
    <w:p>
      <w:pPr>
        <w:spacing w:line="360" w:lineRule="auto"/>
        <w:ind w:firstLine="560" w:firstLineChars="200"/>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（1）酯交换反应</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将反应釜预热到100℃左右，抽真空保持负压。将预热后的碳酸二甲酯(DMC)、乙醇投至1#塔塔节，加入甲醇钠催化剂，反应生成中间体，进料后待各塔节温度稳定后取样，合格后根据生产的目标产品决定出料速率：若生产碳酸甲乙酯(EMC)以500L/h出料；若生产碳酸二乙酯(DEC)以700L/h出料。</w:t>
      </w:r>
      <w:r>
        <w:rPr>
          <w:rFonts w:hint="eastAsia" w:ascii="宋体" w:hAnsi="宋体" w:eastAsia="宋体" w:cs="宋体"/>
          <w:bCs/>
          <w:color w:val="auto"/>
          <w:sz w:val="28"/>
          <w:szCs w:val="28"/>
          <w:highlight w:val="none"/>
        </w:rPr>
        <w:t>塔顶温度控制在67</w:t>
      </w:r>
      <w:r>
        <w:rPr>
          <w:rFonts w:hint="eastAsia" w:ascii="宋体" w:hAnsi="宋体" w:eastAsia="宋体" w:cs="宋体"/>
          <w:color w:val="auto"/>
          <w:sz w:val="28"/>
          <w:szCs w:val="28"/>
          <w:highlight w:val="none"/>
        </w:rPr>
        <w:t>℃以下</w:t>
      </w:r>
      <w:r>
        <w:rPr>
          <w:rFonts w:hint="eastAsia" w:ascii="宋体" w:hAnsi="宋体" w:eastAsia="宋体" w:cs="宋体"/>
          <w:bCs/>
          <w:color w:val="auto"/>
          <w:sz w:val="28"/>
          <w:szCs w:val="28"/>
          <w:highlight w:val="none"/>
        </w:rPr>
        <w:t>出</w:t>
      </w:r>
      <w:r>
        <w:rPr>
          <w:rFonts w:hint="eastAsia" w:ascii="宋体" w:hAnsi="宋体" w:eastAsia="宋体" w:cs="宋体"/>
          <w:color w:val="auto"/>
          <w:sz w:val="28"/>
          <w:szCs w:val="28"/>
          <w:highlight w:val="none"/>
        </w:rPr>
        <w:t>甲醇（出料中含部分碳酸甲乙酯(EMC)），进入甲醇罐；塔釜出料中主要组分为碳酸甲乙酯(EMC) 和部分碳酸二甲酯(DMC)、碳酸二乙酯(DEC)等，泵入2#釜。如果釜样不合格，将1#塔釜物料泵入反应釜进一步反应。</w:t>
      </w:r>
    </w:p>
    <w:p>
      <w:pPr>
        <w:spacing w:line="360" w:lineRule="auto"/>
        <w:ind w:firstLine="509" w:firstLineChars="182"/>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（2）粗馏</w:t>
      </w:r>
    </w:p>
    <w:p>
      <w:pPr>
        <w:spacing w:line="360" w:lineRule="auto"/>
        <w:ind w:firstLine="509" w:firstLineChars="18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塔的功能是将碳酸二乙酯(DEC)前馏分从1#塔釜物料中分离：将2#塔利用再沸器加热并抽真空保持负压，待2#精馏塔加热至开始回流且各个温度点稳定后加热2#蒸馏釜，温度再次稳定后将1#釜出料泵入，经2#蒸馏釜加热气化，釜底分离出含催化剂甲醇钠的碳酸二乙酯(DEC)（排放周期为1次/天，混入副产品甲醇外售）。气化后的物料进入2#塔，每隔一定时间检测塔顶、塔顶物料含量，合格后出料，</w:t>
      </w:r>
      <w:r>
        <w:rPr>
          <w:rFonts w:hint="eastAsia" w:ascii="宋体" w:hAnsi="宋体" w:eastAsia="宋体" w:cs="宋体"/>
          <w:bCs/>
          <w:color w:val="auto"/>
          <w:sz w:val="28"/>
          <w:szCs w:val="28"/>
          <w:highlight w:val="none"/>
        </w:rPr>
        <w:t>塔顶温度在70~80</w:t>
      </w:r>
      <w:r>
        <w:rPr>
          <w:rFonts w:hint="eastAsia" w:ascii="宋体" w:hAnsi="宋体" w:eastAsia="宋体" w:cs="宋体"/>
          <w:color w:val="auto"/>
          <w:sz w:val="28"/>
          <w:szCs w:val="28"/>
          <w:highlight w:val="none"/>
        </w:rPr>
        <w:t>℃出料，物料主要成分为碳酸二甲酯(DMC)和碳酸甲乙酯(EMC)，泵入3#塔；塔釜物料主要成分为碳酸二乙酯(DEC)和部分碳酸甲乙酯(EMC)，泵入5</w:t>
      </w:r>
      <w:r>
        <w:rPr>
          <w:rFonts w:hint="eastAsia" w:ascii="宋体" w:hAnsi="宋体" w:eastAsia="宋体" w:cs="宋体"/>
          <w:bCs/>
          <w:color w:val="auto"/>
          <w:sz w:val="28"/>
          <w:szCs w:val="28"/>
          <w:highlight w:val="none"/>
        </w:rPr>
        <w:t>#</w:t>
      </w:r>
      <w:r>
        <w:rPr>
          <w:rFonts w:hint="eastAsia" w:ascii="宋体" w:hAnsi="宋体" w:eastAsia="宋体" w:cs="宋体"/>
          <w:color w:val="auto"/>
          <w:sz w:val="28"/>
          <w:szCs w:val="28"/>
          <w:highlight w:val="none"/>
        </w:rPr>
        <w:t>塔塔节。</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3#塔的功能是将碳酸甲乙酯(EMC)从2#塔顶出料中分离：将3#塔利用再沸器加热并抽真空保持负压，当加热至开始回流且温度稳定后，将2#塔顶出料泵入3#塔。</w:t>
      </w:r>
      <w:r>
        <w:rPr>
          <w:rFonts w:hint="eastAsia" w:ascii="宋体" w:hAnsi="宋体" w:eastAsia="宋体" w:cs="宋体"/>
          <w:bCs/>
          <w:color w:val="auto"/>
          <w:sz w:val="28"/>
          <w:szCs w:val="28"/>
          <w:highlight w:val="none"/>
        </w:rPr>
        <w:t>塔顶与塔釜温差≥15</w:t>
      </w:r>
      <w:r>
        <w:rPr>
          <w:rFonts w:hint="eastAsia" w:ascii="宋体" w:hAnsi="宋体" w:eastAsia="宋体" w:cs="宋体"/>
          <w:color w:val="auto"/>
          <w:sz w:val="28"/>
          <w:szCs w:val="28"/>
          <w:highlight w:val="none"/>
        </w:rPr>
        <w:t>℃</w:t>
      </w:r>
      <w:r>
        <w:rPr>
          <w:rFonts w:hint="eastAsia" w:ascii="宋体" w:hAnsi="宋体" w:eastAsia="宋体" w:cs="宋体"/>
          <w:bCs/>
          <w:color w:val="auto"/>
          <w:sz w:val="28"/>
          <w:szCs w:val="28"/>
          <w:highlight w:val="none"/>
        </w:rPr>
        <w:t>、塔顶温度在70~80</w:t>
      </w:r>
      <w:r>
        <w:rPr>
          <w:rFonts w:hint="eastAsia" w:ascii="宋体" w:hAnsi="宋体" w:eastAsia="宋体" w:cs="宋体"/>
          <w:color w:val="auto"/>
          <w:sz w:val="28"/>
          <w:szCs w:val="28"/>
          <w:highlight w:val="none"/>
        </w:rPr>
        <w:t>℃时出料，主要成分为碳酸二甲酯(DMC)，泵至1</w:t>
      </w:r>
      <w:r>
        <w:rPr>
          <w:rFonts w:hint="eastAsia" w:ascii="宋体" w:hAnsi="宋体" w:eastAsia="宋体" w:cs="宋体"/>
          <w:bCs/>
          <w:color w:val="auto"/>
          <w:sz w:val="28"/>
          <w:szCs w:val="28"/>
          <w:highlight w:val="none"/>
        </w:rPr>
        <w:t>#塔塔节，</w:t>
      </w:r>
      <w:r>
        <w:rPr>
          <w:rFonts w:hint="eastAsia" w:ascii="宋体" w:hAnsi="宋体" w:eastAsia="宋体" w:cs="宋体"/>
          <w:color w:val="auto"/>
          <w:sz w:val="28"/>
          <w:szCs w:val="28"/>
          <w:highlight w:val="none"/>
        </w:rPr>
        <w:t>塔釜出料主要成分为碳酸甲乙酯(EMC)，泵至4</w:t>
      </w:r>
      <w:r>
        <w:rPr>
          <w:rFonts w:hint="eastAsia" w:ascii="宋体" w:hAnsi="宋体" w:eastAsia="宋体" w:cs="宋体"/>
          <w:bCs/>
          <w:color w:val="auto"/>
          <w:sz w:val="28"/>
          <w:szCs w:val="28"/>
          <w:highlight w:val="none"/>
        </w:rPr>
        <w:t>#</w:t>
      </w:r>
      <w:r>
        <w:rPr>
          <w:rFonts w:hint="eastAsia" w:ascii="宋体" w:hAnsi="宋体" w:eastAsia="宋体" w:cs="宋体"/>
          <w:color w:val="auto"/>
          <w:sz w:val="28"/>
          <w:szCs w:val="28"/>
          <w:highlight w:val="none"/>
        </w:rPr>
        <w:t>塔塔节。</w:t>
      </w:r>
    </w:p>
    <w:p>
      <w:pPr>
        <w:spacing w:line="360" w:lineRule="auto"/>
        <w:ind w:firstLine="560" w:firstLineChars="200"/>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（3）精馏</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4#塔的功能是将碳酸甲乙酯(EMC)从3#塔釜出料中分离：将4#塔利用再沸器加热并抽真空保持负压，当加热至开始回流且温度稳定后，将3#塔釜出料泵入4#塔，每隔一定时间检测塔顶、塔釜成分，检测合格后，4#</w:t>
      </w:r>
      <w:r>
        <w:rPr>
          <w:rFonts w:hint="eastAsia" w:ascii="宋体" w:hAnsi="宋体" w:eastAsia="宋体" w:cs="宋体"/>
          <w:bCs/>
          <w:color w:val="auto"/>
          <w:sz w:val="28"/>
          <w:szCs w:val="28"/>
          <w:highlight w:val="none"/>
        </w:rPr>
        <w:t>塔顶</w:t>
      </w:r>
      <w:r>
        <w:rPr>
          <w:rFonts w:hint="eastAsia" w:ascii="宋体" w:hAnsi="宋体" w:eastAsia="宋体" w:cs="宋体"/>
          <w:color w:val="auto"/>
          <w:sz w:val="28"/>
          <w:szCs w:val="28"/>
          <w:highlight w:val="none"/>
        </w:rPr>
        <w:t>出料碳酸甲乙酯(EMC)至成品罐，碳酸甲乙酯(EMC)产品规格为电池级。塔釜出料主要成分为碳酸二乙酯(DEC)和部分碳酸甲乙酯(EMC)，泵至5</w:t>
      </w:r>
      <w:r>
        <w:rPr>
          <w:rFonts w:hint="eastAsia" w:ascii="宋体" w:hAnsi="宋体" w:eastAsia="宋体" w:cs="宋体"/>
          <w:bCs/>
          <w:color w:val="auto"/>
          <w:sz w:val="28"/>
          <w:szCs w:val="28"/>
          <w:highlight w:val="none"/>
        </w:rPr>
        <w:t>#</w:t>
      </w:r>
      <w:r>
        <w:rPr>
          <w:rFonts w:hint="eastAsia" w:ascii="宋体" w:hAnsi="宋体" w:eastAsia="宋体" w:cs="宋体"/>
          <w:color w:val="auto"/>
          <w:sz w:val="28"/>
          <w:szCs w:val="28"/>
          <w:highlight w:val="none"/>
        </w:rPr>
        <w:t>塔塔节。</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5#塔的功能是将碳酸二乙酯(DEC)从2#塔釜出料、4#塔釜出料中分离出碳酸二乙酯(DEC)成品：利用再沸器将5#塔加热并抽真空保持负压，当加热至开始回流且温度稳定后，将2#、4#塔釜出料泵入5#塔塔节，</w:t>
      </w:r>
      <w:r>
        <w:rPr>
          <w:rFonts w:hint="eastAsia" w:ascii="宋体" w:hAnsi="宋体" w:eastAsia="宋体" w:cs="宋体"/>
          <w:bCs/>
          <w:color w:val="auto"/>
          <w:sz w:val="28"/>
          <w:szCs w:val="28"/>
          <w:highlight w:val="none"/>
        </w:rPr>
        <w:t>5</w:t>
      </w:r>
      <w:r>
        <w:rPr>
          <w:rFonts w:hint="eastAsia" w:ascii="宋体" w:hAnsi="宋体" w:eastAsia="宋体" w:cs="宋体"/>
          <w:color w:val="auto"/>
          <w:sz w:val="28"/>
          <w:szCs w:val="28"/>
          <w:highlight w:val="none"/>
        </w:rPr>
        <w:t>#釜液位至90%停止进料。</w:t>
      </w:r>
      <w:r>
        <w:rPr>
          <w:rFonts w:hint="eastAsia" w:ascii="宋体" w:hAnsi="宋体" w:eastAsia="宋体" w:cs="宋体"/>
          <w:bCs/>
          <w:color w:val="auto"/>
          <w:sz w:val="28"/>
          <w:szCs w:val="28"/>
          <w:highlight w:val="none"/>
        </w:rPr>
        <w:t>塔顶与塔釜温差≥12</w:t>
      </w:r>
      <w:r>
        <w:rPr>
          <w:rFonts w:hint="eastAsia" w:ascii="宋体" w:hAnsi="宋体" w:eastAsia="宋体" w:cs="宋体"/>
          <w:color w:val="auto"/>
          <w:sz w:val="28"/>
          <w:szCs w:val="28"/>
          <w:highlight w:val="none"/>
        </w:rPr>
        <w:t>℃</w:t>
      </w:r>
      <w:r>
        <w:rPr>
          <w:rFonts w:hint="eastAsia" w:ascii="宋体" w:hAnsi="宋体" w:eastAsia="宋体" w:cs="宋体"/>
          <w:bCs/>
          <w:color w:val="auto"/>
          <w:sz w:val="28"/>
          <w:szCs w:val="28"/>
          <w:highlight w:val="none"/>
        </w:rPr>
        <w:t>、塔顶温度</w:t>
      </w:r>
      <w:r>
        <w:rPr>
          <w:rFonts w:hint="eastAsia" w:ascii="宋体" w:hAnsi="宋体" w:eastAsia="宋体" w:cs="宋体"/>
          <w:color w:val="auto"/>
          <w:sz w:val="28"/>
          <w:szCs w:val="28"/>
          <w:highlight w:val="none"/>
        </w:rPr>
        <w:t>≤80℃时出料，根据塔顶物料含量进一步调节塔顶出料量，已达到工艺指标后出料，物料主要成分为碳酸甲乙酯(EMC)和部分碳酸二乙酯(DEC)，泵至4</w:t>
      </w:r>
      <w:r>
        <w:rPr>
          <w:rFonts w:hint="eastAsia" w:ascii="宋体" w:hAnsi="宋体" w:eastAsia="宋体" w:cs="宋体"/>
          <w:bCs/>
          <w:color w:val="auto"/>
          <w:sz w:val="28"/>
          <w:szCs w:val="28"/>
          <w:highlight w:val="none"/>
        </w:rPr>
        <w:t>#塔塔节；</w:t>
      </w:r>
      <w:r>
        <w:rPr>
          <w:rFonts w:hint="eastAsia" w:ascii="宋体" w:hAnsi="宋体" w:eastAsia="宋体" w:cs="宋体"/>
          <w:color w:val="auto"/>
          <w:sz w:val="28"/>
          <w:szCs w:val="28"/>
          <w:highlight w:val="none"/>
        </w:rPr>
        <w:t>塔底温度≤100℃塔釜出料碳酸二乙酯(DEC)至成品罐，碳酸二乙酯(DEC)产品规格为电池级。产污环节见表</w:t>
      </w:r>
      <w:r>
        <w:rPr>
          <w:rFonts w:hint="eastAsia" w:ascii="宋体" w:hAnsi="宋体" w:eastAsia="宋体" w:cs="宋体"/>
          <w:color w:val="auto"/>
          <w:sz w:val="28"/>
          <w:szCs w:val="28"/>
          <w:highlight w:val="none"/>
          <w:lang w:val="en-US" w:eastAsia="zh-CN"/>
        </w:rPr>
        <w:t>4-3</w:t>
      </w:r>
      <w:r>
        <w:rPr>
          <w:rFonts w:hint="eastAsia" w:ascii="宋体" w:hAnsi="宋体" w:eastAsia="宋体" w:cs="宋体"/>
          <w:color w:val="auto"/>
          <w:sz w:val="28"/>
          <w:szCs w:val="28"/>
          <w:highlight w:val="none"/>
        </w:rPr>
        <w:t>，生产工艺流程图见图</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1。</w:t>
      </w:r>
    </w:p>
    <w:p>
      <w:pPr>
        <w:spacing w:line="360" w:lineRule="auto"/>
        <w:ind w:left="0" w:leftChars="0" w:firstLine="0" w:firstLineChars="0"/>
        <w:jc w:val="center"/>
        <w:rPr>
          <w:rFonts w:hint="eastAsia" w:ascii="宋体" w:hAnsi="宋体" w:eastAsia="宋体" w:cs="宋体"/>
          <w:bCs/>
          <w:color w:val="auto"/>
          <w:sz w:val="28"/>
          <w:szCs w:val="36"/>
          <w:highlight w:val="none"/>
        </w:rPr>
      </w:pPr>
      <w:r>
        <w:rPr>
          <w:rFonts w:hint="eastAsia" w:ascii="宋体" w:hAnsi="宋体" w:eastAsia="宋体" w:cs="宋体"/>
          <w:bCs/>
          <w:color w:val="auto"/>
          <w:sz w:val="28"/>
          <w:szCs w:val="36"/>
          <w:highlight w:val="none"/>
          <w:lang w:val="en-US" w:eastAsia="zh-CN"/>
        </w:rPr>
        <w:t xml:space="preserve">表4-3  </w:t>
      </w:r>
      <w:r>
        <w:rPr>
          <w:rFonts w:hint="eastAsia" w:ascii="宋体" w:hAnsi="宋体" w:eastAsia="宋体" w:cs="宋体"/>
          <w:bCs/>
          <w:color w:val="auto"/>
          <w:sz w:val="28"/>
          <w:szCs w:val="36"/>
          <w:highlight w:val="none"/>
        </w:rPr>
        <w:t>本项目生产工艺产污环节一览表</w:t>
      </w:r>
    </w:p>
    <w:tbl>
      <w:tblPr>
        <w:tblStyle w:val="19"/>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481"/>
        <w:gridCol w:w="1718"/>
        <w:gridCol w:w="1200"/>
        <w:gridCol w:w="3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16" w:type="dxa"/>
            <w:gridSpan w:val="2"/>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污染源</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污染因子</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排放方式</w:t>
            </w:r>
          </w:p>
        </w:tc>
        <w:tc>
          <w:tcPr>
            <w:tcW w:w="3633"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restart"/>
            <w:noWrap w:val="0"/>
            <w:vAlign w:val="center"/>
          </w:tcPr>
          <w:p>
            <w:pPr>
              <w:pStyle w:val="25"/>
              <w:keepNext w:val="0"/>
              <w:keepLines w:val="0"/>
              <w:pageBreakBefore w:val="0"/>
              <w:widowControl w:val="0"/>
              <w:pBdr>
                <w:bottom w:val="none" w:color="auto" w:sz="0" w:space="0"/>
              </w:pBdr>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auto"/>
                <w:kern w:val="2"/>
                <w:sz w:val="22"/>
                <w:szCs w:val="22"/>
                <w:highlight w:val="none"/>
              </w:rPr>
            </w:pPr>
            <w:r>
              <w:rPr>
                <w:rFonts w:hint="eastAsia" w:ascii="宋体" w:hAnsi="宋体" w:eastAsia="宋体" w:cs="宋体"/>
                <w:b w:val="0"/>
                <w:bCs w:val="0"/>
                <w:color w:val="auto"/>
                <w:kern w:val="2"/>
                <w:sz w:val="22"/>
                <w:szCs w:val="22"/>
                <w:highlight w:val="none"/>
              </w:rPr>
              <w:t>废气</w:t>
            </w: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精馏不凝气</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甲醇、VOCs</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连续</w:t>
            </w:r>
          </w:p>
        </w:tc>
        <w:tc>
          <w:tcPr>
            <w:tcW w:w="3633"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两台真空泵排气集中由一台活性炭吸附装置处理后由15m高排气筒排放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continue"/>
            <w:noWrap w:val="0"/>
            <w:vAlign w:val="center"/>
          </w:tcPr>
          <w:p>
            <w:pPr>
              <w:pStyle w:val="25"/>
              <w:keepNext w:val="0"/>
              <w:keepLines w:val="0"/>
              <w:pageBreakBefore w:val="0"/>
              <w:widowControl w:val="0"/>
              <w:pBdr>
                <w:bottom w:val="none" w:color="auto" w:sz="0" w:space="0"/>
              </w:pBdr>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auto"/>
                <w:kern w:val="2"/>
                <w:sz w:val="22"/>
                <w:szCs w:val="22"/>
                <w:highlight w:val="none"/>
              </w:rPr>
            </w:pP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备用锅炉废气</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烟尘、SO</w:t>
            </w:r>
            <w:r>
              <w:rPr>
                <w:rFonts w:hint="eastAsia" w:ascii="宋体" w:hAnsi="宋体" w:eastAsia="宋体" w:cs="宋体"/>
                <w:b w:val="0"/>
                <w:bCs w:val="0"/>
                <w:color w:val="auto"/>
                <w:sz w:val="22"/>
                <w:szCs w:val="22"/>
                <w:highlight w:val="none"/>
                <w:vertAlign w:val="subscript"/>
              </w:rPr>
              <w:t>2</w:t>
            </w:r>
            <w:r>
              <w:rPr>
                <w:rFonts w:hint="eastAsia" w:ascii="宋体" w:hAnsi="宋体" w:eastAsia="宋体" w:cs="宋体"/>
                <w:b w:val="0"/>
                <w:bCs w:val="0"/>
                <w:color w:val="auto"/>
                <w:sz w:val="22"/>
                <w:szCs w:val="22"/>
                <w:highlight w:val="none"/>
              </w:rPr>
              <w:t>、NO</w:t>
            </w:r>
            <w:r>
              <w:rPr>
                <w:rFonts w:hint="eastAsia" w:ascii="宋体" w:hAnsi="宋体" w:eastAsia="宋体" w:cs="宋体"/>
                <w:b w:val="0"/>
                <w:bCs w:val="0"/>
                <w:color w:val="auto"/>
                <w:sz w:val="22"/>
                <w:szCs w:val="22"/>
                <w:highlight w:val="none"/>
                <w:vertAlign w:val="subscript"/>
              </w:rPr>
              <w:t>x</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w:t>
            </w:r>
          </w:p>
        </w:tc>
        <w:tc>
          <w:tcPr>
            <w:tcW w:w="3633"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低氮燃烧+烟气循环+15m排气筒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continue"/>
            <w:noWrap w:val="0"/>
            <w:vAlign w:val="center"/>
          </w:tcPr>
          <w:p>
            <w:pPr>
              <w:pStyle w:val="25"/>
              <w:keepNext w:val="0"/>
              <w:keepLines w:val="0"/>
              <w:pageBreakBefore w:val="0"/>
              <w:widowControl w:val="0"/>
              <w:pBdr>
                <w:bottom w:val="none" w:color="auto" w:sz="0" w:space="0"/>
              </w:pBdr>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auto"/>
                <w:kern w:val="2"/>
                <w:sz w:val="22"/>
                <w:szCs w:val="22"/>
                <w:highlight w:val="none"/>
              </w:rPr>
            </w:pP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RCO有机废气治理设施</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非甲烷总烃</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连续</w:t>
            </w:r>
          </w:p>
        </w:tc>
        <w:tc>
          <w:tcPr>
            <w:tcW w:w="3633"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有机废气经RCO治理设施处理后排放，排放口安装烟气在线自动监控设施并与各级生态环境部门联网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restart"/>
            <w:noWrap w:val="0"/>
            <w:vAlign w:val="center"/>
          </w:tcPr>
          <w:p>
            <w:pPr>
              <w:pStyle w:val="25"/>
              <w:keepNext w:val="0"/>
              <w:keepLines w:val="0"/>
              <w:pageBreakBefore w:val="0"/>
              <w:widowControl w:val="0"/>
              <w:pBdr>
                <w:bottom w:val="none" w:color="auto" w:sz="0" w:space="0"/>
              </w:pBdr>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auto"/>
                <w:kern w:val="2"/>
                <w:sz w:val="22"/>
                <w:szCs w:val="22"/>
                <w:highlight w:val="none"/>
              </w:rPr>
            </w:pPr>
            <w:r>
              <w:rPr>
                <w:rFonts w:hint="eastAsia" w:ascii="宋体" w:hAnsi="宋体" w:eastAsia="宋体" w:cs="宋体"/>
                <w:b w:val="0"/>
                <w:bCs w:val="0"/>
                <w:color w:val="auto"/>
                <w:kern w:val="2"/>
                <w:sz w:val="22"/>
                <w:szCs w:val="22"/>
                <w:highlight w:val="none"/>
              </w:rPr>
              <w:t>废水</w:t>
            </w: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化验室废水</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COD、BOD</w:t>
            </w:r>
            <w:r>
              <w:rPr>
                <w:rFonts w:hint="eastAsia" w:ascii="宋体" w:hAnsi="宋体" w:eastAsia="宋体" w:cs="宋体"/>
                <w:b w:val="0"/>
                <w:bCs w:val="0"/>
                <w:color w:val="auto"/>
                <w:sz w:val="22"/>
                <w:szCs w:val="22"/>
                <w:highlight w:val="none"/>
                <w:vertAlign w:val="subscript"/>
              </w:rPr>
              <w:t>5</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间歇</w:t>
            </w:r>
          </w:p>
        </w:tc>
        <w:tc>
          <w:tcPr>
            <w:tcW w:w="3633" w:type="dxa"/>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进入污水处理厂进一步处理后排入南涧河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continue"/>
            <w:noWrap w:val="0"/>
            <w:vAlign w:val="center"/>
          </w:tcPr>
          <w:p>
            <w:pPr>
              <w:pStyle w:val="25"/>
              <w:keepNext w:val="0"/>
              <w:keepLines w:val="0"/>
              <w:pageBreakBefore w:val="0"/>
              <w:widowControl w:val="0"/>
              <w:pBdr>
                <w:bottom w:val="none" w:color="auto" w:sz="0" w:space="0"/>
              </w:pBdr>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auto"/>
                <w:kern w:val="2"/>
                <w:sz w:val="22"/>
                <w:szCs w:val="22"/>
                <w:highlight w:val="none"/>
              </w:rPr>
            </w:pP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备用锅炉废水</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COD</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w:t>
            </w:r>
          </w:p>
        </w:tc>
        <w:tc>
          <w:tcPr>
            <w:tcW w:w="3633" w:type="dxa"/>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噪声</w:t>
            </w: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设备噪声等</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L</w:t>
            </w:r>
            <w:r>
              <w:rPr>
                <w:rFonts w:hint="eastAsia" w:ascii="宋体" w:hAnsi="宋体" w:eastAsia="宋体" w:cs="宋体"/>
                <w:b w:val="0"/>
                <w:bCs w:val="0"/>
                <w:color w:val="auto"/>
                <w:sz w:val="22"/>
                <w:szCs w:val="22"/>
                <w:highlight w:val="none"/>
                <w:vertAlign w:val="subscript"/>
              </w:rPr>
              <w:t>Aeq</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间歇</w:t>
            </w:r>
          </w:p>
        </w:tc>
        <w:tc>
          <w:tcPr>
            <w:tcW w:w="3633"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隔声减振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固废</w:t>
            </w: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尾气处理</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废活性炭</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间歇</w:t>
            </w:r>
          </w:p>
        </w:tc>
        <w:tc>
          <w:tcPr>
            <w:tcW w:w="3633" w:type="dxa"/>
            <w:noWrap w:val="0"/>
            <w:vAlign w:val="center"/>
          </w:tcPr>
          <w:p>
            <w:pPr>
              <w:pStyle w:val="1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危废间暂存后厂家回收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职工</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生活垃圾</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间歇</w:t>
            </w:r>
          </w:p>
        </w:tc>
        <w:tc>
          <w:tcPr>
            <w:tcW w:w="3633" w:type="dxa"/>
            <w:noWrap w:val="0"/>
            <w:vAlign w:val="center"/>
          </w:tcPr>
          <w:p>
            <w:pPr>
              <w:pStyle w:val="1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市政环卫部门统一收集处理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sz w:val="22"/>
                <w:szCs w:val="22"/>
                <w:highlight w:val="none"/>
              </w:rPr>
              <w:t>备用</w:t>
            </w:r>
            <w:r>
              <w:rPr>
                <w:rFonts w:hint="eastAsia" w:ascii="宋体" w:hAnsi="宋体" w:eastAsia="宋体" w:cs="宋体"/>
                <w:b w:val="0"/>
                <w:bCs w:val="0"/>
                <w:color w:val="auto"/>
                <w:kern w:val="0"/>
                <w:sz w:val="22"/>
                <w:szCs w:val="22"/>
                <w:highlight w:val="none"/>
              </w:rPr>
              <w:t>锅炉</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废离子交换树脂</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w:t>
            </w:r>
          </w:p>
        </w:tc>
        <w:tc>
          <w:tcPr>
            <w:tcW w:w="3633"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危废间暂存后交由有资质单位处置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危废</w:t>
            </w: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各生产设备润滑</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szCs w:val="22"/>
                <w:highlight w:val="none"/>
                <w:lang w:val="en-US" w:eastAsia="zh-CN"/>
              </w:rPr>
              <w:t>废矿物油</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w:t>
            </w:r>
          </w:p>
        </w:tc>
        <w:tc>
          <w:tcPr>
            <w:tcW w:w="3633"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危废间暂存后交由有资质单位处置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p>
        </w:tc>
        <w:tc>
          <w:tcPr>
            <w:tcW w:w="1481"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RCO有机废气治理设施</w:t>
            </w:r>
          </w:p>
        </w:tc>
        <w:tc>
          <w:tcPr>
            <w:tcW w:w="1718"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szCs w:val="22"/>
                <w:highlight w:val="none"/>
                <w:lang w:val="en-US" w:eastAsia="zh-CN"/>
              </w:rPr>
              <w:t>废活性炭</w:t>
            </w:r>
          </w:p>
        </w:tc>
        <w:tc>
          <w:tcPr>
            <w:tcW w:w="1200"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w:t>
            </w:r>
          </w:p>
        </w:tc>
        <w:tc>
          <w:tcPr>
            <w:tcW w:w="3633"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危废间暂存后交由有资质单位处置</w:t>
            </w:r>
          </w:p>
        </w:tc>
      </w:tr>
    </w:tbl>
    <w:p>
      <w:pPr>
        <w:rPr>
          <w:rFonts w:hint="eastAsia" w:ascii="宋体" w:hAnsi="宋体" w:eastAsia="宋体" w:cs="宋体"/>
          <w:b/>
          <w:bCs/>
          <w:kern w:val="2"/>
          <w:sz w:val="28"/>
          <w:szCs w:val="32"/>
          <w:lang w:val="en-US" w:eastAsia="zh-CN" w:bidi="ar-SA"/>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b/>
          <w:bCs/>
          <w:kern w:val="2"/>
          <w:sz w:val="28"/>
          <w:szCs w:val="32"/>
          <w:lang w:val="en-US" w:eastAsia="zh-CN" w:bidi="ar-SA"/>
        </w:rPr>
        <w:br w:type="page"/>
      </w:r>
    </w:p>
    <w:p>
      <w:pPr>
        <w:pStyle w:val="2"/>
        <w:ind w:left="0" w:leftChars="0" w:firstLine="0" w:firstLineChars="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object>
          <v:shape id="_x0000_i1025" o:spt="75" type="#_x0000_t75" style="height:336.6pt;width:697.7pt;" o:ole="t" filled="f" o:preferrelative="t" stroked="f" coordsize="21600,21600">
            <v:path/>
            <v:fill on="f" focussize="0,0"/>
            <v:stroke on="f"/>
            <v:imagedata r:id="rId11" cropbottom="-793f" o:title=""/>
            <o:lock v:ext="edit" aspectratio="t"/>
            <w10:wrap type="none"/>
            <w10:anchorlock/>
          </v:shape>
          <o:OLEObject Type="Embed" ProgID="Visio.Drawing.11" ShapeID="_x0000_i1025" DrawAspect="Content" ObjectID="_1468075725" r:id="rId10">
            <o:LockedField>false</o:LockedField>
          </o:OLEObject>
        </w:object>
      </w:r>
    </w:p>
    <w:p>
      <w:pPr>
        <w:spacing w:line="240" w:lineRule="auto"/>
        <w:jc w:val="center"/>
        <w:rPr>
          <w:rFonts w:hint="eastAsia" w:ascii="宋体" w:hAnsi="宋体" w:eastAsia="宋体" w:cs="宋体"/>
          <w:bCs/>
          <w:color w:val="auto"/>
          <w:sz w:val="22"/>
          <w:szCs w:val="28"/>
          <w:highlight w:val="none"/>
        </w:rPr>
      </w:pPr>
    </w:p>
    <w:p>
      <w:pPr>
        <w:spacing w:line="240" w:lineRule="auto"/>
        <w:jc w:val="center"/>
        <w:rPr>
          <w:rFonts w:hint="eastAsia" w:ascii="宋体" w:hAnsi="宋体" w:eastAsia="宋体" w:cs="宋体"/>
          <w:b/>
          <w:bCs w:val="0"/>
          <w:color w:val="auto"/>
          <w:sz w:val="24"/>
          <w:szCs w:val="32"/>
          <w:highlight w:val="none"/>
        </w:rPr>
      </w:pPr>
    </w:p>
    <w:p>
      <w:pPr>
        <w:spacing w:line="240" w:lineRule="auto"/>
        <w:jc w:val="center"/>
        <w:rPr>
          <w:rFonts w:hint="eastAsia" w:ascii="宋体" w:hAnsi="宋体" w:eastAsia="宋体" w:cs="宋体"/>
          <w:b/>
          <w:bCs w:val="0"/>
          <w:color w:val="auto"/>
          <w:sz w:val="24"/>
          <w:szCs w:val="32"/>
          <w:highlight w:val="none"/>
        </w:rPr>
        <w:sectPr>
          <w:pgSz w:w="16840" w:h="11907" w:orient="landscape"/>
          <w:pgMar w:top="1474" w:right="1440" w:bottom="1474" w:left="1440" w:header="851" w:footer="1134"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
          <w:bCs w:val="0"/>
          <w:color w:val="auto"/>
          <w:sz w:val="24"/>
          <w:szCs w:val="32"/>
          <w:highlight w:val="none"/>
        </w:rPr>
        <w:t>图</w:t>
      </w:r>
      <w:r>
        <w:rPr>
          <w:rFonts w:hint="eastAsia" w:ascii="宋体" w:hAnsi="宋体" w:eastAsia="宋体" w:cs="宋体"/>
          <w:b/>
          <w:bCs w:val="0"/>
          <w:color w:val="auto"/>
          <w:sz w:val="24"/>
          <w:szCs w:val="32"/>
          <w:highlight w:val="none"/>
          <w:lang w:val="en-US" w:eastAsia="zh-CN"/>
        </w:rPr>
        <w:t>4-1</w:t>
      </w:r>
      <w:r>
        <w:rPr>
          <w:rFonts w:hint="eastAsia" w:ascii="宋体" w:hAnsi="宋体" w:eastAsia="宋体" w:cs="宋体"/>
          <w:b/>
          <w:bCs w:val="0"/>
          <w:color w:val="auto"/>
          <w:sz w:val="24"/>
          <w:szCs w:val="32"/>
          <w:highlight w:val="none"/>
        </w:rPr>
        <w:t xml:space="preserve">      本项目生产工艺流程图</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46" w:name="_Toc28787"/>
      <w:r>
        <w:rPr>
          <w:rFonts w:hint="eastAsia" w:ascii="宋体" w:hAnsi="宋体" w:eastAsia="宋体" w:cs="宋体"/>
          <w:b/>
          <w:bCs/>
          <w:kern w:val="2"/>
          <w:sz w:val="28"/>
          <w:szCs w:val="32"/>
          <w:lang w:val="en-US" w:eastAsia="zh-CN" w:bidi="ar-SA"/>
        </w:rPr>
        <w:t>4.3企业总平面布置</w:t>
      </w:r>
      <w:bookmarkEnd w:id="131"/>
      <w:bookmarkEnd w:id="132"/>
      <w:bookmarkEnd w:id="146"/>
    </w:p>
    <w:p>
      <w:pPr>
        <w:widowControl w:val="0"/>
        <w:snapToGrid/>
        <w:spacing w:after="0" w:line="520" w:lineRule="exact"/>
        <w:ind w:firstLine="541" w:firstLineChars="202"/>
        <w:jc w:val="both"/>
        <w:rPr>
          <w:rFonts w:hint="eastAsia" w:ascii="宋体" w:hAnsi="宋体" w:eastAsia="宋体" w:cs="宋体"/>
          <w:color w:val="auto"/>
          <w:sz w:val="28"/>
          <w:szCs w:val="28"/>
          <w:highlight w:val="green"/>
        </w:rPr>
      </w:pPr>
      <w:r>
        <w:rPr>
          <w:rFonts w:hint="eastAsia" w:ascii="宋体" w:hAnsi="宋体" w:eastAsia="宋体" w:cs="宋体"/>
          <w:spacing w:val="-6"/>
          <w:sz w:val="28"/>
          <w:szCs w:val="28"/>
          <w:lang w:val="zh-CN" w:eastAsia="zh-CN" w:bidi="zh-CN"/>
        </w:rPr>
        <w:t>河南德利新能源材料有限公司厂区占地面积66670m</w:t>
      </w:r>
      <w:r>
        <w:rPr>
          <w:rFonts w:hint="eastAsia" w:ascii="宋体" w:hAnsi="宋体" w:eastAsia="宋体" w:cs="宋体"/>
          <w:spacing w:val="-6"/>
          <w:sz w:val="28"/>
          <w:szCs w:val="28"/>
          <w:vertAlign w:val="superscript"/>
          <w:lang w:val="zh-CN" w:eastAsia="zh-CN" w:bidi="zh-CN"/>
        </w:rPr>
        <w:t>2</w:t>
      </w:r>
      <w:r>
        <w:rPr>
          <w:rFonts w:hint="eastAsia" w:ascii="宋体" w:hAnsi="宋体" w:eastAsia="宋体" w:cs="宋体"/>
          <w:spacing w:val="-6"/>
          <w:sz w:val="28"/>
          <w:szCs w:val="28"/>
          <w:lang w:val="zh-CN" w:eastAsia="zh-CN" w:bidi="zh-CN"/>
        </w:rPr>
        <w:t>（约100亩），</w:t>
      </w:r>
      <w:r>
        <w:rPr>
          <w:rFonts w:hint="eastAsia" w:ascii="宋体" w:hAnsi="宋体" w:eastAsia="宋体" w:cs="宋体"/>
          <w:color w:val="auto"/>
          <w:sz w:val="28"/>
          <w:szCs w:val="28"/>
          <w:highlight w:val="none"/>
          <w:lang w:eastAsia="zh-CN"/>
        </w:rPr>
        <w:t>生产装置区以及与之配套的附属工程、公用工程、环保设施等</w:t>
      </w:r>
      <w:r>
        <w:rPr>
          <w:rFonts w:hint="eastAsia" w:ascii="宋体" w:hAnsi="宋体" w:eastAsia="宋体" w:cs="宋体"/>
          <w:color w:val="auto"/>
          <w:sz w:val="28"/>
          <w:szCs w:val="28"/>
          <w:highlight w:val="none"/>
          <w:lang w:val="en-US" w:eastAsia="zh-CN"/>
        </w:rPr>
        <w:t>占地面积</w:t>
      </w:r>
      <w:r>
        <w:rPr>
          <w:rFonts w:hint="eastAsia" w:ascii="宋体" w:hAnsi="宋体" w:eastAsia="宋体" w:cs="宋体"/>
          <w:color w:val="auto"/>
          <w:sz w:val="28"/>
          <w:szCs w:val="28"/>
          <w:highlight w:val="none"/>
        </w:rPr>
        <w:t>136m</w:t>
      </w:r>
      <w:r>
        <w:rPr>
          <w:rFonts w:hint="eastAsia" w:ascii="宋体" w:hAnsi="宋体" w:eastAsia="宋体" w:cs="宋体"/>
          <w:color w:val="auto"/>
          <w:sz w:val="28"/>
          <w:szCs w:val="28"/>
          <w:highlight w:val="none"/>
          <w:vertAlign w:val="superscript"/>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项目用地性质为</w:t>
      </w:r>
      <w:r>
        <w:rPr>
          <w:rFonts w:hint="eastAsia" w:ascii="宋体" w:hAnsi="宋体" w:eastAsia="宋体" w:cs="宋体"/>
          <w:color w:val="auto"/>
          <w:sz w:val="28"/>
          <w:szCs w:val="28"/>
          <w:highlight w:val="none"/>
          <w:lang w:val="en-US" w:eastAsia="zh-CN"/>
        </w:rPr>
        <w:t>三类</w:t>
      </w:r>
      <w:r>
        <w:rPr>
          <w:rFonts w:hint="eastAsia" w:ascii="宋体" w:hAnsi="宋体" w:eastAsia="宋体" w:cs="宋体"/>
          <w:color w:val="auto"/>
          <w:sz w:val="28"/>
          <w:szCs w:val="28"/>
          <w:highlight w:val="none"/>
        </w:rPr>
        <w:t>工业用地</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总平面布置见附图</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w:t>
      </w:r>
    </w:p>
    <w:p>
      <w:pPr>
        <w:pStyle w:val="8"/>
        <w:outlineLvl w:val="1"/>
        <w:rPr>
          <w:rFonts w:hint="eastAsia" w:ascii="宋体" w:hAnsi="宋体" w:eastAsia="宋体" w:cs="宋体"/>
          <w:color w:val="auto"/>
          <w:highlight w:val="none"/>
        </w:rPr>
      </w:pPr>
      <w:bookmarkStart w:id="147" w:name="_Toc28755"/>
      <w:r>
        <w:rPr>
          <w:rFonts w:hint="eastAsia" w:ascii="宋体" w:hAnsi="宋体" w:eastAsia="宋体" w:cs="宋体"/>
          <w:b/>
          <w:bCs/>
          <w:kern w:val="2"/>
          <w:sz w:val="28"/>
          <w:szCs w:val="32"/>
          <w:lang w:val="en-US" w:eastAsia="zh-CN" w:bidi="ar-SA"/>
        </w:rPr>
        <w:t>4.</w:t>
      </w:r>
      <w:bookmarkEnd w:id="133"/>
      <w:bookmarkEnd w:id="134"/>
      <w:bookmarkEnd w:id="135"/>
      <w:bookmarkEnd w:id="136"/>
      <w:bookmarkEnd w:id="137"/>
      <w:bookmarkEnd w:id="138"/>
      <w:bookmarkEnd w:id="139"/>
      <w:bookmarkEnd w:id="140"/>
      <w:bookmarkEnd w:id="141"/>
      <w:bookmarkEnd w:id="142"/>
      <w:bookmarkEnd w:id="143"/>
      <w:bookmarkEnd w:id="144"/>
      <w:bookmarkEnd w:id="145"/>
      <w:r>
        <w:rPr>
          <w:rFonts w:hint="eastAsia" w:ascii="宋体" w:hAnsi="宋体" w:eastAsia="宋体" w:cs="宋体"/>
          <w:b/>
          <w:bCs/>
          <w:kern w:val="2"/>
          <w:sz w:val="28"/>
          <w:szCs w:val="32"/>
          <w:lang w:val="en-US" w:eastAsia="zh-CN" w:bidi="ar-SA"/>
        </w:rPr>
        <w:t>4各重点场所、重点设施设备情况</w:t>
      </w:r>
      <w:bookmarkEnd w:id="147"/>
    </w:p>
    <w:p>
      <w:pPr>
        <w:widowControl/>
        <w:spacing w:line="520" w:lineRule="exact"/>
        <w:ind w:firstLine="560" w:firstLineChars="200"/>
        <w:rPr>
          <w:rFonts w:hint="eastAsia" w:ascii="宋体" w:hAnsi="宋体" w:eastAsia="宋体" w:cs="宋体"/>
          <w:b w:val="0"/>
          <w:bCs w:val="0"/>
          <w:color w:val="auto"/>
          <w:sz w:val="28"/>
          <w:szCs w:val="36"/>
          <w:highlight w:val="none"/>
          <w:vertAlign w:val="baseline"/>
          <w:lang w:val="en-US" w:eastAsia="zh-CN"/>
        </w:rPr>
      </w:pPr>
      <w:r>
        <w:rPr>
          <w:rFonts w:hint="eastAsia" w:ascii="宋体" w:hAnsi="宋体" w:eastAsia="宋体" w:cs="宋体"/>
          <w:color w:val="auto"/>
          <w:sz w:val="28"/>
          <w:szCs w:val="28"/>
          <w:highlight w:val="none"/>
          <w:u w:val="none"/>
        </w:rPr>
        <w:t>通过上述分析</w:t>
      </w:r>
      <w:r>
        <w:rPr>
          <w:rFonts w:hint="eastAsia" w:ascii="宋体" w:hAnsi="宋体" w:eastAsia="宋体" w:cs="宋体"/>
          <w:color w:val="auto"/>
          <w:sz w:val="28"/>
          <w:szCs w:val="28"/>
          <w:highlight w:val="none"/>
          <w:u w:val="none"/>
          <w:lang w:eastAsia="zh-CN"/>
        </w:rPr>
        <w:t>及</w:t>
      </w:r>
      <w:r>
        <w:rPr>
          <w:rFonts w:hint="eastAsia" w:ascii="宋体" w:hAnsi="宋体" w:eastAsia="宋体" w:cs="宋体"/>
          <w:color w:val="auto"/>
          <w:sz w:val="28"/>
          <w:szCs w:val="28"/>
          <w:highlight w:val="none"/>
          <w:u w:val="none"/>
        </w:rPr>
        <w:t>设备设施情况的了解，确定该企业</w:t>
      </w:r>
      <w:r>
        <w:rPr>
          <w:rFonts w:hint="eastAsia" w:ascii="宋体" w:hAnsi="宋体" w:eastAsia="宋体" w:cs="宋体"/>
          <w:b w:val="0"/>
          <w:bCs w:val="0"/>
          <w:color w:val="auto"/>
          <w:sz w:val="28"/>
          <w:szCs w:val="36"/>
          <w:highlight w:val="none"/>
          <w:vertAlign w:val="baseline"/>
          <w:lang w:val="en-US" w:eastAsia="zh-CN"/>
        </w:rPr>
        <w:t>主装置区、储罐区、装载区、RCO、消防水池、循环水池、锅炉房、调节池、事故水池等为重点区域。</w:t>
      </w:r>
    </w:p>
    <w:p>
      <w:pPr>
        <w:widowControl/>
        <w:spacing w:line="520" w:lineRule="exact"/>
        <w:ind w:firstLine="560" w:firstLineChars="200"/>
        <w:rPr>
          <w:rFonts w:hint="eastAsia" w:ascii="宋体" w:hAnsi="宋体" w:eastAsia="宋体" w:cs="宋体"/>
          <w:color w:val="auto"/>
          <w:sz w:val="28"/>
          <w:highlight w:val="none"/>
        </w:rPr>
      </w:pPr>
      <w:r>
        <w:rPr>
          <w:rFonts w:hint="eastAsia" w:ascii="宋体" w:hAnsi="宋体" w:eastAsia="宋体" w:cs="宋体"/>
          <w:b w:val="0"/>
          <w:bCs w:val="0"/>
          <w:color w:val="auto"/>
          <w:sz w:val="28"/>
          <w:szCs w:val="36"/>
          <w:highlight w:val="none"/>
          <w:vertAlign w:val="baseline"/>
          <w:lang w:val="en-US" w:eastAsia="zh-CN"/>
        </w:rPr>
        <w:t>通过前期调查过程和对资料进行分析、总结和评价，根据各区域及设施信息、特征污染物类型、污染物进入土壤和地</w:t>
      </w:r>
      <w:r>
        <w:rPr>
          <w:rFonts w:hint="eastAsia" w:ascii="宋体" w:hAnsi="宋体" w:eastAsia="宋体" w:cs="宋体"/>
          <w:color w:val="auto"/>
          <w:sz w:val="28"/>
          <w:szCs w:val="28"/>
          <w:highlight w:val="none"/>
          <w:u w:val="none"/>
        </w:rPr>
        <w:t>下水的途径等，识别企业内部存在土壤及地下水污染隐患的区域及设施，记录重点区域及设施相关信息。它们在生产经营活动中产生的污染物经大气流动、渗透、沉降到地面，可能对附近土壤造成污染</w:t>
      </w:r>
      <w:r>
        <w:rPr>
          <w:rFonts w:hint="eastAsia" w:ascii="宋体" w:hAnsi="宋体" w:eastAsia="宋体" w:cs="宋体"/>
          <w:color w:val="auto"/>
          <w:sz w:val="28"/>
          <w:highlight w:val="none"/>
        </w:rPr>
        <w:t>详细见表</w:t>
      </w:r>
      <w:r>
        <w:rPr>
          <w:rFonts w:hint="eastAsia" w:ascii="宋体" w:hAnsi="宋体" w:eastAsia="宋体" w:cs="宋体"/>
          <w:color w:val="auto"/>
          <w:sz w:val="28"/>
          <w:highlight w:val="none"/>
          <w:lang w:val="en-US" w:eastAsia="zh-CN"/>
        </w:rPr>
        <w:t>4-4</w:t>
      </w:r>
      <w:r>
        <w:rPr>
          <w:rFonts w:hint="eastAsia" w:ascii="宋体" w:hAnsi="宋体" w:eastAsia="宋体" w:cs="宋体"/>
          <w:color w:val="auto"/>
          <w:sz w:val="28"/>
          <w:highlight w:val="none"/>
        </w:rPr>
        <w:t>。</w:t>
      </w:r>
    </w:p>
    <w:p>
      <w:pPr>
        <w:widowControl w:val="0"/>
        <w:spacing w:line="520" w:lineRule="exact"/>
        <w:ind w:left="0" w:firstLine="0"/>
        <w:jc w:val="center"/>
        <w:outlineLvl w:val="9"/>
        <w:rPr>
          <w:rFonts w:hint="eastAsia" w:ascii="宋体" w:hAnsi="宋体" w:eastAsia="宋体" w:cs="宋体"/>
          <w:b/>
          <w:bCs/>
          <w:color w:val="auto"/>
          <w:kern w:val="2"/>
          <w:sz w:val="32"/>
          <w:szCs w:val="32"/>
          <w:lang w:val="zh-CN" w:eastAsia="zh-CN" w:bidi="zh-CN"/>
        </w:rPr>
      </w:pPr>
      <w:bookmarkStart w:id="148" w:name="_Toc17448"/>
      <w:bookmarkStart w:id="149" w:name="_Toc5401"/>
      <w:r>
        <w:rPr>
          <w:rFonts w:hint="eastAsia" w:ascii="宋体" w:hAnsi="宋体" w:eastAsia="宋体" w:cs="宋体"/>
          <w:b/>
          <w:bCs/>
          <w:kern w:val="2"/>
          <w:sz w:val="24"/>
          <w:szCs w:val="24"/>
          <w:lang w:val="zh-CN" w:eastAsia="zh-CN" w:bidi="zh-CN"/>
        </w:rPr>
        <w:t>表4-</w:t>
      </w:r>
      <w:r>
        <w:rPr>
          <w:rFonts w:hint="eastAsia" w:ascii="宋体" w:hAnsi="宋体" w:eastAsia="宋体" w:cs="宋体"/>
          <w:b/>
          <w:bCs/>
          <w:kern w:val="2"/>
          <w:sz w:val="24"/>
          <w:szCs w:val="24"/>
          <w:lang w:val="en-US" w:eastAsia="zh-CN" w:bidi="zh-CN"/>
        </w:rPr>
        <w:t>4</w:t>
      </w:r>
      <w:r>
        <w:rPr>
          <w:rFonts w:hint="eastAsia" w:ascii="宋体" w:hAnsi="宋体" w:eastAsia="宋体" w:cs="宋体"/>
          <w:b/>
          <w:bCs/>
          <w:kern w:val="2"/>
          <w:sz w:val="24"/>
          <w:szCs w:val="24"/>
          <w:lang w:val="zh-CN" w:eastAsia="zh-CN" w:bidi="zh-CN"/>
        </w:rPr>
        <w:t>重点场所及重点设备清单</w:t>
      </w:r>
      <w:bookmarkEnd w:id="148"/>
      <w:bookmarkEnd w:id="149"/>
    </w:p>
    <w:tbl>
      <w:tblPr>
        <w:tblStyle w:val="19"/>
        <w:tblW w:w="504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1"/>
        <w:gridCol w:w="1123"/>
        <w:gridCol w:w="1295"/>
        <w:gridCol w:w="801"/>
        <w:gridCol w:w="866"/>
        <w:gridCol w:w="1336"/>
        <w:gridCol w:w="831"/>
        <w:gridCol w:w="777"/>
        <w:gridCol w:w="497"/>
        <w:gridCol w:w="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2" w:hRule="atLeast"/>
          <w:jc w:val="center"/>
        </w:trPr>
        <w:tc>
          <w:tcPr>
            <w:tcW w:w="3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eastAsia="zh-CN"/>
              </w:rPr>
              <w:t>序号</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eastAsia="zh-CN"/>
              </w:rPr>
              <w:t>单元内需要检测的重点场所</w:t>
            </w:r>
          </w:p>
        </w:tc>
        <w:tc>
          <w:tcPr>
            <w:tcW w:w="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功能（即该重点场所</w:t>
            </w:r>
            <w:r>
              <w:rPr>
                <w:rFonts w:hint="eastAsia" w:ascii="宋体" w:hAnsi="宋体" w:eastAsia="宋体" w:cs="宋体"/>
                <w:color w:val="auto"/>
                <w:sz w:val="21"/>
                <w:szCs w:val="21"/>
                <w:highlight w:val="none"/>
                <w:u w:val="none"/>
                <w:lang w:val="en-US" w:eastAsia="zh-CN"/>
              </w:rPr>
              <w:t>/设施/设备实际的生产活动</w:t>
            </w:r>
            <w:r>
              <w:rPr>
                <w:rFonts w:hint="eastAsia" w:ascii="宋体" w:hAnsi="宋体" w:eastAsia="宋体" w:cs="宋体"/>
                <w:color w:val="auto"/>
                <w:sz w:val="21"/>
                <w:szCs w:val="21"/>
                <w:highlight w:val="none"/>
                <w:u w:val="none"/>
                <w:lang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涉及有毒有害物质清单</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关注污染物</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设施坐标</w:t>
            </w:r>
          </w:p>
        </w:tc>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是否为隐蔽性设施</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单元类别</w:t>
            </w:r>
          </w:p>
        </w:tc>
        <w:tc>
          <w:tcPr>
            <w:tcW w:w="73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该单元对应的检测测点位编号及坐标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7" w:hRule="atLeast"/>
          <w:jc w:val="center"/>
        </w:trPr>
        <w:tc>
          <w:tcPr>
            <w:tcW w:w="37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eastAsia="zh-CN"/>
              </w:rPr>
              <w:t>单元</w:t>
            </w:r>
            <w:r>
              <w:rPr>
                <w:rFonts w:hint="eastAsia" w:ascii="宋体" w:hAnsi="宋体" w:eastAsia="宋体" w:cs="宋体"/>
                <w:color w:val="auto"/>
                <w:sz w:val="21"/>
                <w:szCs w:val="21"/>
                <w:highlight w:val="none"/>
                <w:u w:val="none"/>
                <w:lang w:val="en-US" w:eastAsia="zh-CN"/>
              </w:rPr>
              <w:t>A</w:t>
            </w:r>
          </w:p>
        </w:tc>
        <w:tc>
          <w:tcPr>
            <w:tcW w:w="62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kern w:val="2"/>
                <w:sz w:val="22"/>
                <w:szCs w:val="28"/>
                <w:highlight w:val="none"/>
                <w:vertAlign w:val="baseline"/>
                <w:lang w:val="en-US" w:eastAsia="zh-CN" w:bidi="ar-SA"/>
              </w:rPr>
              <w:t>消防水池、循环水池</w:t>
            </w:r>
          </w:p>
        </w:tc>
        <w:tc>
          <w:tcPr>
            <w:tcW w:w="717"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kern w:val="2"/>
                <w:sz w:val="22"/>
                <w:szCs w:val="28"/>
                <w:highlight w:val="none"/>
                <w:vertAlign w:val="baseline"/>
                <w:lang w:val="en-US" w:eastAsia="zh-CN" w:bidi="ar-SA"/>
              </w:rPr>
              <w:t>消防水池、循环水池</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73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N：34°40'36.881''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E：111°35'12.959''</w:t>
            </w:r>
          </w:p>
        </w:tc>
        <w:tc>
          <w:tcPr>
            <w:tcW w:w="46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否</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二类</w:t>
            </w:r>
          </w:p>
        </w:tc>
        <w:tc>
          <w:tcPr>
            <w:tcW w:w="2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土壤</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7" w:hRule="atLeast"/>
          <w:jc w:val="center"/>
        </w:trPr>
        <w:tc>
          <w:tcPr>
            <w:tcW w:w="3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8"/>
                <w:highlight w:val="none"/>
                <w:vertAlign w:val="baseline"/>
                <w:lang w:val="en-US" w:eastAsia="zh-CN"/>
              </w:rPr>
              <w:t>锅炉房、调节池</w:t>
            </w:r>
          </w:p>
        </w:tc>
        <w:tc>
          <w:tcPr>
            <w:tcW w:w="717"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8"/>
                <w:highlight w:val="none"/>
                <w:vertAlign w:val="baseline"/>
                <w:lang w:val="en-US" w:eastAsia="zh-CN"/>
              </w:rPr>
              <w:t>锅炉房、调节池</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颗粒物、二氧化硫、氮氧化物</w:t>
            </w:r>
          </w:p>
        </w:tc>
        <w:tc>
          <w:tcPr>
            <w:tcW w:w="73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N：34°40'36.198''  E：111°35'14.620''</w:t>
            </w:r>
          </w:p>
        </w:tc>
        <w:tc>
          <w:tcPr>
            <w:tcW w:w="46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3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8"/>
                <w:highlight w:val="none"/>
                <w:vertAlign w:val="baseline"/>
                <w:lang w:val="en-US" w:eastAsia="zh-CN"/>
              </w:rPr>
              <w:t>事故水池</w:t>
            </w:r>
          </w:p>
        </w:tc>
        <w:tc>
          <w:tcPr>
            <w:tcW w:w="717"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8"/>
                <w:highlight w:val="none"/>
                <w:vertAlign w:val="baseline"/>
                <w:lang w:val="en-US" w:eastAsia="zh-CN"/>
              </w:rPr>
              <w:t>事故水池</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PH、化学需氧量、氨氮、总磷、总氮、氟化物等</w:t>
            </w:r>
          </w:p>
        </w:tc>
        <w:tc>
          <w:tcPr>
            <w:tcW w:w="73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N：34°40'34.658''  E：111°35'18.231''</w:t>
            </w:r>
          </w:p>
        </w:tc>
        <w:tc>
          <w:tcPr>
            <w:tcW w:w="46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2" w:hRule="atLeast"/>
          <w:jc w:val="center"/>
        </w:trPr>
        <w:tc>
          <w:tcPr>
            <w:tcW w:w="3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8"/>
                <w:highlight w:val="none"/>
                <w:vertAlign w:val="baseline"/>
                <w:lang w:val="en-US" w:eastAsia="zh-CN"/>
              </w:rPr>
              <w:t>主装置区、RCO</w:t>
            </w:r>
          </w:p>
        </w:tc>
        <w:tc>
          <w:tcPr>
            <w:tcW w:w="717"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8"/>
                <w:highlight w:val="none"/>
                <w:vertAlign w:val="baseline"/>
                <w:lang w:val="en-US" w:eastAsia="zh-CN"/>
              </w:rPr>
              <w:t>主装置区、RCO</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挥发性有机物</w:t>
            </w:r>
          </w:p>
        </w:tc>
        <w:tc>
          <w:tcPr>
            <w:tcW w:w="73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N：34°40'35.087''  E：111°35'11.434''</w:t>
            </w:r>
          </w:p>
        </w:tc>
        <w:tc>
          <w:tcPr>
            <w:tcW w:w="46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8"/>
                <w:highlight w:val="none"/>
                <w:vertAlign w:val="baseline"/>
                <w:lang w:val="en-US" w:eastAsia="zh-CN"/>
              </w:rPr>
              <w:t>储罐区、装载区</w:t>
            </w:r>
          </w:p>
        </w:tc>
        <w:tc>
          <w:tcPr>
            <w:tcW w:w="717"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8"/>
                <w:highlight w:val="none"/>
                <w:vertAlign w:val="baseline"/>
                <w:lang w:val="en-US" w:eastAsia="zh-CN"/>
              </w:rPr>
              <w:t>储罐区、装载区</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挥发性有机物</w:t>
            </w:r>
          </w:p>
        </w:tc>
        <w:tc>
          <w:tcPr>
            <w:tcW w:w="73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N：34°40'33.800''  E：111°35'10.275''</w:t>
            </w:r>
          </w:p>
        </w:tc>
        <w:tc>
          <w:tcPr>
            <w:tcW w:w="46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3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2"/>
                <w:highlight w:val="none"/>
                <w:u w:val="none"/>
              </w:rPr>
              <w:t>土壤背景监测点</w:t>
            </w:r>
          </w:p>
        </w:tc>
        <w:tc>
          <w:tcPr>
            <w:tcW w:w="717"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2"/>
                <w:szCs w:val="28"/>
                <w:highlight w:val="none"/>
                <w:vertAlign w:val="baseline"/>
                <w:lang w:val="en-US" w:eastAsia="zh-CN" w:bidi="ar-SA"/>
              </w:rPr>
            </w:pPr>
            <w:r>
              <w:rPr>
                <w:rFonts w:hint="eastAsia" w:ascii="宋体" w:hAnsi="宋体" w:eastAsia="宋体" w:cs="宋体"/>
                <w:b w:val="0"/>
                <w:bCs w:val="0"/>
                <w:color w:val="auto"/>
                <w:sz w:val="22"/>
                <w:szCs w:val="22"/>
                <w:highlight w:val="none"/>
                <w:u w:val="none"/>
              </w:rPr>
              <w:t>土壤背景监测点</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u w:val="none"/>
                <w:lang w:val="en-US" w:eastAsia="zh-CN"/>
              </w:rPr>
              <w:t>/</w:t>
            </w:r>
          </w:p>
        </w:tc>
        <w:tc>
          <w:tcPr>
            <w:tcW w:w="73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N：34°40'38.311''  E：111°35'10.970''</w:t>
            </w:r>
          </w:p>
        </w:tc>
        <w:tc>
          <w:tcPr>
            <w:tcW w:w="46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1"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6#</w:t>
            </w:r>
          </w:p>
        </w:tc>
      </w:tr>
    </w:tbl>
    <w:p>
      <w:pPr>
        <w:rPr>
          <w:rFonts w:hint="eastAsia" w:ascii="宋体" w:hAnsi="宋体" w:eastAsia="宋体" w:cs="宋体"/>
          <w:color w:val="auto"/>
          <w:highlight w:val="none"/>
          <w:lang w:bidi="ar"/>
        </w:rPr>
      </w:pPr>
    </w:p>
    <w:p>
      <w:pPr>
        <w:widowControl w:val="0"/>
        <w:bidi w:val="0"/>
        <w:spacing w:line="520" w:lineRule="exact"/>
        <w:ind w:left="0" w:firstLine="0"/>
        <w:jc w:val="both"/>
        <w:outlineLvl w:val="0"/>
        <w:rPr>
          <w:rFonts w:hint="eastAsia" w:ascii="宋体" w:hAnsi="宋体" w:eastAsia="宋体" w:cs="宋体"/>
          <w:b/>
          <w:bCs/>
          <w:kern w:val="2"/>
          <w:sz w:val="32"/>
          <w:szCs w:val="32"/>
          <w:lang w:val="en-US" w:eastAsia="zh-CN" w:bidi="zh-CN"/>
        </w:rPr>
      </w:pPr>
      <w:bookmarkStart w:id="150" w:name="_Toc13862"/>
      <w:bookmarkStart w:id="151" w:name="_Toc1177"/>
      <w:bookmarkStart w:id="152" w:name="_Toc13590"/>
      <w:bookmarkStart w:id="153" w:name="_Toc107924576"/>
      <w:r>
        <w:rPr>
          <w:rFonts w:hint="eastAsia" w:ascii="宋体" w:hAnsi="宋体" w:eastAsia="宋体" w:cs="宋体"/>
          <w:b/>
          <w:bCs/>
          <w:kern w:val="2"/>
          <w:sz w:val="32"/>
          <w:szCs w:val="32"/>
          <w:lang w:val="en-US" w:eastAsia="zh-CN" w:bidi="zh-CN"/>
        </w:rPr>
        <w:t>5重点监测单元识别与分类</w:t>
      </w:r>
      <w:bookmarkEnd w:id="150"/>
      <w:bookmarkEnd w:id="151"/>
      <w:bookmarkEnd w:id="152"/>
      <w:bookmarkEnd w:id="153"/>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54" w:name="_Toc8453"/>
      <w:bookmarkStart w:id="155" w:name="_Toc107924577"/>
      <w:bookmarkStart w:id="156" w:name="_Toc8286"/>
      <w:bookmarkStart w:id="157" w:name="_Toc18951"/>
      <w:r>
        <w:rPr>
          <w:rFonts w:hint="eastAsia" w:ascii="宋体" w:hAnsi="宋体" w:eastAsia="宋体" w:cs="宋体"/>
          <w:b/>
          <w:bCs/>
          <w:kern w:val="2"/>
          <w:sz w:val="28"/>
          <w:szCs w:val="32"/>
          <w:lang w:val="en-US" w:eastAsia="zh-CN" w:bidi="ar-SA"/>
        </w:rPr>
        <w:t>5.1重点监测单元识别</w:t>
      </w:r>
      <w:bookmarkEnd w:id="154"/>
      <w:bookmarkEnd w:id="155"/>
      <w:bookmarkEnd w:id="156"/>
      <w:bookmarkEnd w:id="157"/>
    </w:p>
    <w:p>
      <w:pPr>
        <w:ind w:firstLine="584" w:firstLineChars="200"/>
        <w:rPr>
          <w:rFonts w:hint="eastAsia" w:ascii="宋体" w:hAnsi="宋体" w:eastAsia="宋体" w:cs="宋体"/>
          <w:snapToGrid/>
          <w:spacing w:val="6"/>
          <w:kern w:val="0"/>
          <w:sz w:val="28"/>
          <w:szCs w:val="24"/>
          <w:highlight w:val="none"/>
          <w:lang w:bidi="ar"/>
        </w:rPr>
      </w:pPr>
      <w:r>
        <w:rPr>
          <w:rFonts w:hint="eastAsia" w:ascii="宋体" w:hAnsi="宋体" w:eastAsia="宋体" w:cs="宋体"/>
          <w:snapToGrid/>
          <w:spacing w:val="6"/>
          <w:kern w:val="0"/>
          <w:sz w:val="28"/>
          <w:szCs w:val="24"/>
          <w:lang w:val="en-US" w:eastAsia="zh-CN" w:bidi="ar"/>
        </w:rPr>
        <w:t>根据企业实际生产情况结合资料搜集、现场踏勘和人员访谈的结果分析，为具有针对性的展开调查工作，以场地主要功能区为基础，将各区域主要特征总结。确定企业内有潜在土壤污染隐患的重点场所及重点设施设备为</w:t>
      </w:r>
      <w:r>
        <w:rPr>
          <w:rFonts w:hint="eastAsia" w:ascii="宋体" w:hAnsi="宋体" w:eastAsia="宋体" w:cs="宋体"/>
          <w:color w:val="auto"/>
          <w:kern w:val="0"/>
          <w:sz w:val="28"/>
          <w:szCs w:val="28"/>
          <w:highlight w:val="none"/>
          <w:lang w:eastAsia="zh-CN" w:bidi="ar"/>
        </w:rPr>
        <w:t>主装置区、储罐区、装载区、RCO、消防水池、循环水池、锅炉房、调节池、事故水池等为重点区域。</w:t>
      </w:r>
      <w:r>
        <w:rPr>
          <w:rFonts w:hint="eastAsia" w:ascii="宋体" w:hAnsi="宋体" w:eastAsia="宋体" w:cs="宋体"/>
          <w:snapToGrid/>
          <w:spacing w:val="6"/>
          <w:kern w:val="0"/>
          <w:sz w:val="28"/>
          <w:szCs w:val="24"/>
          <w:highlight w:val="none"/>
          <w:lang w:bidi="ar"/>
        </w:rPr>
        <w:t>具体信息见表5-1。</w:t>
      </w:r>
    </w:p>
    <w:p>
      <w:pPr>
        <w:jc w:val="center"/>
        <w:rPr>
          <w:rFonts w:hint="eastAsia" w:ascii="宋体" w:hAnsi="宋体" w:eastAsia="宋体" w:cs="宋体"/>
          <w:b/>
          <w:bCs/>
          <w:color w:val="auto"/>
          <w:kern w:val="0"/>
          <w:sz w:val="28"/>
          <w:szCs w:val="28"/>
          <w:highlight w:val="none"/>
          <w:lang w:eastAsia="zh-CN" w:bidi="ar"/>
        </w:rPr>
      </w:pPr>
      <w:r>
        <w:rPr>
          <w:rFonts w:hint="eastAsia" w:ascii="宋体" w:hAnsi="宋体" w:eastAsia="宋体" w:cs="宋体"/>
          <w:b/>
          <w:bCs/>
          <w:color w:val="auto"/>
          <w:kern w:val="0"/>
          <w:sz w:val="28"/>
          <w:szCs w:val="28"/>
          <w:highlight w:val="none"/>
          <w:lang w:eastAsia="zh-CN" w:bidi="ar"/>
        </w:rPr>
        <w:t>表5-1重点监测单元及重点区域信息表</w:t>
      </w:r>
    </w:p>
    <w:tbl>
      <w:tblPr>
        <w:tblStyle w:val="20"/>
        <w:tblW w:w="8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编号</w:t>
            </w:r>
          </w:p>
        </w:tc>
        <w:tc>
          <w:tcPr>
            <w:tcW w:w="7500" w:type="dxa"/>
            <w:vAlign w:val="center"/>
          </w:tcPr>
          <w:p>
            <w:pPr>
              <w:numPr>
                <w:ilvl w:val="0"/>
                <w:numId w:val="0"/>
              </w:numPr>
              <w:jc w:val="center"/>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sz w:val="24"/>
                <w:szCs w:val="32"/>
                <w:vertAlign w:val="baseline"/>
                <w:lang w:val="en-US" w:eastAsia="zh-CN"/>
              </w:rPr>
              <w:t>1#</w:t>
            </w:r>
          </w:p>
        </w:tc>
        <w:tc>
          <w:tcPr>
            <w:tcW w:w="7500" w:type="dxa"/>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消防水池、循环水池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2#</w:t>
            </w:r>
          </w:p>
        </w:tc>
        <w:tc>
          <w:tcPr>
            <w:tcW w:w="7500"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锅炉房、调节池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3#</w:t>
            </w:r>
          </w:p>
        </w:tc>
        <w:tc>
          <w:tcPr>
            <w:tcW w:w="7500"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事故水池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4#</w:t>
            </w:r>
          </w:p>
        </w:tc>
        <w:tc>
          <w:tcPr>
            <w:tcW w:w="7500"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主装置区、RCO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5#</w:t>
            </w:r>
          </w:p>
        </w:tc>
        <w:tc>
          <w:tcPr>
            <w:tcW w:w="7500"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储罐区、装载区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6#</w:t>
            </w:r>
          </w:p>
        </w:tc>
        <w:tc>
          <w:tcPr>
            <w:tcW w:w="7500" w:type="dxa"/>
            <w:vAlign w:val="center"/>
          </w:tcPr>
          <w:p>
            <w:pPr>
              <w:numPr>
                <w:ilvl w:val="0"/>
                <w:numId w:val="0"/>
              </w:numPr>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000000" w:themeColor="text1"/>
                <w:sz w:val="24"/>
                <w:szCs w:val="24"/>
                <w:u w:val="none"/>
                <w14:textFill>
                  <w14:solidFill>
                    <w14:schemeClr w14:val="tx1"/>
                  </w14:solidFill>
                </w14:textFill>
              </w:rPr>
              <w:t>土壤背景</w:t>
            </w:r>
            <w:r>
              <w:rPr>
                <w:rFonts w:hint="eastAsia" w:ascii="宋体" w:hAnsi="宋体" w:eastAsia="宋体" w:cs="宋体"/>
                <w:b w:val="0"/>
                <w:bCs w:val="0"/>
                <w:color w:val="auto"/>
                <w:sz w:val="24"/>
                <w:szCs w:val="24"/>
                <w:u w:val="none"/>
              </w:rPr>
              <w:t>监测点</w:t>
            </w:r>
          </w:p>
        </w:tc>
      </w:tr>
    </w:tbl>
    <w:p>
      <w:pPr>
        <w:pStyle w:val="26"/>
        <w:pageBreakBefore w:val="0"/>
        <w:numPr>
          <w:ilvl w:val="0"/>
          <w:numId w:val="0"/>
        </w:numPr>
        <w:kinsoku/>
        <w:wordWrap/>
        <w:overflowPunct/>
        <w:topLinePunct w:val="0"/>
        <w:autoSpaceDE/>
        <w:autoSpaceDN/>
        <w:bidi w:val="0"/>
        <w:spacing w:line="360" w:lineRule="auto"/>
        <w:ind w:firstLine="560" w:firstLineChars="200"/>
        <w:textAlignment w:val="auto"/>
        <w:rPr>
          <w:rFonts w:hint="eastAsia" w:ascii="宋体" w:hAnsi="宋体" w:eastAsia="宋体" w:cs="宋体"/>
          <w:b/>
          <w:bCs/>
          <w:color w:val="auto"/>
          <w:sz w:val="28"/>
          <w:szCs w:val="28"/>
          <w:highlight w:val="none"/>
          <w:u w:val="none"/>
          <w:lang w:val="en-US" w:eastAsia="zh-CN"/>
        </w:rPr>
      </w:pPr>
      <w:r>
        <w:rPr>
          <w:rFonts w:hint="eastAsia" w:ascii="宋体" w:hAnsi="宋体" w:eastAsia="宋体" w:cs="宋体"/>
          <w:color w:val="auto"/>
          <w:sz w:val="28"/>
          <w:szCs w:val="28"/>
          <w:highlight w:val="none"/>
          <w:u w:val="none"/>
          <w:lang w:eastAsia="zh-CN"/>
        </w:rPr>
        <w:t>土壤检测</w:t>
      </w:r>
      <w:r>
        <w:rPr>
          <w:rFonts w:hint="eastAsia" w:ascii="宋体" w:hAnsi="宋体" w:eastAsia="宋体" w:cs="宋体"/>
          <w:color w:val="auto"/>
          <w:sz w:val="28"/>
          <w:szCs w:val="28"/>
          <w:highlight w:val="none"/>
          <w:u w:val="none"/>
        </w:rPr>
        <w:t>因子：</w:t>
      </w:r>
      <w:r>
        <w:rPr>
          <w:rFonts w:hint="eastAsia" w:ascii="宋体" w:hAnsi="宋体" w:eastAsia="宋体" w:cs="宋体"/>
          <w:sz w:val="28"/>
          <w:szCs w:val="28"/>
          <w:u w:val="none"/>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w:t>
      </w:r>
      <w:r>
        <w:rPr>
          <w:rFonts w:hint="eastAsia" w:ascii="宋体" w:hAnsi="宋体" w:eastAsia="宋体" w:cs="宋体"/>
          <w:sz w:val="28"/>
          <w:szCs w:val="28"/>
          <w:u w:val="none"/>
          <w:lang w:val="en-US" w:eastAsia="zh-CN"/>
        </w:rPr>
        <w:t>45项；特征污染物：pH</w:t>
      </w:r>
      <w:r>
        <w:rPr>
          <w:rFonts w:hint="eastAsia" w:ascii="宋体" w:hAnsi="宋体" w:eastAsia="宋体" w:cs="宋体"/>
          <w:color w:val="auto"/>
          <w:sz w:val="28"/>
          <w:szCs w:val="28"/>
          <w:highlight w:val="none"/>
          <w:u w:val="none"/>
          <w:lang w:eastAsia="zh-CN"/>
        </w:rPr>
        <w:t>。</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58" w:name="_Toc107924578"/>
      <w:bookmarkStart w:id="159" w:name="_Toc3020"/>
      <w:bookmarkStart w:id="160" w:name="_Toc31099"/>
      <w:bookmarkStart w:id="161" w:name="_Toc32067"/>
      <w:bookmarkStart w:id="162" w:name="_Toc13293_WPSOffice_Level1"/>
      <w:bookmarkStart w:id="163" w:name="_Toc6025_WPSOffice_Level2"/>
      <w:bookmarkStart w:id="164" w:name="_Toc857_WPSOffice_Level2"/>
      <w:bookmarkStart w:id="165" w:name="_Toc12836"/>
      <w:bookmarkStart w:id="166" w:name="_Toc15018"/>
      <w:r>
        <w:rPr>
          <w:rFonts w:hint="eastAsia" w:ascii="宋体" w:hAnsi="宋体" w:eastAsia="宋体" w:cs="宋体"/>
          <w:b/>
          <w:bCs/>
          <w:kern w:val="2"/>
          <w:sz w:val="28"/>
          <w:szCs w:val="32"/>
          <w:lang w:val="en-US" w:eastAsia="zh-CN" w:bidi="ar-SA"/>
        </w:rPr>
        <w:t>5.2识别/分类结果及原因</w:t>
      </w:r>
      <w:bookmarkEnd w:id="158"/>
      <w:bookmarkEnd w:id="159"/>
      <w:bookmarkEnd w:id="160"/>
      <w:bookmarkEnd w:id="161"/>
    </w:p>
    <w:p>
      <w:pPr>
        <w:bidi w:val="0"/>
        <w:spacing w:line="520" w:lineRule="exact"/>
        <w:jc w:val="left"/>
        <w:outlineLvl w:val="2"/>
        <w:rPr>
          <w:rFonts w:hint="eastAsia" w:ascii="宋体" w:hAnsi="宋体" w:eastAsia="宋体" w:cs="宋体"/>
          <w:b/>
          <w:color w:val="auto"/>
          <w:kern w:val="2"/>
          <w:sz w:val="28"/>
          <w:szCs w:val="28"/>
          <w:highlight w:val="none"/>
          <w:lang w:val="en-US" w:eastAsia="zh-CN" w:bidi="ar-SA"/>
        </w:rPr>
      </w:pPr>
      <w:bookmarkStart w:id="167" w:name="_Toc107924579"/>
      <w:bookmarkStart w:id="168" w:name="_Toc7870"/>
      <w:bookmarkStart w:id="169" w:name="_Toc23988"/>
      <w:r>
        <w:rPr>
          <w:rFonts w:hint="eastAsia" w:ascii="宋体" w:hAnsi="宋体" w:eastAsia="宋体" w:cs="宋体"/>
          <w:b/>
          <w:color w:val="auto"/>
          <w:kern w:val="2"/>
          <w:sz w:val="28"/>
          <w:szCs w:val="28"/>
          <w:highlight w:val="none"/>
          <w:lang w:val="en-US" w:eastAsia="zh-CN" w:bidi="ar-SA"/>
        </w:rPr>
        <w:t>5.2.1识别原因</w:t>
      </w:r>
      <w:bookmarkEnd w:id="167"/>
      <w:bookmarkEnd w:id="168"/>
      <w:bookmarkEnd w:id="169"/>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按照《在产企业土壤及地下水自行监测技术指南》（HJ1209-2021）的相关规定，本次地下水自行监测对重点设施及重点区域的划分将遵循以下几个方面开展：</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（1）重点设施（一般包括但不仅限于）</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a）涉及有毒有害物质的生产区或生产设施；</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b）涉及有毒有害物质的原辅材料、产品、固体废物等的贮存或堆放区；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c）涉及有毒有害物质的原辅材料、产品、固体废物等的转运、传送或装卸区；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d）贮存或运输有毒有害物质的各类罐槽或管线；</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e）三废（废气、废水、固体废物）处理处置或排放区。</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（2）重点区域：重点设施分布较为密集的区域</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依据《在产企业土壤及地下水自行监测技术指南》（HJ1209-2021）、《建设用地土壤污染状况调查技术导则》（HJ25.1-2019）、《建设用地土壤环境调查评估技术指南》等要求，结合土壤及地下水隐患排查结果、现场踏勘和人员访谈，采用专业判断法进行土壤监测点布设，每个重点设施周边布设1-2个土壤监测点，每个重点监测单元布设最少1个土壤监测点，具体数量可根据设施大小或区域内设施数量等实际情况进行适当调整。</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由于企业生产性质，为防止造成二次污染，本次布点均在厂区靠近重点区域绿化带无硬化地面。</w:t>
      </w:r>
    </w:p>
    <w:p>
      <w:pPr>
        <w:keepNext/>
        <w:keepLines/>
        <w:widowControl w:val="0"/>
        <w:spacing w:line="520" w:lineRule="exact"/>
        <w:ind w:firstLine="562" w:firstLineChars="200"/>
        <w:jc w:val="both"/>
        <w:outlineLvl w:val="2"/>
        <w:rPr>
          <w:rFonts w:hint="eastAsia" w:ascii="宋体" w:hAnsi="宋体" w:eastAsia="宋体" w:cs="宋体"/>
          <w:b/>
          <w:color w:val="auto"/>
          <w:kern w:val="2"/>
          <w:sz w:val="28"/>
          <w:szCs w:val="28"/>
          <w:highlight w:val="none"/>
          <w:lang w:val="en-US" w:eastAsia="zh-CN" w:bidi="ar-SA"/>
        </w:rPr>
      </w:pPr>
      <w:bookmarkStart w:id="170" w:name="_Toc24841"/>
      <w:bookmarkStart w:id="171" w:name="_Toc12031"/>
      <w:bookmarkStart w:id="172" w:name="_Toc107924580"/>
      <w:r>
        <w:rPr>
          <w:rFonts w:hint="eastAsia" w:ascii="宋体" w:hAnsi="宋体" w:eastAsia="宋体" w:cs="宋体"/>
          <w:b/>
          <w:color w:val="auto"/>
          <w:kern w:val="2"/>
          <w:sz w:val="28"/>
          <w:szCs w:val="28"/>
          <w:highlight w:val="none"/>
          <w:lang w:val="en-US" w:eastAsia="zh-CN" w:bidi="ar-SA"/>
        </w:rPr>
        <w:t>5.2.2污染物潜在迁移途径</w:t>
      </w:r>
      <w:bookmarkEnd w:id="170"/>
      <w:bookmarkEnd w:id="171"/>
      <w:bookmarkEnd w:id="172"/>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根据水文地质资料和现场踏勘等工作分析，本场地土壤若存在污染物，其污染扩散途径包括为：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（1）污染物垂直向下迁移：落地的污染物在外部降雨或自身重力垂直向下迁移，在迁移过程中吸附在土壤介质表面或溶解于降水进而影响土壤。</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（2）污染物水平迁移：落地污染物随雨水、风力等的水平迁移扩散。随雨水等地表径流扩散主要和场地地形有关，从场地地势高部分向地势低处扩散。</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（3）污染物地下迁移：污染物渗透进入地下，随地下水径流向下游迁移，影响土壤。</w:t>
      </w:r>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73" w:name="_Toc11150"/>
      <w:bookmarkStart w:id="174" w:name="_Toc107924581"/>
      <w:bookmarkStart w:id="175" w:name="_Toc2810"/>
      <w:r>
        <w:rPr>
          <w:rFonts w:hint="eastAsia" w:ascii="宋体" w:hAnsi="宋体" w:eastAsia="宋体" w:cs="宋体"/>
          <w:b/>
          <w:color w:val="auto"/>
          <w:kern w:val="2"/>
          <w:sz w:val="28"/>
          <w:szCs w:val="28"/>
          <w:highlight w:val="none"/>
          <w:lang w:val="en-US" w:eastAsia="zh-CN" w:bidi="ar-SA"/>
        </w:rPr>
        <w:t>5.2.3重点监测单元分类结果</w:t>
      </w:r>
      <w:bookmarkEnd w:id="173"/>
      <w:bookmarkEnd w:id="174"/>
      <w:bookmarkEnd w:id="175"/>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本项目土壤隐患排查结果，参照《工业企业土壤和地下水自行监测技术指南（试行）》HJ1209-2021，该项目确实具有土壤污染隐患的重点场所或重点设施设备，应进行重点监测单元开展土壤和地下水监测工作，根据“5.1重点单元情况”可知，确定</w:t>
      </w:r>
      <w:r>
        <w:rPr>
          <w:rFonts w:hint="eastAsia" w:ascii="宋体" w:hAnsi="宋体" w:eastAsia="宋体" w:cs="宋体"/>
          <w:color w:val="auto"/>
          <w:kern w:val="0"/>
          <w:sz w:val="28"/>
          <w:szCs w:val="28"/>
          <w:highlight w:val="none"/>
          <w:lang w:eastAsia="zh-CN" w:bidi="ar"/>
        </w:rPr>
        <w:t>主装置区、储罐区、装载区、RCO、消防水池、循环水池、锅炉房、调节池、事故水池等重点区域</w:t>
      </w:r>
      <w:r>
        <w:rPr>
          <w:rFonts w:hint="eastAsia" w:ascii="宋体" w:hAnsi="宋体" w:eastAsia="宋体" w:cs="宋体"/>
          <w:color w:val="auto"/>
          <w:sz w:val="28"/>
          <w:highlight w:val="none"/>
          <w:lang w:val="en-US" w:eastAsia="zh-CN"/>
        </w:rPr>
        <w:t>为本次的重点监测单元。</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76" w:name="_Toc25993"/>
      <w:bookmarkStart w:id="177" w:name="_Toc1154"/>
      <w:bookmarkStart w:id="178" w:name="_Toc107924582"/>
      <w:bookmarkStart w:id="179" w:name="_Toc31267"/>
      <w:r>
        <w:rPr>
          <w:rFonts w:hint="eastAsia" w:ascii="宋体" w:hAnsi="宋体" w:eastAsia="宋体" w:cs="宋体"/>
          <w:b/>
          <w:bCs/>
          <w:kern w:val="2"/>
          <w:sz w:val="28"/>
          <w:szCs w:val="32"/>
          <w:lang w:val="en-US" w:eastAsia="zh-CN" w:bidi="ar-SA"/>
        </w:rPr>
        <w:t>5.3关注污染物</w:t>
      </w:r>
      <w:bookmarkEnd w:id="176"/>
      <w:bookmarkEnd w:id="177"/>
      <w:bookmarkEnd w:id="178"/>
      <w:bookmarkEnd w:id="179"/>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重点监测单元及关注污染物见表5-3。</w:t>
      </w:r>
    </w:p>
    <w:p>
      <w:pPr>
        <w:bidi w:val="0"/>
        <w:spacing w:line="520" w:lineRule="exact"/>
        <w:ind w:firstLine="562" w:firstLineChars="200"/>
        <w:jc w:val="center"/>
        <w:rPr>
          <w:rFonts w:hint="eastAsia" w:ascii="宋体" w:hAnsi="宋体" w:eastAsia="宋体" w:cs="宋体"/>
          <w:b/>
          <w:bCs/>
          <w:color w:val="auto"/>
          <w:sz w:val="28"/>
          <w:highlight w:val="none"/>
          <w:lang w:val="en-US" w:eastAsia="zh-CN"/>
        </w:rPr>
      </w:pPr>
      <w:r>
        <w:rPr>
          <w:rFonts w:hint="eastAsia" w:ascii="宋体" w:hAnsi="宋体" w:eastAsia="宋体" w:cs="宋体"/>
          <w:b/>
          <w:bCs/>
          <w:color w:val="auto"/>
          <w:sz w:val="28"/>
          <w:highlight w:val="none"/>
          <w:lang w:val="en-US" w:eastAsia="zh-CN"/>
        </w:rPr>
        <w:t>表5-3 重点监测单元及关注污染物</w:t>
      </w:r>
    </w:p>
    <w:tbl>
      <w:tblPr>
        <w:tblStyle w:val="19"/>
        <w:tblW w:w="51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1879"/>
        <w:gridCol w:w="1929"/>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11"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潜在污染物区域名称</w:t>
            </w:r>
          </w:p>
        </w:tc>
        <w:tc>
          <w:tcPr>
            <w:tcW w:w="1028"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污染源</w:t>
            </w:r>
          </w:p>
        </w:tc>
        <w:tc>
          <w:tcPr>
            <w:tcW w:w="1055"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可能造成的污染</w:t>
            </w:r>
          </w:p>
        </w:tc>
        <w:tc>
          <w:tcPr>
            <w:tcW w:w="1604"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可能会对土壤造成风险的污染物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vertAlign w:val="baseline"/>
                <w:lang w:val="en-US" w:eastAsia="zh-CN" w:bidi="ar-SA"/>
              </w:rPr>
              <w:t>消防水池、循环水池</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消防水池、循环水池</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vertAlign w:val="baseline"/>
                <w:lang w:val="en-US" w:eastAsia="zh-CN"/>
              </w:rPr>
              <w:t>锅炉房、调节池</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锅炉房、调节池</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颗粒物、二氧化硫、氮氧化物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vertAlign w:val="baseline"/>
                <w:lang w:val="en-US" w:eastAsia="zh-CN"/>
              </w:rPr>
              <w:t>事故水池</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事故水池</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PH、化学需氧量、氨氮、总磷、总氮、氟化物等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vertAlign w:val="baseline"/>
                <w:lang w:val="en-US" w:eastAsia="zh-CN"/>
              </w:rPr>
              <w:t>主装置区、RCO</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主装置区、RCO</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vertAlign w:val="baseline"/>
                <w:lang w:val="en-US" w:eastAsia="zh-CN"/>
              </w:rPr>
              <w:t>储罐区、装载区</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储罐区、装载区</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u w:val="none"/>
              </w:rPr>
              <w:t>土壤背景监测点</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u w:val="none"/>
              </w:rPr>
              <w:t>土壤背景监测点</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u w:val="none"/>
                <w:lang w:val="en-US" w:eastAsia="zh-CN"/>
              </w:rPr>
              <w:t>/</w:t>
            </w:r>
          </w:p>
        </w:tc>
      </w:tr>
    </w:tbl>
    <w:p>
      <w:pPr>
        <w:pStyle w:val="7"/>
        <w:bidi w:val="0"/>
        <w:rPr>
          <w:rFonts w:hint="eastAsia" w:ascii="宋体" w:hAnsi="宋体" w:eastAsia="宋体" w:cs="宋体"/>
          <w:lang w:val="en-US" w:eastAsia="zh-CN"/>
        </w:rPr>
      </w:pPr>
      <w:bookmarkStart w:id="180" w:name="_Toc17328"/>
      <w:bookmarkStart w:id="181" w:name="_Toc107924583"/>
      <w:bookmarkStart w:id="182" w:name="_Toc12326"/>
      <w:bookmarkStart w:id="183" w:name="_Toc22073"/>
      <w:r>
        <w:rPr>
          <w:rFonts w:hint="eastAsia" w:ascii="宋体" w:hAnsi="宋体" w:eastAsia="宋体" w:cs="宋体"/>
          <w:lang w:val="en-US" w:eastAsia="zh-CN"/>
        </w:rPr>
        <w:t>6监测点位布设方案</w:t>
      </w:r>
      <w:bookmarkEnd w:id="180"/>
      <w:bookmarkEnd w:id="181"/>
      <w:bookmarkEnd w:id="182"/>
      <w:bookmarkEnd w:id="183"/>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84" w:name="_Toc22305"/>
      <w:bookmarkStart w:id="185" w:name="_Toc19684"/>
      <w:bookmarkStart w:id="186" w:name="_Toc107924584"/>
      <w:bookmarkStart w:id="187" w:name="_Toc18050"/>
      <w:r>
        <w:rPr>
          <w:rFonts w:hint="eastAsia" w:ascii="宋体" w:hAnsi="宋体" w:eastAsia="宋体" w:cs="宋体"/>
          <w:b/>
          <w:bCs/>
          <w:kern w:val="2"/>
          <w:sz w:val="28"/>
          <w:szCs w:val="32"/>
          <w:lang w:val="en-US" w:eastAsia="zh-CN" w:bidi="ar-SA"/>
        </w:rPr>
        <w:t>6.1重点单元及相应监测点/监测井的布设位置</w:t>
      </w:r>
      <w:bookmarkEnd w:id="184"/>
      <w:bookmarkEnd w:id="185"/>
      <w:bookmarkEnd w:id="186"/>
      <w:bookmarkEnd w:id="187"/>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88" w:name="_Toc107924585"/>
      <w:r>
        <w:rPr>
          <w:rFonts w:hint="eastAsia" w:ascii="宋体" w:hAnsi="宋体" w:eastAsia="宋体" w:cs="宋体"/>
          <w:b/>
          <w:color w:val="auto"/>
          <w:kern w:val="2"/>
          <w:sz w:val="28"/>
          <w:szCs w:val="28"/>
          <w:highlight w:val="none"/>
          <w:lang w:val="en-US" w:eastAsia="zh-CN" w:bidi="ar-SA"/>
        </w:rPr>
        <w:t>6.1.1点位原则</w:t>
      </w:r>
      <w:bookmarkEnd w:id="188"/>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监测点位应布设在重点单元周边并尽量接近重点单元。统筹规划重点区域内部监测点位的布设时，布设位置应尽量接近重点区域内污染隐患较大的重点单元。监测点位的布设应遵循不影响企业正常生产且不造成安全隐患与二次污染的原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重点单元、重点区域及监测点/监测井的布设位置均应在企业平面布置图中标记，标记图应纳入监测报告。</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除在原有基础上增加监测点位外，监测点位一经确定不宜随意变动，每次采样时土壤监测点距离上次同一点位采样位置原则上不大于1m，地下水监测井应与上次采样井相同。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根据地勘资料无土壤或地下水可采的区域，可不进行相应监测，但应在监测报告中提供地勘资料并予以说明。</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企业或邻近区域内现有的地下水监测井，如果符合本标准要求，可以作为地下水对照点或污染物监测井。</w:t>
      </w:r>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89" w:name="_Toc107924586"/>
      <w:r>
        <w:rPr>
          <w:rFonts w:hint="eastAsia" w:ascii="宋体" w:hAnsi="宋体" w:eastAsia="宋体" w:cs="宋体"/>
          <w:b/>
          <w:color w:val="auto"/>
          <w:kern w:val="2"/>
          <w:sz w:val="28"/>
          <w:szCs w:val="28"/>
          <w:highlight w:val="none"/>
          <w:lang w:val="en-US" w:eastAsia="zh-CN" w:bidi="ar-SA"/>
        </w:rPr>
        <w:t>6.1.2土壤监测点位</w:t>
      </w:r>
      <w:bookmarkEnd w:id="189"/>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（1）布点原则：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1）一类单元</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企业一类单元涉及的每个隐蔽性重点设施设备周边原则上均应布设至少1个深层土壤监测点，单元内部或周边还应布设至少1个表层土壤监测点。</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2）二类单元</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每个二类单元内部或周边原则上均应布设至少1个表层土壤监测点，具体位置及数量可根据单元大小或单元内重点场所或重点设施设备的数量及分布等实际情况适当调整。监测点原则上应布设在土壤裸露处，并兼顾考虑设置在雨水易于汇流和积聚的区域，污染途径包含扬散的单元还应结合污染物主要沉降位置确定点位。</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（2）选点位置：本次土壤共设6个监测点，企业内的车间、道路附近有绿化区，地面全硬化的区域在附近绿化带内取点，监测点选在未硬化或者附近绿化点，采样后做好采样点位的防护工作，方便下次取样。</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（3）采样深度：本次土壤监测以监测区域内表层土壤（0-0.5m处）为重点采样层，开展采样工作。</w:t>
      </w:r>
    </w:p>
    <w:p>
      <w:pPr>
        <w:keepNext/>
        <w:keepLines/>
        <w:widowControl w:val="0"/>
        <w:numPr>
          <w:ilvl w:val="0"/>
          <w:numId w:val="0"/>
        </w:numPr>
        <w:bidi w:val="0"/>
        <w:spacing w:line="520" w:lineRule="exact"/>
        <w:ind w:leftChars="0"/>
        <w:jc w:val="left"/>
        <w:outlineLvl w:val="1"/>
        <w:rPr>
          <w:rFonts w:hint="eastAsia" w:ascii="宋体" w:hAnsi="宋体" w:eastAsia="宋体" w:cs="宋体"/>
          <w:b/>
          <w:bCs/>
          <w:kern w:val="2"/>
          <w:sz w:val="28"/>
          <w:szCs w:val="32"/>
          <w:lang w:val="en-US" w:eastAsia="zh-CN" w:bidi="ar-SA"/>
        </w:rPr>
      </w:pPr>
      <w:bookmarkStart w:id="190" w:name="_Toc19623"/>
      <w:bookmarkStart w:id="191" w:name="_Toc107924588"/>
      <w:bookmarkStart w:id="192" w:name="_Toc21760"/>
      <w:bookmarkStart w:id="193" w:name="_Toc12795"/>
      <w:r>
        <w:rPr>
          <w:rFonts w:hint="eastAsia" w:ascii="宋体" w:hAnsi="宋体" w:eastAsia="宋体" w:cs="宋体"/>
          <w:b/>
          <w:bCs/>
          <w:kern w:val="2"/>
          <w:sz w:val="28"/>
          <w:szCs w:val="32"/>
          <w:lang w:val="en-US" w:eastAsia="zh-CN" w:bidi="ar-SA"/>
        </w:rPr>
        <w:t>6.2监测点位布设</w:t>
      </w:r>
      <w:bookmarkEnd w:id="190"/>
      <w:bookmarkEnd w:id="191"/>
      <w:bookmarkEnd w:id="192"/>
      <w:bookmarkEnd w:id="193"/>
    </w:p>
    <w:p>
      <w:pPr>
        <w:jc w:val="center"/>
        <w:outlineLvl w:val="9"/>
        <w:rPr>
          <w:rFonts w:hint="eastAsia" w:ascii="宋体" w:hAnsi="宋体" w:eastAsia="宋体" w:cs="宋体"/>
          <w:b/>
          <w:bCs/>
          <w:sz w:val="28"/>
          <w:highlight w:val="none"/>
          <w:lang w:val="en-US" w:eastAsia="zh-CN"/>
        </w:rPr>
      </w:pPr>
      <w:bookmarkStart w:id="194" w:name="_Toc20353"/>
      <w:bookmarkStart w:id="195" w:name="_Toc28642"/>
      <w:r>
        <w:rPr>
          <w:rFonts w:hint="eastAsia" w:ascii="宋体" w:hAnsi="宋体" w:eastAsia="宋体" w:cs="宋体"/>
          <w:b/>
          <w:bCs/>
          <w:sz w:val="28"/>
          <w:highlight w:val="none"/>
          <w:lang w:val="en-US" w:eastAsia="zh-CN"/>
        </w:rPr>
        <w:t>表6-1土壤检测点位一览表</w:t>
      </w:r>
      <w:bookmarkEnd w:id="194"/>
      <w:bookmarkEnd w:id="195"/>
    </w:p>
    <w:tbl>
      <w:tblPr>
        <w:tblStyle w:val="20"/>
        <w:tblW w:w="8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编号</w:t>
            </w:r>
          </w:p>
        </w:tc>
        <w:tc>
          <w:tcPr>
            <w:tcW w:w="7500" w:type="dxa"/>
            <w:vAlign w:val="center"/>
          </w:tcPr>
          <w:p>
            <w:pPr>
              <w:numPr>
                <w:ilvl w:val="0"/>
                <w:numId w:val="0"/>
              </w:numPr>
              <w:jc w:val="center"/>
              <w:outlineLvl w:val="9"/>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outlineLvl w:val="9"/>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sz w:val="24"/>
                <w:szCs w:val="32"/>
                <w:vertAlign w:val="baseline"/>
                <w:lang w:val="en-US" w:eastAsia="zh-CN"/>
              </w:rPr>
              <w:t>1#</w:t>
            </w:r>
          </w:p>
        </w:tc>
        <w:tc>
          <w:tcPr>
            <w:tcW w:w="7500" w:type="dxa"/>
            <w:vAlign w:val="center"/>
          </w:tcPr>
          <w:p>
            <w:pPr>
              <w:numPr>
                <w:ilvl w:val="0"/>
                <w:numId w:val="0"/>
              </w:numPr>
              <w:ind w:left="0" w:leftChars="0" w:firstLine="0" w:firstLineChars="0"/>
              <w:jc w:val="center"/>
              <w:outlineLvl w:val="9"/>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消防水池、循环水池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2#</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锅炉房、调节池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3#</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事故水池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4#</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主装置区、RCO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5#</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储罐区、装载区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6#</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000000" w:themeColor="text1"/>
                <w:sz w:val="24"/>
                <w:szCs w:val="24"/>
                <w:u w:val="none"/>
                <w14:textFill>
                  <w14:solidFill>
                    <w14:schemeClr w14:val="tx1"/>
                  </w14:solidFill>
                </w14:textFill>
              </w:rPr>
              <w:t>土壤背景</w:t>
            </w:r>
            <w:r>
              <w:rPr>
                <w:rFonts w:hint="eastAsia" w:ascii="宋体" w:hAnsi="宋体" w:eastAsia="宋体" w:cs="宋体"/>
                <w:b w:val="0"/>
                <w:bCs w:val="0"/>
                <w:color w:val="auto"/>
                <w:sz w:val="24"/>
                <w:szCs w:val="24"/>
                <w:u w:val="none"/>
              </w:rPr>
              <w:t>监测点</w:t>
            </w:r>
          </w:p>
        </w:tc>
      </w:tr>
    </w:tbl>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96" w:name="_Toc10675"/>
      <w:bookmarkStart w:id="197" w:name="_Toc28993"/>
      <w:bookmarkStart w:id="198" w:name="_Toc7367"/>
      <w:bookmarkStart w:id="199" w:name="_Toc4208"/>
      <w:r>
        <w:rPr>
          <w:rFonts w:hint="eastAsia" w:ascii="宋体" w:hAnsi="宋体" w:eastAsia="宋体" w:cs="宋体"/>
          <w:b/>
          <w:bCs/>
          <w:kern w:val="2"/>
          <w:sz w:val="28"/>
          <w:szCs w:val="32"/>
          <w:highlight w:val="none"/>
          <w:lang w:val="en-US" w:eastAsia="zh-CN" w:bidi="ar-SA"/>
        </w:rPr>
        <w:t>6.3各点位监测指标及选取原因</w:t>
      </w:r>
      <w:bookmarkEnd w:id="196"/>
      <w:bookmarkEnd w:id="197"/>
      <w:bookmarkEnd w:id="198"/>
      <w:bookmarkEnd w:id="199"/>
    </w:p>
    <w:p>
      <w:pPr>
        <w:bidi w:val="0"/>
        <w:spacing w:line="520" w:lineRule="exact"/>
        <w:ind w:firstLine="560" w:firstLineChars="200"/>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lang w:val="en-US" w:eastAsia="zh-CN"/>
        </w:rPr>
        <w:t>监测因子</w:t>
      </w:r>
      <w:r>
        <w:rPr>
          <w:rFonts w:hint="eastAsia" w:ascii="宋体" w:hAnsi="宋体" w:eastAsia="宋体" w:cs="宋体"/>
          <w:color w:val="auto"/>
          <w:sz w:val="28"/>
          <w:highlight w:val="none"/>
        </w:rPr>
        <w:t>按照《工业企业土壤和地下水自行监测技术指南（试行）》HJ1209-2021，本企业为</w:t>
      </w:r>
      <w:r>
        <w:rPr>
          <w:rFonts w:hint="eastAsia" w:ascii="宋体" w:hAnsi="宋体" w:eastAsia="宋体" w:cs="宋体"/>
          <w:color w:val="auto"/>
          <w:sz w:val="28"/>
          <w:highlight w:val="none"/>
          <w:lang w:eastAsia="zh-CN"/>
        </w:rPr>
        <w:t>该标准实施后第一年监测</w:t>
      </w:r>
      <w:r>
        <w:rPr>
          <w:rFonts w:hint="eastAsia" w:ascii="宋体" w:hAnsi="宋体" w:eastAsia="宋体" w:cs="宋体"/>
          <w:color w:val="auto"/>
          <w:sz w:val="28"/>
          <w:highlight w:val="none"/>
        </w:rPr>
        <w:t>，原则上所有土壤监测点的监测指标至少应包括GB36600表1基本项目（45项）</w:t>
      </w:r>
      <w:r>
        <w:rPr>
          <w:rFonts w:hint="eastAsia" w:ascii="宋体" w:hAnsi="宋体" w:eastAsia="宋体" w:cs="宋体"/>
          <w:color w:val="auto"/>
          <w:sz w:val="28"/>
          <w:highlight w:val="none"/>
          <w:lang w:eastAsia="zh-CN"/>
        </w:rPr>
        <w:t>及特征因子，地下水监测井的监测指标至少应包括GB/T14848表1常规指标（微生物指标、放射性指标除外</w:t>
      </w:r>
      <w:r>
        <w:rPr>
          <w:rFonts w:hint="eastAsia" w:ascii="宋体" w:hAnsi="宋体" w:eastAsia="宋体" w:cs="宋体"/>
          <w:color w:val="auto"/>
          <w:sz w:val="28"/>
          <w:highlight w:val="none"/>
        </w:rPr>
        <w:t>。具体监测项目见表6-</w:t>
      </w:r>
      <w:r>
        <w:rPr>
          <w:rFonts w:hint="eastAsia" w:ascii="宋体" w:hAnsi="宋体" w:eastAsia="宋体" w:cs="宋体"/>
          <w:color w:val="auto"/>
          <w:sz w:val="28"/>
          <w:highlight w:val="none"/>
          <w:lang w:val="en-US" w:eastAsia="zh-CN"/>
        </w:rPr>
        <w:t>2</w:t>
      </w:r>
      <w:r>
        <w:rPr>
          <w:rFonts w:hint="eastAsia" w:ascii="宋体" w:hAnsi="宋体" w:eastAsia="宋体" w:cs="宋体"/>
          <w:color w:val="auto"/>
          <w:sz w:val="28"/>
          <w:highlight w:val="none"/>
        </w:rPr>
        <w:t>。</w:t>
      </w:r>
    </w:p>
    <w:p>
      <w:pPr>
        <w:autoSpaceDE w:val="0"/>
        <w:adjustRightInd w:val="0"/>
        <w:snapToGrid w:val="0"/>
        <w:spacing w:line="520" w:lineRule="exact"/>
        <w:ind w:firstLine="482" w:firstLineChars="200"/>
        <w:jc w:val="center"/>
        <w:rPr>
          <w:rFonts w:hint="eastAsia" w:ascii="宋体" w:hAnsi="宋体" w:eastAsia="宋体" w:cs="宋体"/>
          <w:b/>
          <w:sz w:val="24"/>
          <w:szCs w:val="24"/>
        </w:rPr>
      </w:pPr>
      <w:r>
        <w:rPr>
          <w:rFonts w:hint="eastAsia" w:ascii="宋体" w:hAnsi="宋体" w:eastAsia="宋体" w:cs="宋体"/>
          <w:b/>
          <w:sz w:val="24"/>
          <w:szCs w:val="24"/>
        </w:rPr>
        <w:t>表6-</w:t>
      </w:r>
      <w:r>
        <w:rPr>
          <w:rFonts w:hint="eastAsia" w:ascii="宋体" w:hAnsi="宋体" w:eastAsia="宋体" w:cs="宋体"/>
          <w:b/>
          <w:sz w:val="24"/>
          <w:szCs w:val="24"/>
          <w:lang w:val="en-US" w:eastAsia="zh-CN"/>
        </w:rPr>
        <w:t>2</w:t>
      </w:r>
      <w:r>
        <w:rPr>
          <w:rFonts w:hint="eastAsia" w:ascii="宋体" w:hAnsi="宋体" w:eastAsia="宋体" w:cs="宋体"/>
          <w:b/>
          <w:sz w:val="24"/>
          <w:szCs w:val="24"/>
        </w:rPr>
        <w:t>土壤监测项目一览表</w:t>
      </w:r>
    </w:p>
    <w:tbl>
      <w:tblPr>
        <w:tblStyle w:val="27"/>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6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类别</w:t>
            </w:r>
          </w:p>
        </w:tc>
        <w:tc>
          <w:tcPr>
            <w:tcW w:w="3712"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土壤</w:t>
            </w:r>
          </w:p>
        </w:tc>
        <w:tc>
          <w:tcPr>
            <w:tcW w:w="3712"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t>土壤检测</w:t>
            </w:r>
            <w:r>
              <w:rPr>
                <w:rFonts w:hint="eastAsia" w:ascii="宋体" w:hAnsi="宋体" w:eastAsia="宋体" w:cs="宋体"/>
                <w:bCs/>
                <w:kern w:val="0"/>
                <w:sz w:val="21"/>
                <w:szCs w:val="21"/>
              </w:rPr>
              <w:t>因子：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w:t>
            </w:r>
            <w:r>
              <w:rPr>
                <w:rFonts w:hint="eastAsia" w:ascii="宋体" w:hAnsi="宋体" w:eastAsia="宋体" w:cs="宋体"/>
                <w:bCs/>
                <w:kern w:val="0"/>
                <w:sz w:val="21"/>
                <w:szCs w:val="21"/>
                <w:lang w:val="en-US" w:eastAsia="zh-CN"/>
              </w:rPr>
              <w:t>45项；特征污染物：pH</w:t>
            </w:r>
            <w:r>
              <w:rPr>
                <w:rFonts w:hint="eastAsia" w:ascii="宋体" w:hAnsi="宋体" w:eastAsia="宋体" w:cs="宋体"/>
                <w:bCs/>
                <w:kern w:val="0"/>
                <w:sz w:val="21"/>
                <w:szCs w:val="21"/>
                <w:lang w:eastAsia="zh-CN"/>
              </w:rPr>
              <w:t>。</w:t>
            </w:r>
          </w:p>
        </w:tc>
      </w:tr>
    </w:tbl>
    <w:p>
      <w:pPr>
        <w:keepNext/>
        <w:keepLines/>
        <w:widowControl w:val="0"/>
        <w:tabs>
          <w:tab w:val="left" w:pos="223"/>
        </w:tabs>
        <w:spacing w:line="520" w:lineRule="exact"/>
        <w:ind w:firstLine="562" w:firstLineChars="200"/>
        <w:jc w:val="both"/>
        <w:outlineLvl w:val="1"/>
        <w:rPr>
          <w:rFonts w:hint="eastAsia" w:ascii="宋体" w:hAnsi="宋体" w:eastAsia="宋体" w:cs="宋体"/>
          <w:b/>
          <w:bCs/>
          <w:color w:val="auto"/>
          <w:kern w:val="2"/>
          <w:sz w:val="28"/>
          <w:szCs w:val="28"/>
          <w:highlight w:val="none"/>
          <w:lang w:val="en-US" w:eastAsia="zh-CN" w:bidi="ar-SA"/>
        </w:rPr>
      </w:pPr>
      <w:bookmarkStart w:id="200" w:name="_Toc107924590"/>
      <w:bookmarkStart w:id="201" w:name="_Toc28205"/>
      <w:r>
        <w:rPr>
          <w:rFonts w:hint="eastAsia" w:ascii="宋体" w:hAnsi="宋体" w:eastAsia="宋体" w:cs="宋体"/>
          <w:b/>
          <w:bCs/>
          <w:color w:val="auto"/>
          <w:kern w:val="2"/>
          <w:sz w:val="28"/>
          <w:szCs w:val="28"/>
          <w:highlight w:val="none"/>
          <w:lang w:val="en-US" w:eastAsia="zh-CN" w:bidi="ar-SA"/>
        </w:rPr>
        <w:t>6.4监测频次</w:t>
      </w:r>
      <w:bookmarkEnd w:id="200"/>
      <w:bookmarkEnd w:id="201"/>
    </w:p>
    <w:p>
      <w:pPr>
        <w:spacing w:line="520" w:lineRule="exact"/>
        <w:ind w:firstLine="560" w:firstLineChars="200"/>
        <w:jc w:val="both"/>
        <w:rPr>
          <w:rFonts w:hint="eastAsia" w:ascii="宋体" w:hAnsi="宋体" w:eastAsia="宋体" w:cs="宋体"/>
          <w:sz w:val="28"/>
          <w:szCs w:val="28"/>
        </w:rPr>
      </w:pPr>
      <w:r>
        <w:rPr>
          <w:rFonts w:hint="eastAsia" w:ascii="宋体" w:hAnsi="宋体" w:eastAsia="宋体" w:cs="宋体"/>
          <w:sz w:val="28"/>
          <w:szCs w:val="28"/>
        </w:rPr>
        <w:t>根据《工业企业土壤和地下水自行监测技术指南（试行）》HJ1209-2021，土壤环境重点监管企业土壤和地下水监测频次见下表。</w:t>
      </w:r>
    </w:p>
    <w:p>
      <w:pPr>
        <w:keepNext w:val="0"/>
        <w:keepLines w:val="0"/>
        <w:pageBreakBefore w:val="0"/>
        <w:tabs>
          <w:tab w:val="left" w:pos="2278"/>
        </w:tabs>
        <w:kinsoku/>
        <w:wordWrap/>
        <w:overflowPunct/>
        <w:topLinePunct w:val="0"/>
        <w:autoSpaceDE/>
        <w:autoSpaceDN/>
        <w:bidi w:val="0"/>
        <w:spacing w:line="520" w:lineRule="exact"/>
        <w:ind w:firstLine="482" w:firstLineChars="20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表6-3自行监测的监测频次</w:t>
      </w:r>
    </w:p>
    <w:tbl>
      <w:tblPr>
        <w:tblStyle w:val="28"/>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4"/>
        <w:gridCol w:w="4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22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监测对象</w:t>
            </w:r>
          </w:p>
        </w:tc>
        <w:tc>
          <w:tcPr>
            <w:tcW w:w="270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6" w:hRule="atLeast"/>
        </w:trPr>
        <w:tc>
          <w:tcPr>
            <w:tcW w:w="2296"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土壤</w:t>
            </w:r>
          </w:p>
        </w:tc>
        <w:tc>
          <w:tcPr>
            <w:tcW w:w="270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采样深度为表层土壤的点位每年1次，采样深度为深层土壤的每3年1次</w:t>
            </w:r>
          </w:p>
        </w:tc>
      </w:tr>
    </w:tbl>
    <w:p>
      <w:pPr>
        <w:bidi w:val="0"/>
        <w:spacing w:line="520" w:lineRule="exact"/>
        <w:ind w:firstLine="560" w:firstLineChars="200"/>
        <w:jc w:val="left"/>
        <w:rPr>
          <w:rFonts w:hint="eastAsia" w:ascii="宋体" w:hAnsi="宋体" w:eastAsia="宋体" w:cs="宋体"/>
          <w:color w:val="auto"/>
          <w:sz w:val="28"/>
          <w:highlight w:val="none"/>
          <w:lang w:val="en-US" w:eastAsia="zh-CN"/>
        </w:rPr>
      </w:pPr>
      <w:bookmarkStart w:id="202" w:name="_Toc7156"/>
      <w:bookmarkStart w:id="203" w:name="_Toc2213"/>
      <w:bookmarkStart w:id="204" w:name="_Toc3178"/>
      <w:r>
        <w:rPr>
          <w:rFonts w:hint="eastAsia" w:ascii="宋体" w:hAnsi="宋体" w:eastAsia="宋体" w:cs="宋体"/>
          <w:color w:val="auto"/>
          <w:sz w:val="28"/>
          <w:highlight w:val="none"/>
          <w:lang w:val="en-US" w:eastAsia="zh-CN"/>
        </w:rPr>
        <w:t>河南德利新能源材料有限公司厂区内无地下水监测井，通过查阅资料，公司于2016年12月委托中国水电十一局郑州科研设计有限公司编制了《河南德利新能源材料有限公司年产一万吨碳酸甲乙酯、碳酸二乙酯项目岩土工程勘察报告》，报告中明确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河南德利新能源材料有限公司年产一万吨碳酸甲乙酯、碳酸二乙酯项目岩土工程勘察报告)。</w:t>
      </w:r>
    </w:p>
    <w:p>
      <w:pPr>
        <w:pStyle w:val="7"/>
        <w:bidi w:val="0"/>
        <w:rPr>
          <w:rFonts w:hint="eastAsia" w:ascii="宋体" w:hAnsi="宋体" w:eastAsia="宋体" w:cs="宋体"/>
          <w:lang w:val="en-US" w:eastAsia="zh-CN"/>
        </w:rPr>
      </w:pPr>
      <w:bookmarkStart w:id="205" w:name="_Toc14415"/>
      <w:r>
        <w:rPr>
          <w:rFonts w:hint="eastAsia" w:ascii="宋体" w:hAnsi="宋体" w:eastAsia="宋体" w:cs="宋体"/>
          <w:lang w:val="en-US" w:eastAsia="zh-CN"/>
        </w:rPr>
        <w:t>7样品采集、保存、流转与制备</w:t>
      </w:r>
      <w:bookmarkEnd w:id="202"/>
      <w:bookmarkEnd w:id="203"/>
      <w:bookmarkEnd w:id="204"/>
      <w:bookmarkEnd w:id="205"/>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06" w:name="_Toc6627"/>
      <w:bookmarkStart w:id="207" w:name="_Toc3536"/>
      <w:bookmarkStart w:id="208" w:name="_Toc8311"/>
      <w:bookmarkStart w:id="209" w:name="_Toc988"/>
      <w:r>
        <w:rPr>
          <w:rFonts w:hint="eastAsia" w:ascii="宋体" w:hAnsi="宋体" w:eastAsia="宋体" w:cs="宋体"/>
          <w:b/>
          <w:bCs/>
          <w:kern w:val="2"/>
          <w:sz w:val="28"/>
          <w:szCs w:val="32"/>
          <w:lang w:val="en-US" w:eastAsia="zh-CN" w:bidi="ar-SA"/>
        </w:rPr>
        <w:t>7.1现场采样位置、数量和深度</w:t>
      </w:r>
      <w:bookmarkEnd w:id="206"/>
      <w:bookmarkEnd w:id="207"/>
      <w:bookmarkEnd w:id="208"/>
      <w:bookmarkEnd w:id="209"/>
    </w:p>
    <w:p>
      <w:pPr>
        <w:spacing w:line="520" w:lineRule="exact"/>
        <w:ind w:firstLine="560" w:firstLineChars="200"/>
        <w:jc w:val="left"/>
        <w:rPr>
          <w:rFonts w:hint="eastAsia" w:ascii="宋体" w:hAnsi="宋体" w:eastAsia="宋体" w:cs="宋体"/>
          <w:sz w:val="28"/>
          <w:lang w:val="en-US" w:eastAsia="zh-CN"/>
        </w:rPr>
      </w:pPr>
      <w:r>
        <w:rPr>
          <w:rFonts w:hint="eastAsia" w:ascii="宋体" w:hAnsi="宋体" w:eastAsia="宋体" w:cs="宋体"/>
          <w:color w:val="auto"/>
          <w:sz w:val="28"/>
          <w:highlight w:val="none"/>
        </w:rPr>
        <w:t>依据国家相关政策、标准、导则等要求，结合企业厂区生产设施分布和生产工艺等实际情况，确定土壤监测点</w:t>
      </w:r>
      <w:r>
        <w:rPr>
          <w:rFonts w:hint="eastAsia" w:ascii="宋体" w:hAnsi="宋体" w:eastAsia="宋体" w:cs="宋体"/>
          <w:color w:val="auto"/>
          <w:sz w:val="28"/>
          <w:highlight w:val="none"/>
          <w:lang w:val="en-US" w:eastAsia="zh-CN"/>
        </w:rPr>
        <w:t>6个</w:t>
      </w:r>
      <w:r>
        <w:rPr>
          <w:rFonts w:hint="eastAsia" w:ascii="宋体" w:hAnsi="宋体" w:eastAsia="宋体" w:cs="宋体"/>
          <w:color w:val="auto"/>
          <w:sz w:val="28"/>
          <w:highlight w:val="none"/>
        </w:rPr>
        <w:t>，</w:t>
      </w:r>
      <w:r>
        <w:rPr>
          <w:rFonts w:hint="eastAsia" w:ascii="宋体" w:hAnsi="宋体" w:eastAsia="宋体" w:cs="宋体"/>
          <w:sz w:val="28"/>
          <w:lang w:val="en-US" w:eastAsia="zh-CN"/>
        </w:rPr>
        <w:t>具体采样位置、采样深度见下表。</w:t>
      </w:r>
    </w:p>
    <w:p>
      <w:pPr>
        <w:rPr>
          <w:rFonts w:hint="eastAsia" w:ascii="宋体" w:hAnsi="宋体" w:eastAsia="宋体" w:cs="宋体"/>
          <w:sz w:val="28"/>
          <w:lang w:val="en-US" w:eastAsia="zh-CN"/>
        </w:rPr>
      </w:pPr>
      <w:r>
        <w:rPr>
          <w:rFonts w:hint="eastAsia" w:ascii="宋体" w:hAnsi="宋体" w:eastAsia="宋体" w:cs="宋体"/>
          <w:sz w:val="28"/>
          <w:lang w:val="en-US" w:eastAsia="zh-CN"/>
        </w:rPr>
        <w:br w:type="page"/>
      </w:r>
    </w:p>
    <w:p>
      <w:pPr>
        <w:spacing w:line="520" w:lineRule="exact"/>
        <w:ind w:firstLine="3360" w:firstLineChars="1200"/>
        <w:jc w:val="left"/>
        <w:rPr>
          <w:rFonts w:hint="eastAsia" w:ascii="宋体" w:hAnsi="宋体" w:eastAsia="宋体" w:cs="宋体"/>
          <w:sz w:val="28"/>
          <w:lang w:val="en-US" w:eastAsia="zh-CN"/>
        </w:rPr>
      </w:pPr>
      <w:r>
        <w:rPr>
          <w:rFonts w:hint="eastAsia" w:ascii="宋体" w:hAnsi="宋体" w:eastAsia="宋体" w:cs="宋体"/>
          <w:sz w:val="28"/>
          <w:lang w:val="en-US" w:eastAsia="zh-CN"/>
        </w:rPr>
        <w:t>表7-1土壤检测内容一览表</w:t>
      </w:r>
    </w:p>
    <w:tbl>
      <w:tblPr>
        <w:tblStyle w:val="19"/>
        <w:tblW w:w="5659" w:type="pct"/>
        <w:jc w:val="center"/>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982"/>
        <w:gridCol w:w="993"/>
        <w:gridCol w:w="4022"/>
        <w:gridCol w:w="4129"/>
      </w:tblGrid>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5"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类型</w:t>
            </w:r>
          </w:p>
        </w:tc>
        <w:tc>
          <w:tcPr>
            <w:tcW w:w="490"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985"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检测点位</w:t>
            </w:r>
          </w:p>
        </w:tc>
        <w:tc>
          <w:tcPr>
            <w:tcW w:w="2038"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经度</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5" w:type="pct"/>
            <w:vMerge w:val="restar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土壤</w:t>
            </w:r>
          </w:p>
        </w:tc>
        <w:tc>
          <w:tcPr>
            <w:tcW w:w="490"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985" w:type="pct"/>
            <w:vAlign w:val="center"/>
          </w:tcPr>
          <w:p>
            <w:pPr>
              <w:numPr>
                <w:ilvl w:val="0"/>
                <w:numId w:val="0"/>
              </w:numPr>
              <w:ind w:left="0" w:leftChars="0" w:firstLine="0" w:firstLineChars="0"/>
              <w:jc w:val="center"/>
              <w:rPr>
                <w:rFonts w:hint="eastAsia" w:ascii="宋体" w:hAnsi="宋体" w:eastAsia="宋体" w:cs="宋体"/>
                <w:bCs/>
                <w:color w:val="auto"/>
                <w:szCs w:val="21"/>
                <w:highlight w:val="none"/>
              </w:rPr>
            </w:pPr>
            <w:r>
              <w:rPr>
                <w:rFonts w:hint="eastAsia" w:ascii="宋体" w:hAnsi="宋体" w:eastAsia="宋体" w:cs="宋体"/>
                <w:b w:val="0"/>
                <w:bCs w:val="0"/>
                <w:color w:val="auto"/>
                <w:kern w:val="2"/>
                <w:sz w:val="24"/>
                <w:szCs w:val="24"/>
                <w:highlight w:val="none"/>
                <w:vertAlign w:val="baseline"/>
                <w:lang w:val="en-US" w:eastAsia="zh-CN" w:bidi="ar-SA"/>
              </w:rPr>
              <w:t>消防水池、循环水池</w:t>
            </w:r>
          </w:p>
        </w:tc>
        <w:tc>
          <w:tcPr>
            <w:tcW w:w="203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N：34°40'36.881''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4"/>
                <w:highlight w:val="none"/>
                <w:vertAlign w:val="baseline"/>
                <w:lang w:val="zh-CN" w:eastAsia="zh-CN" w:bidi="ar-SA"/>
              </w:rPr>
            </w:pPr>
            <w:r>
              <w:rPr>
                <w:rFonts w:hint="eastAsia" w:ascii="宋体" w:hAnsi="宋体" w:eastAsia="宋体" w:cs="宋体"/>
                <w:b w:val="0"/>
                <w:bCs w:val="0"/>
                <w:color w:val="auto"/>
                <w:sz w:val="21"/>
                <w:szCs w:val="24"/>
                <w:highlight w:val="none"/>
                <w:vertAlign w:val="baseline"/>
                <w:lang w:val="en-US" w:eastAsia="zh-CN"/>
              </w:rPr>
              <w:t>E：111°35'12.959''</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5"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490"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985" w:type="pct"/>
            <w:vAlign w:val="center"/>
          </w:tcPr>
          <w:p>
            <w:pPr>
              <w:numPr>
                <w:ilvl w:val="0"/>
                <w:numId w:val="0"/>
              </w:numPr>
              <w:ind w:left="0" w:leftChars="0" w:firstLine="0" w:firstLineChars="0"/>
              <w:jc w:val="center"/>
              <w:rPr>
                <w:rFonts w:hint="eastAsia" w:ascii="宋体" w:hAnsi="宋体" w:eastAsia="宋体" w:cs="宋体"/>
                <w:bCs/>
                <w:color w:val="auto"/>
                <w:szCs w:val="21"/>
                <w:highlight w:val="none"/>
              </w:rPr>
            </w:pPr>
            <w:r>
              <w:rPr>
                <w:rFonts w:hint="eastAsia" w:ascii="宋体" w:hAnsi="宋体" w:eastAsia="宋体" w:cs="宋体"/>
                <w:b w:val="0"/>
                <w:bCs w:val="0"/>
                <w:color w:val="auto"/>
                <w:sz w:val="24"/>
                <w:szCs w:val="24"/>
                <w:highlight w:val="none"/>
                <w:vertAlign w:val="baseline"/>
                <w:lang w:val="en-US" w:eastAsia="zh-CN"/>
              </w:rPr>
              <w:t>锅炉房、调节池</w:t>
            </w:r>
          </w:p>
        </w:tc>
        <w:tc>
          <w:tcPr>
            <w:tcW w:w="203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 xml:space="preserve">N：34°40'36.198''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4"/>
                <w:highlight w:val="none"/>
                <w:vertAlign w:val="baseline"/>
                <w:lang w:val="zh-CN" w:eastAsia="zh-CN" w:bidi="ar-SA"/>
              </w:rPr>
            </w:pPr>
            <w:r>
              <w:rPr>
                <w:rFonts w:hint="eastAsia" w:ascii="宋体" w:hAnsi="宋体" w:eastAsia="宋体" w:cs="宋体"/>
                <w:b w:val="0"/>
                <w:bCs w:val="0"/>
                <w:color w:val="auto"/>
                <w:sz w:val="21"/>
                <w:szCs w:val="24"/>
                <w:highlight w:val="none"/>
                <w:vertAlign w:val="baseline"/>
                <w:lang w:val="en-US" w:eastAsia="zh-CN"/>
              </w:rPr>
              <w:t xml:space="preserve"> E：111°35'14.620''</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5"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490"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985" w:type="pct"/>
            <w:vAlign w:val="center"/>
          </w:tcPr>
          <w:p>
            <w:pPr>
              <w:numPr>
                <w:ilvl w:val="0"/>
                <w:numId w:val="0"/>
              </w:numPr>
              <w:ind w:left="0" w:leftChars="0" w:firstLine="0" w:firstLineChars="0"/>
              <w:jc w:val="center"/>
              <w:rPr>
                <w:rFonts w:hint="eastAsia" w:ascii="宋体" w:hAnsi="宋体" w:eastAsia="宋体" w:cs="宋体"/>
                <w:bCs/>
                <w:color w:val="auto"/>
                <w:szCs w:val="21"/>
                <w:highlight w:val="none"/>
              </w:rPr>
            </w:pPr>
            <w:r>
              <w:rPr>
                <w:rFonts w:hint="eastAsia" w:ascii="宋体" w:hAnsi="宋体" w:eastAsia="宋体" w:cs="宋体"/>
                <w:b w:val="0"/>
                <w:bCs w:val="0"/>
                <w:color w:val="auto"/>
                <w:sz w:val="24"/>
                <w:szCs w:val="24"/>
                <w:highlight w:val="none"/>
                <w:vertAlign w:val="baseline"/>
                <w:lang w:val="en-US" w:eastAsia="zh-CN"/>
              </w:rPr>
              <w:t>事故水池</w:t>
            </w:r>
          </w:p>
        </w:tc>
        <w:tc>
          <w:tcPr>
            <w:tcW w:w="203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 xml:space="preserve">N：34°40'34.658''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4"/>
                <w:highlight w:val="none"/>
                <w:vertAlign w:val="baseline"/>
                <w:lang w:val="zh-CN" w:eastAsia="zh-CN" w:bidi="ar-SA"/>
              </w:rPr>
            </w:pPr>
            <w:r>
              <w:rPr>
                <w:rFonts w:hint="eastAsia" w:ascii="宋体" w:hAnsi="宋体" w:eastAsia="宋体" w:cs="宋体"/>
                <w:b w:val="0"/>
                <w:bCs w:val="0"/>
                <w:color w:val="auto"/>
                <w:sz w:val="21"/>
                <w:szCs w:val="24"/>
                <w:highlight w:val="none"/>
                <w:vertAlign w:val="baseline"/>
                <w:lang w:val="en-US" w:eastAsia="zh-CN"/>
              </w:rPr>
              <w:t>E：111°35'18.231''</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5"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490"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985" w:type="pct"/>
            <w:vAlign w:val="center"/>
          </w:tcPr>
          <w:p>
            <w:pPr>
              <w:numPr>
                <w:ilvl w:val="0"/>
                <w:numId w:val="0"/>
              </w:num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4"/>
                <w:szCs w:val="24"/>
                <w:highlight w:val="none"/>
                <w:vertAlign w:val="baseline"/>
                <w:lang w:val="en-US" w:eastAsia="zh-CN"/>
              </w:rPr>
              <w:t>主装置区、RCO</w:t>
            </w:r>
          </w:p>
        </w:tc>
        <w:tc>
          <w:tcPr>
            <w:tcW w:w="203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 xml:space="preserve">N：34°40'35.087''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4"/>
                <w:highlight w:val="none"/>
                <w:vertAlign w:val="baseline"/>
                <w:lang w:val="zh-CN" w:eastAsia="zh-CN" w:bidi="ar-SA"/>
              </w:rPr>
            </w:pPr>
            <w:r>
              <w:rPr>
                <w:rFonts w:hint="eastAsia" w:ascii="宋体" w:hAnsi="宋体" w:eastAsia="宋体" w:cs="宋体"/>
                <w:b w:val="0"/>
                <w:bCs w:val="0"/>
                <w:color w:val="auto"/>
                <w:sz w:val="21"/>
                <w:szCs w:val="24"/>
                <w:highlight w:val="none"/>
                <w:vertAlign w:val="baseline"/>
                <w:lang w:val="en-US" w:eastAsia="zh-CN"/>
              </w:rPr>
              <w:t>E：111°35'11.434''</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5"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490"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985" w:type="pct"/>
            <w:vAlign w:val="center"/>
          </w:tcPr>
          <w:p>
            <w:pPr>
              <w:numPr>
                <w:ilvl w:val="0"/>
                <w:numId w:val="0"/>
              </w:numPr>
              <w:ind w:left="0" w:leftChars="0" w:firstLine="0" w:firstLineChars="0"/>
              <w:jc w:val="center"/>
              <w:rPr>
                <w:rFonts w:hint="eastAsia" w:ascii="宋体" w:hAnsi="宋体" w:eastAsia="宋体" w:cs="宋体"/>
                <w:bCs/>
                <w:color w:val="auto"/>
                <w:szCs w:val="21"/>
                <w:highlight w:val="none"/>
              </w:rPr>
            </w:pPr>
            <w:r>
              <w:rPr>
                <w:rFonts w:hint="eastAsia" w:ascii="宋体" w:hAnsi="宋体" w:eastAsia="宋体" w:cs="宋体"/>
                <w:b w:val="0"/>
                <w:bCs w:val="0"/>
                <w:color w:val="auto"/>
                <w:sz w:val="24"/>
                <w:szCs w:val="24"/>
                <w:highlight w:val="none"/>
                <w:vertAlign w:val="baseline"/>
                <w:lang w:val="en-US" w:eastAsia="zh-CN"/>
              </w:rPr>
              <w:t>储罐区、装载区</w:t>
            </w:r>
          </w:p>
        </w:tc>
        <w:tc>
          <w:tcPr>
            <w:tcW w:w="203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 xml:space="preserve">N：34°40'33.800''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4"/>
                <w:highlight w:val="none"/>
                <w:vertAlign w:val="baseline"/>
                <w:lang w:val="zh-CN" w:eastAsia="zh-CN" w:bidi="ar-SA"/>
              </w:rPr>
            </w:pPr>
            <w:r>
              <w:rPr>
                <w:rFonts w:hint="eastAsia" w:ascii="宋体" w:hAnsi="宋体" w:eastAsia="宋体" w:cs="宋体"/>
                <w:b w:val="0"/>
                <w:bCs w:val="0"/>
                <w:color w:val="auto"/>
                <w:sz w:val="21"/>
                <w:szCs w:val="24"/>
                <w:highlight w:val="none"/>
                <w:vertAlign w:val="baseline"/>
                <w:lang w:val="en-US" w:eastAsia="zh-CN"/>
              </w:rPr>
              <w:t>E：111°35'10.275''</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5"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490"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985" w:type="pct"/>
            <w:vAlign w:val="center"/>
          </w:tcPr>
          <w:p>
            <w:pPr>
              <w:numPr>
                <w:ilvl w:val="0"/>
                <w:numId w:val="0"/>
              </w:numPr>
              <w:ind w:left="0" w:leftChars="0" w:firstLine="0" w:firstLineChars="0"/>
              <w:jc w:val="center"/>
              <w:rPr>
                <w:rFonts w:hint="eastAsia" w:ascii="宋体" w:hAnsi="宋体" w:eastAsia="宋体" w:cs="宋体"/>
                <w:bCs/>
                <w:color w:val="auto"/>
                <w:szCs w:val="21"/>
                <w:highlight w:val="none"/>
              </w:rPr>
            </w:pPr>
            <w:r>
              <w:rPr>
                <w:rFonts w:hint="eastAsia" w:ascii="宋体" w:hAnsi="宋体" w:eastAsia="宋体" w:cs="宋体"/>
                <w:b w:val="0"/>
                <w:bCs w:val="0"/>
                <w:color w:val="auto"/>
                <w:sz w:val="24"/>
                <w:szCs w:val="24"/>
                <w:highlight w:val="none"/>
                <w:u w:val="none"/>
              </w:rPr>
              <w:t>土壤背景监测点</w:t>
            </w:r>
          </w:p>
        </w:tc>
        <w:tc>
          <w:tcPr>
            <w:tcW w:w="203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4"/>
                <w:highlight w:val="none"/>
                <w:vertAlign w:val="baseline"/>
                <w:lang w:val="en-US" w:eastAsia="zh-CN"/>
              </w:rPr>
            </w:pPr>
            <w:r>
              <w:rPr>
                <w:rFonts w:hint="eastAsia" w:ascii="宋体" w:hAnsi="宋体" w:eastAsia="宋体" w:cs="宋体"/>
                <w:b w:val="0"/>
                <w:bCs w:val="0"/>
                <w:color w:val="auto"/>
                <w:sz w:val="21"/>
                <w:szCs w:val="24"/>
                <w:highlight w:val="none"/>
                <w:vertAlign w:val="baseline"/>
                <w:lang w:val="en-US" w:eastAsia="zh-CN"/>
              </w:rPr>
              <w:t xml:space="preserve">N：34°40'38.311''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4"/>
                <w:highlight w:val="none"/>
                <w:vertAlign w:val="baseline"/>
                <w:lang w:val="zh-CN" w:eastAsia="zh-CN" w:bidi="ar-SA"/>
              </w:rPr>
            </w:pPr>
            <w:r>
              <w:rPr>
                <w:rFonts w:hint="eastAsia" w:ascii="宋体" w:hAnsi="宋体" w:eastAsia="宋体" w:cs="宋体"/>
                <w:b w:val="0"/>
                <w:bCs w:val="0"/>
                <w:color w:val="auto"/>
                <w:sz w:val="21"/>
                <w:szCs w:val="24"/>
                <w:highlight w:val="none"/>
                <w:vertAlign w:val="baseline"/>
                <w:lang w:val="en-US" w:eastAsia="zh-CN"/>
              </w:rPr>
              <w:t>E：111°35'10.970''</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snapToGrid/>
          <w:spacing w:val="6"/>
          <w:kern w:val="0"/>
          <w:sz w:val="28"/>
          <w:szCs w:val="22"/>
          <w:lang w:val="en-US" w:eastAsia="zh-CN" w:bidi="ar"/>
        </w:rPr>
      </w:pPr>
      <w:bookmarkStart w:id="210" w:name="_Toc8729"/>
      <w:bookmarkStart w:id="211" w:name="_Toc20812"/>
      <w:bookmarkStart w:id="212" w:name="_Toc13453"/>
      <w:r>
        <w:rPr>
          <w:rFonts w:hint="eastAsia" w:ascii="宋体" w:hAnsi="宋体" w:eastAsia="宋体" w:cs="宋体"/>
          <w:b/>
          <w:bCs/>
          <w:kern w:val="2"/>
          <w:sz w:val="28"/>
          <w:szCs w:val="32"/>
          <w:lang w:val="en-US" w:eastAsia="zh-CN" w:bidi="ar-SA"/>
        </w:rPr>
        <w:t>7.2现场采样工作流程</w:t>
      </w:r>
      <w:bookmarkEnd w:id="210"/>
      <w:bookmarkEnd w:id="211"/>
      <w:bookmarkEnd w:id="212"/>
    </w:p>
    <w:p>
      <w:pPr>
        <w:pageBreakBefore w:val="0"/>
        <w:kinsoku/>
        <w:wordWrap/>
        <w:overflowPunct/>
        <w:topLinePunct w:val="0"/>
        <w:autoSpaceDE/>
        <w:autoSpaceDN/>
        <w:bidi w:val="0"/>
        <w:spacing w:line="360" w:lineRule="auto"/>
        <w:ind w:left="0" w:leftChars="0" w:right="0" w:firstLine="0" w:firstLineChars="0"/>
        <w:textAlignment w:val="auto"/>
        <w:outlineLvl w:val="3"/>
        <w:rPr>
          <w:rFonts w:hint="eastAsia" w:ascii="宋体" w:hAnsi="宋体" w:eastAsia="宋体" w:cs="宋体"/>
          <w:color w:val="auto"/>
          <w:sz w:val="28"/>
          <w:szCs w:val="28"/>
          <w:highlight w:val="none"/>
          <w:u w:val="none"/>
        </w:rPr>
      </w:pPr>
      <w:bookmarkStart w:id="213" w:name="_Toc24631_WPSOffice_Level3"/>
      <w:bookmarkStart w:id="214" w:name="_Toc20246"/>
      <w:bookmarkStart w:id="215" w:name="_Toc8921"/>
      <w:bookmarkStart w:id="216" w:name="_Toc17162"/>
      <w:bookmarkStart w:id="217" w:name="_Toc9163"/>
      <w:r>
        <w:rPr>
          <w:rFonts w:hint="eastAsia" w:ascii="宋体" w:hAnsi="宋体" w:eastAsia="宋体" w:cs="宋体"/>
          <w:color w:val="auto"/>
          <w:sz w:val="28"/>
          <w:szCs w:val="28"/>
          <w:highlight w:val="none"/>
          <w:u w:val="none"/>
          <w:lang w:val="en-US" w:eastAsia="zh-CN"/>
        </w:rPr>
        <w:t>7.2.1</w:t>
      </w:r>
      <w:r>
        <w:rPr>
          <w:rFonts w:hint="eastAsia" w:ascii="宋体" w:hAnsi="宋体" w:eastAsia="宋体" w:cs="宋体"/>
          <w:color w:val="auto"/>
          <w:sz w:val="28"/>
          <w:szCs w:val="28"/>
          <w:highlight w:val="none"/>
          <w:u w:val="none"/>
        </w:rPr>
        <w:t>土壤采样</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土壤样品采集、保存、转运检测等环节质量控制（保证）按《</w:t>
      </w:r>
      <w:r>
        <w:rPr>
          <w:rFonts w:hint="eastAsia" w:ascii="宋体" w:hAnsi="宋体" w:eastAsia="宋体" w:cs="宋体"/>
          <w:color w:val="auto"/>
          <w:kern w:val="2"/>
          <w:sz w:val="28"/>
          <w:szCs w:val="28"/>
          <w:highlight w:val="none"/>
          <w:u w:val="none"/>
          <w:lang w:val="en-US" w:eastAsia="zh-CN" w:bidi="ar-SA"/>
        </w:rPr>
        <w:t>建设用地土壤污染状况调查技术导则</w:t>
      </w:r>
      <w:r>
        <w:rPr>
          <w:rFonts w:hint="eastAsia" w:ascii="宋体" w:hAnsi="宋体" w:eastAsia="宋体" w:cs="宋体"/>
          <w:color w:val="auto"/>
          <w:sz w:val="28"/>
          <w:szCs w:val="28"/>
          <w:highlight w:val="none"/>
          <w:u w:val="none"/>
        </w:rPr>
        <w:t>》(H</w:t>
      </w:r>
      <w:r>
        <w:rPr>
          <w:rFonts w:hint="eastAsia" w:ascii="宋体" w:hAnsi="宋体" w:eastAsia="宋体" w:cs="宋体"/>
          <w:color w:val="auto"/>
          <w:sz w:val="28"/>
          <w:szCs w:val="28"/>
          <w:highlight w:val="none"/>
          <w:u w:val="none"/>
          <w:lang w:val="en-US" w:eastAsia="zh-CN"/>
        </w:rPr>
        <w:t>J</w:t>
      </w:r>
      <w:r>
        <w:rPr>
          <w:rFonts w:hint="eastAsia" w:ascii="宋体" w:hAnsi="宋体" w:eastAsia="宋体" w:cs="宋体"/>
          <w:color w:val="auto"/>
          <w:sz w:val="28"/>
          <w:szCs w:val="28"/>
          <w:highlight w:val="none"/>
          <w:u w:val="none"/>
        </w:rPr>
        <w:t>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kern w:val="2"/>
          <w:sz w:val="28"/>
          <w:szCs w:val="28"/>
          <w:highlight w:val="none"/>
          <w:u w:val="none"/>
          <w:lang w:val="en-US" w:eastAsia="zh-CN" w:bidi="ar-SA"/>
        </w:rPr>
        <w:t>建设用地土壤污染风险管控和修复监测技术导则</w:t>
      </w:r>
      <w:r>
        <w:rPr>
          <w:rFonts w:hint="eastAsia" w:ascii="宋体" w:hAnsi="宋体" w:eastAsia="宋体" w:cs="宋体"/>
          <w:color w:val="auto"/>
          <w:sz w:val="28"/>
          <w:szCs w:val="28"/>
          <w:highlight w:val="none"/>
          <w:u w:val="none"/>
        </w:rPr>
        <w:t>》(HJ25.2-201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kern w:val="2"/>
          <w:sz w:val="28"/>
          <w:szCs w:val="28"/>
          <w:highlight w:val="none"/>
          <w:u w:val="none"/>
          <w:lang w:val="en-US" w:eastAsia="zh-CN" w:bidi="ar-SA"/>
        </w:rPr>
        <w:t>建设用地土壤污染风险评估技术导则</w:t>
      </w:r>
      <w:r>
        <w:rPr>
          <w:rFonts w:hint="eastAsia" w:ascii="宋体" w:hAnsi="宋体" w:eastAsia="宋体" w:cs="宋体"/>
          <w:color w:val="auto"/>
          <w:sz w:val="28"/>
          <w:szCs w:val="28"/>
          <w:highlight w:val="none"/>
          <w:u w:val="none"/>
        </w:rPr>
        <w:t>》（HJ25.3-201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）;《土壤环境监测技术规范》（HJ/T166-2004）要求开展工作。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①工作流程前期准备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前期资料准备：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采样点位确定：现场勘察确定各采样点位（坐标），竖好点位标识牌，并做好记录（包括影像记录）；各采样点位深度、采样层数及分层标识，并做好记录（包括影像记录）。</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采样工具：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园状取土钻、螺旋取土钻、铁锹、铁铲、洛阳铲、竹片、竹刀、毛刷、采样洗涤装置。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样品包装用品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样品袋（聚乙烯）、棕色广口瓶（500ml）、样品现场暂存箱（冷链要求）。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4）记录工具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GPS、罗盘、照相机、录像机、样品监控记录仪、卷尺、皮尺、自由夹、样品现场记录表、样品标签、点位标识牌。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5）其他材料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药品箱、工作服、工作鞋、</w:t>
      </w:r>
      <w:bookmarkStart w:id="218" w:name="_Toc19612_WPSOffice_Level1"/>
      <w:r>
        <w:rPr>
          <w:rFonts w:hint="eastAsia" w:ascii="宋体" w:hAnsi="宋体" w:eastAsia="宋体" w:cs="宋体"/>
          <w:color w:val="auto"/>
          <w:sz w:val="28"/>
          <w:szCs w:val="28"/>
          <w:highlight w:val="none"/>
          <w:u w:val="none"/>
        </w:rPr>
        <w:t>手套等。</w:t>
      </w:r>
    </w:p>
    <w:bookmarkEnd w:id="218"/>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②采样：影像记录点位标识牌，样品现场记录表开始记录，并做好采样全程记录；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使用园状取土钻直接钻取到该点位要求的最深层，钻取结束取出柱状土样，按从下到上次序用竹片（竹刀）除去与金属采样器接触的部分土壤，再依次取样，装满棕色广口瓶，每个样品需加采一个付样（可用聚乙烯样品袋）；及时放入样品现场暂存箱（冷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③样品暂存及管理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样品现场采集后应及时送至样品暂存室冷链保存，同时填写好入室单（交接单）；样品暂存室监控记录仪时刻记录样品存放状况。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④样品现场记录表、样品标签、点位标识牌、样品入室记录（交接单）、样品出室记录（交接单）等内容。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⑤样品流转</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样品应在规定的时间内送至实验室进行检测；</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转运前核对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从暂存室出库前必须逐件与样品标签、样品入室记录（交接单）进行核对，核对无误并填写好样品出室记录（交接单）后分类装箱；样品入室记录（交接单）、样品出室记录（交接单）均一式两份，分别由送样、押运人员和样品暂存室保存。</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样品转运：样品转运需全程保持冷链（&lt;4℃）；专人送样。</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交接：样品送达实验室后，送样人员和实验室接样人员必须逐件对样品标签和样品出室记录（交接单）核对；样品名称、采样地点、样品数量、包装、外观形态是否一致、完好；样品是否有损坏、污染；当样品有异议时，实验室接样人员应及时向送样人员询问，实验室接样人员应记录有关说明及处理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在上述工作完成后，送样人员和实验室接样人员在样品交接单上签字后即完成样品交接。</w:t>
      </w:r>
    </w:p>
    <w:bookmarkEnd w:id="213"/>
    <w:p>
      <w:pPr>
        <w:pStyle w:val="9"/>
        <w:pageBreakBefore w:val="0"/>
        <w:numPr>
          <w:ilvl w:val="2"/>
          <w:numId w:val="0"/>
        </w:numPr>
        <w:kinsoku/>
        <w:wordWrap/>
        <w:overflowPunct/>
        <w:topLinePunct w:val="0"/>
        <w:autoSpaceDE/>
        <w:autoSpaceDN/>
        <w:bidi w:val="0"/>
        <w:spacing w:before="0" w:beforeLines="0" w:after="0" w:afterLines="0" w:line="360" w:lineRule="auto"/>
        <w:ind w:left="0" w:leftChars="0" w:right="0"/>
        <w:textAlignment w:val="auto"/>
        <w:outlineLvl w:val="2"/>
        <w:rPr>
          <w:rFonts w:hint="eastAsia" w:ascii="宋体" w:hAnsi="宋体" w:eastAsia="宋体" w:cs="宋体"/>
          <w:color w:val="auto"/>
          <w:sz w:val="28"/>
          <w:szCs w:val="22"/>
          <w:highlight w:val="none"/>
          <w:u w:val="none"/>
          <w:lang w:val="en-US" w:eastAsia="zh-CN"/>
        </w:rPr>
      </w:pPr>
      <w:bookmarkStart w:id="219" w:name="4.6 现场质量控制与保障计划"/>
      <w:bookmarkEnd w:id="219"/>
      <w:bookmarkStart w:id="220" w:name="_Toc4809"/>
      <w:bookmarkStart w:id="221" w:name="_Toc9622_WPSOffice_Level2"/>
      <w:bookmarkStart w:id="222" w:name="_Toc14610"/>
      <w:bookmarkStart w:id="223" w:name="_Toc6878"/>
      <w:bookmarkStart w:id="224" w:name="_Toc26004785"/>
      <w:bookmarkStart w:id="225" w:name="_Toc32312"/>
      <w:r>
        <w:rPr>
          <w:rFonts w:hint="eastAsia" w:ascii="宋体" w:hAnsi="宋体" w:eastAsia="宋体" w:cs="宋体"/>
          <w:color w:val="auto"/>
          <w:sz w:val="28"/>
          <w:szCs w:val="22"/>
          <w:highlight w:val="none"/>
          <w:u w:val="none"/>
          <w:lang w:val="en-US" w:eastAsia="zh-CN"/>
        </w:rPr>
        <w:t>7.3实验室质量保证</w:t>
      </w:r>
      <w:bookmarkEnd w:id="220"/>
      <w:bookmarkEnd w:id="221"/>
      <w:bookmarkEnd w:id="222"/>
      <w:bookmarkEnd w:id="223"/>
      <w:bookmarkEnd w:id="224"/>
      <w:bookmarkEnd w:id="225"/>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（1）监测人员严格执行环境监测技术规范，监测人员具有土壤监测证书，监测所用仪器、量器经参加培训的人员进行校准。</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（2）每批次样品分析时，应进行空白试验。分析测试方法有规定的，按分析测试方法的规定进行；分析测试方法无规定时，要求每批样品或每10个样品应至少做1次空白试验。</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（3）每批次样品分析时，每个检测项目均须做平行双样分析。在每批次分析样品中，应随机抽取10%的样品进行平行双样分析（有机因子除外）；当批次样品数＜10时，应至少随机抽取1个样品进行平行双样分析。</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被测土壤样品应在每批次样品分析时同步均匀插入有证标准物质与被测样品同步进行分析测试。每批次同类型分析样品要求按样品数10%的比例插入标准物质样品；当批次分析样品数＜10时，应至少插入1个标准物质样品。</w:t>
      </w:r>
    </w:p>
    <w:p>
      <w:pPr>
        <w:pageBreakBefore w:val="0"/>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（5）监测数据严格实行三级审核制度。</w:t>
      </w:r>
    </w:p>
    <w:p>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b/>
          <w:color w:val="auto"/>
          <w:sz w:val="24"/>
          <w:highlight w:val="none"/>
          <w:lang w:val="en-US" w:eastAsia="zh-CN"/>
        </w:rPr>
        <w:t xml:space="preserve">表7-2 </w:t>
      </w:r>
      <w:r>
        <w:rPr>
          <w:rFonts w:hint="eastAsia" w:ascii="宋体" w:hAnsi="宋体" w:eastAsia="宋体" w:cs="宋体"/>
          <w:b/>
          <w:color w:val="auto"/>
          <w:sz w:val="24"/>
          <w:highlight w:val="none"/>
        </w:rPr>
        <w:t>检测分析方法和使用仪器一览表</w:t>
      </w:r>
    </w:p>
    <w:tbl>
      <w:tblPr>
        <w:tblStyle w:val="19"/>
        <w:tblW w:w="9118"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
        <w:gridCol w:w="3"/>
        <w:gridCol w:w="1468"/>
        <w:gridCol w:w="3661"/>
        <w:gridCol w:w="2444"/>
        <w:gridCol w:w="1378"/>
        <w:gridCol w:w="15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678"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检测项目</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检测方法</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检测分析仪器及型号</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检出限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609"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土壤pH值的测定电位法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HJ962-2018</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台式pH计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PHS-3E</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土壤质量铅、镉的测定石墨炉原子吸收分光光度法GB/T17141-1997</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370"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土壤和沉积物汞、砷、硒、铋、锑的测定原子荧光法HJ680-2013</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原子荧光光度计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PF31</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汞:0.002mg/kg;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spacing w:val="-20"/>
                <w:kern w:val="0"/>
                <w:szCs w:val="21"/>
                <w:highlight w:val="none"/>
              </w:rPr>
              <w:t>砷:0.01mg/kg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221"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土壤和沉积物六价铬的测定碱溶液提取-火焰原子吸收分光光度法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HJ1082-2019</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411"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铅、铜、镍</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土壤和沉积物铜、锌、铅、镍、铬的测定火焰原子吸收分光光度法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HJ491-2019</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铅:10mg/kg;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铜:1mg/kg;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spacing w:val="-20"/>
                <w:kern w:val="0"/>
                <w:szCs w:val="21"/>
                <w:highlight w:val="none"/>
              </w:rPr>
              <w:t>镍:3mg/kg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四氯化碳</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氯仿</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氯甲烷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1,1-二氯乙烷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4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1,2-二氯乙烷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顺-1,2-二氯乙烯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反-1,2-二氯乙烯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1.4μg/kg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二氯甲烷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1,2-二氯丙烷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1,1,1,2-四氯乙烷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1,1,2,2-四氯乙烷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四氯乙烯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1.4μg/kg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1,1,1-三氯乙烷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1,1,2-三氯乙烷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三氯乙烯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1,2,3-三氯丙烷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123"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1.9μg/kg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1,2-二氯苯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1,4-二氯苯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乙苯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间二甲苯+对二甲苯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邻二甲苯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硝基苯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0.09mg/kg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12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苯胺</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97"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2-氯酚</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0.06mg/kg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苯并[a]蒽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苯并[a]芘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苯并[b]荧蒽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0.2mg/kg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苯并[k]荧蒽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䓛</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二苯并[a，h]蒽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91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茚并[1,2,3-cd]芘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28"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0.09mg/kg</w:t>
            </w:r>
          </w:p>
        </w:tc>
      </w:tr>
      <w:bookmarkEnd w:id="214"/>
      <w:bookmarkEnd w:id="215"/>
      <w:bookmarkEnd w:id="216"/>
      <w:bookmarkEnd w:id="217"/>
    </w:tbl>
    <w:p>
      <w:pPr>
        <w:pStyle w:val="7"/>
        <w:bidi w:val="0"/>
        <w:rPr>
          <w:rFonts w:hint="eastAsia" w:ascii="宋体" w:hAnsi="宋体" w:eastAsia="宋体" w:cs="宋体"/>
          <w:b/>
          <w:bCs/>
          <w:kern w:val="2"/>
          <w:szCs w:val="32"/>
          <w:lang w:val="en-US" w:eastAsia="zh-CN" w:bidi="zh-CN"/>
        </w:rPr>
      </w:pPr>
      <w:bookmarkStart w:id="226" w:name="_Toc19180"/>
      <w:bookmarkStart w:id="227" w:name="_Toc25764"/>
      <w:bookmarkStart w:id="228" w:name="_Toc29919"/>
      <w:r>
        <w:rPr>
          <w:rFonts w:hint="eastAsia" w:ascii="宋体" w:hAnsi="宋体" w:eastAsia="宋体" w:cs="宋体"/>
          <w:lang w:val="en-US" w:eastAsia="zh-CN"/>
        </w:rPr>
        <w:t>8监测结果分析</w:t>
      </w:r>
      <w:bookmarkEnd w:id="226"/>
      <w:bookmarkEnd w:id="227"/>
      <w:bookmarkEnd w:id="228"/>
    </w:p>
    <w:p>
      <w:pPr>
        <w:keepNext/>
        <w:keepLines/>
        <w:widowControl w:val="0"/>
        <w:numPr>
          <w:ilvl w:val="0"/>
          <w:numId w:val="0"/>
        </w:numPr>
        <w:bidi w:val="0"/>
        <w:spacing w:before="120" w:after="120" w:line="520" w:lineRule="exact"/>
        <w:jc w:val="left"/>
        <w:outlineLvl w:val="1"/>
        <w:rPr>
          <w:rFonts w:hint="eastAsia" w:ascii="宋体" w:hAnsi="宋体" w:eastAsia="宋体" w:cs="宋体"/>
          <w:b/>
          <w:bCs/>
          <w:color w:val="auto"/>
          <w:kern w:val="2"/>
          <w:sz w:val="28"/>
          <w:szCs w:val="32"/>
          <w:highlight w:val="none"/>
          <w:lang w:val="en-US" w:eastAsia="zh-CN" w:bidi="ar-SA"/>
        </w:rPr>
      </w:pPr>
      <w:bookmarkStart w:id="229" w:name="_Toc7327"/>
      <w:bookmarkStart w:id="230" w:name="_Toc5110"/>
      <w:bookmarkStart w:id="231" w:name="_Toc22373"/>
      <w:r>
        <w:rPr>
          <w:rFonts w:hint="eastAsia" w:ascii="宋体" w:hAnsi="宋体" w:eastAsia="宋体" w:cs="宋体"/>
          <w:b/>
          <w:bCs/>
          <w:kern w:val="2"/>
          <w:sz w:val="28"/>
          <w:szCs w:val="32"/>
          <w:lang w:val="en-US" w:eastAsia="zh-CN" w:bidi="ar-SA"/>
        </w:rPr>
        <w:t>8.1</w:t>
      </w:r>
      <w:bookmarkEnd w:id="229"/>
      <w:bookmarkEnd w:id="230"/>
      <w:bookmarkStart w:id="232" w:name="_Toc14167"/>
      <w:bookmarkStart w:id="233" w:name="_Toc24379"/>
      <w:bookmarkStart w:id="234" w:name="_Toc26279"/>
      <w:bookmarkStart w:id="235" w:name="_Toc29801"/>
      <w:bookmarkStart w:id="236" w:name="_Toc23170"/>
      <w:r>
        <w:rPr>
          <w:rFonts w:hint="eastAsia" w:ascii="宋体" w:hAnsi="宋体" w:eastAsia="宋体" w:cs="宋体"/>
          <w:b/>
          <w:bCs/>
          <w:color w:val="auto"/>
          <w:kern w:val="2"/>
          <w:sz w:val="28"/>
          <w:szCs w:val="32"/>
          <w:highlight w:val="none"/>
          <w:lang w:val="en-US" w:eastAsia="zh-CN" w:bidi="ar-SA"/>
        </w:rPr>
        <w:t>执行及参考标准</w:t>
      </w:r>
      <w:bookmarkEnd w:id="231"/>
      <w:bookmarkEnd w:id="232"/>
      <w:bookmarkEnd w:id="233"/>
      <w:bookmarkEnd w:id="234"/>
      <w:bookmarkEnd w:id="235"/>
      <w:bookmarkEnd w:id="236"/>
    </w:p>
    <w:p>
      <w:pPr>
        <w:pStyle w:val="3"/>
        <w:pageBreakBefore w:val="0"/>
        <w:kinsoku/>
        <w:wordWrap/>
        <w:overflowPunct/>
        <w:topLinePunct w:val="0"/>
        <w:bidi w:val="0"/>
        <w:spacing w:line="360" w:lineRule="auto"/>
        <w:ind w:left="0" w:leftChars="0" w:right="0" w:firstLine="561"/>
        <w:rPr>
          <w:rFonts w:hint="eastAsia" w:ascii="宋体" w:hAnsi="宋体" w:eastAsia="宋体" w:cs="宋体"/>
          <w:color w:val="auto"/>
          <w:spacing w:val="0"/>
          <w:sz w:val="28"/>
          <w:szCs w:val="28"/>
          <w:highlight w:val="none"/>
        </w:rPr>
      </w:pPr>
      <w:bookmarkStart w:id="237" w:name="_Toc4373"/>
      <w:bookmarkStart w:id="238" w:name="_Toc25732"/>
      <w:bookmarkStart w:id="239" w:name="_Toc28218"/>
      <w:bookmarkStart w:id="240" w:name="_Toc21438"/>
      <w:r>
        <w:rPr>
          <w:rFonts w:hint="eastAsia" w:ascii="宋体" w:hAnsi="宋体" w:eastAsia="宋体" w:cs="宋体"/>
          <w:color w:val="auto"/>
          <w:spacing w:val="0"/>
          <w:sz w:val="28"/>
          <w:szCs w:val="28"/>
          <w:highlight w:val="none"/>
        </w:rPr>
        <w:t>对所采集的土壤样品监测数据进行汇总、统计、分析，分析结果对比《土壤环境质量建设用地土壤污染风险管控标准》（试行）（GB36600-2018）标准，《土壤环境质量农用地土壤污染风险管控标准》（试行）（GB</w:t>
      </w:r>
      <w:r>
        <w:rPr>
          <w:rFonts w:hint="eastAsia" w:ascii="宋体" w:hAnsi="宋体" w:eastAsia="宋体" w:cs="宋体"/>
          <w:color w:val="auto"/>
          <w:spacing w:val="0"/>
          <w:sz w:val="28"/>
          <w:szCs w:val="28"/>
          <w:highlight w:val="none"/>
          <w:lang w:val="en-US"/>
        </w:rPr>
        <w:t>15618</w:t>
      </w:r>
      <w:r>
        <w:rPr>
          <w:rFonts w:hint="eastAsia" w:ascii="宋体" w:hAnsi="宋体" w:eastAsia="宋体" w:cs="宋体"/>
          <w:color w:val="auto"/>
          <w:spacing w:val="0"/>
          <w:sz w:val="28"/>
          <w:szCs w:val="28"/>
          <w:highlight w:val="none"/>
        </w:rPr>
        <w:t>-2018）标准，</w:t>
      </w:r>
      <w:r>
        <w:rPr>
          <w:rFonts w:hint="eastAsia" w:ascii="宋体" w:hAnsi="宋体" w:eastAsia="宋体" w:cs="宋体"/>
          <w:color w:val="auto"/>
          <w:spacing w:val="0"/>
          <w:sz w:val="28"/>
          <w:szCs w:val="28"/>
          <w:highlight w:val="none"/>
          <w:lang w:eastAsia="zh-CN"/>
        </w:rPr>
        <w:t>以上两项</w:t>
      </w:r>
      <w:r>
        <w:rPr>
          <w:rFonts w:hint="eastAsia" w:ascii="宋体" w:hAnsi="宋体" w:eastAsia="宋体" w:cs="宋体"/>
          <w:color w:val="auto"/>
          <w:spacing w:val="0"/>
          <w:sz w:val="28"/>
          <w:szCs w:val="28"/>
          <w:highlight w:val="none"/>
        </w:rPr>
        <w:t>标准中没有的项目参考《场地土壤环境风险评价筛选值》（北京市地方标准DB11/T811-2011），评价</w:t>
      </w:r>
      <w:r>
        <w:rPr>
          <w:rFonts w:hint="eastAsia" w:ascii="宋体" w:hAnsi="宋体" w:eastAsia="宋体" w:cs="宋体"/>
          <w:color w:val="auto"/>
          <w:spacing w:val="0"/>
          <w:sz w:val="28"/>
          <w:szCs w:val="28"/>
          <w:highlight w:val="none"/>
          <w:lang w:eastAsia="zh-CN"/>
        </w:rPr>
        <w:t>河南德利新能源材料有限公司</w:t>
      </w:r>
      <w:r>
        <w:rPr>
          <w:rFonts w:hint="eastAsia" w:ascii="宋体" w:hAnsi="宋体" w:eastAsia="宋体" w:cs="宋体"/>
          <w:color w:val="auto"/>
          <w:spacing w:val="0"/>
          <w:sz w:val="28"/>
          <w:szCs w:val="28"/>
          <w:highlight w:val="none"/>
        </w:rPr>
        <w:t>土壤质量情况符合建设用地的筛选值或管制值，或是超管制值。项目涉及的特征因子中，以上两项标准均无标准值的，仅作分析测试，结果保存用于之后土壤自行监测结果的的对比参考值。</w:t>
      </w:r>
    </w:p>
    <w:p>
      <w:pPr>
        <w:pStyle w:val="3"/>
        <w:pageBreakBefore w:val="0"/>
        <w:kinsoku/>
        <w:wordWrap/>
        <w:overflowPunct/>
        <w:topLinePunct w:val="0"/>
        <w:bidi w:val="0"/>
        <w:spacing w:line="360" w:lineRule="auto"/>
        <w:ind w:left="0" w:leftChars="0" w:right="0" w:firstLine="537"/>
        <w:rPr>
          <w:rFonts w:hint="eastAsia" w:ascii="宋体" w:hAnsi="宋体" w:eastAsia="宋体" w:cs="宋体"/>
          <w:b/>
          <w:color w:val="auto"/>
          <w:spacing w:val="-32"/>
          <w:sz w:val="28"/>
          <w:szCs w:val="28"/>
          <w:highlight w:val="none"/>
          <w:lang w:val="en-US" w:eastAsia="zh-CN"/>
        </w:rPr>
      </w:pPr>
      <w:r>
        <w:rPr>
          <w:rFonts w:hint="eastAsia" w:ascii="宋体" w:hAnsi="宋体" w:eastAsia="宋体" w:cs="宋体"/>
          <w:color w:val="auto"/>
          <w:spacing w:val="0"/>
          <w:sz w:val="28"/>
          <w:szCs w:val="28"/>
          <w:highlight w:val="none"/>
        </w:rPr>
        <w:t>建设用地土壤监测因子执行的《土壤环境质量建设用地土壤污染风险管控标准》（试行）（GB36600-2018）标准筛选值及管制值见表</w:t>
      </w:r>
      <w:r>
        <w:rPr>
          <w:rFonts w:hint="eastAsia" w:ascii="宋体" w:hAnsi="宋体" w:eastAsia="宋体" w:cs="宋体"/>
          <w:color w:val="auto"/>
          <w:spacing w:val="0"/>
          <w:sz w:val="28"/>
          <w:szCs w:val="28"/>
          <w:highlight w:val="none"/>
          <w:lang w:val="en-US" w:eastAsia="zh-CN"/>
        </w:rPr>
        <w:t>7</w:t>
      </w:r>
      <w:r>
        <w:rPr>
          <w:rFonts w:hint="eastAsia" w:ascii="宋体" w:hAnsi="宋体" w:eastAsia="宋体" w:cs="宋体"/>
          <w:color w:val="auto"/>
          <w:spacing w:val="0"/>
          <w:sz w:val="28"/>
          <w:szCs w:val="28"/>
          <w:highlight w:val="none"/>
        </w:rPr>
        <w:t>，农用地土壤监测因子执行的《土壤环境质量农用地土壤污染风险管控标准》（试行）（GB15618-2018）标准筛选值及管制值见表</w:t>
      </w:r>
      <w:r>
        <w:rPr>
          <w:rFonts w:hint="eastAsia" w:ascii="宋体" w:hAnsi="宋体" w:eastAsia="宋体" w:cs="宋体"/>
          <w:color w:val="auto"/>
          <w:spacing w:val="0"/>
          <w:sz w:val="28"/>
          <w:szCs w:val="28"/>
          <w:highlight w:val="none"/>
          <w:lang w:val="en-US" w:eastAsia="zh-CN"/>
        </w:rPr>
        <w:t>8-1</w:t>
      </w:r>
      <w:r>
        <w:rPr>
          <w:rFonts w:hint="eastAsia" w:ascii="宋体" w:hAnsi="宋体" w:eastAsia="宋体" w:cs="宋体"/>
          <w:color w:val="auto"/>
          <w:spacing w:val="0"/>
          <w:sz w:val="28"/>
          <w:szCs w:val="28"/>
          <w:highlight w:val="none"/>
        </w:rPr>
        <w:t>，《场地土壤环境风险评价筛选值》（北京市地方标准DB11/T811-2011）见表</w:t>
      </w:r>
      <w:r>
        <w:rPr>
          <w:rFonts w:hint="eastAsia" w:ascii="宋体" w:hAnsi="宋体" w:eastAsia="宋体" w:cs="宋体"/>
          <w:color w:val="auto"/>
          <w:spacing w:val="0"/>
          <w:sz w:val="28"/>
          <w:szCs w:val="28"/>
          <w:highlight w:val="none"/>
          <w:lang w:val="en-US" w:eastAsia="zh-CN"/>
        </w:rPr>
        <w:t>8-2</w:t>
      </w:r>
      <w:r>
        <w:rPr>
          <w:rFonts w:hint="eastAsia" w:ascii="宋体" w:hAnsi="宋体" w:eastAsia="宋体" w:cs="宋体"/>
          <w:color w:val="auto"/>
          <w:spacing w:val="0"/>
          <w:sz w:val="28"/>
          <w:szCs w:val="28"/>
          <w:highlight w:val="none"/>
        </w:rPr>
        <w:t>。</w:t>
      </w:r>
      <w:r>
        <w:rPr>
          <w:rFonts w:hint="eastAsia" w:ascii="宋体" w:hAnsi="宋体" w:eastAsia="宋体" w:cs="宋体"/>
          <w:color w:val="auto"/>
          <w:spacing w:val="0"/>
          <w:sz w:val="28"/>
          <w:szCs w:val="28"/>
          <w:highlight w:val="none"/>
          <w:lang w:val="en-US" w:eastAsia="zh-CN"/>
        </w:rPr>
        <w:t>河南德利新能源材料有限公司土壤监测数据均符合以上标准限值要求。</w:t>
      </w:r>
    </w:p>
    <w:p>
      <w:pPr>
        <w:rPr>
          <w:rFonts w:hint="eastAsia" w:ascii="宋体" w:hAnsi="宋体" w:eastAsia="宋体" w:cs="宋体"/>
          <w:b/>
          <w:color w:val="auto"/>
          <w:spacing w:val="-32"/>
          <w:sz w:val="28"/>
          <w:szCs w:val="28"/>
          <w:highlight w:val="none"/>
        </w:rPr>
      </w:pPr>
      <w:r>
        <w:rPr>
          <w:rFonts w:hint="eastAsia" w:ascii="宋体" w:hAnsi="宋体" w:eastAsia="宋体" w:cs="宋体"/>
          <w:b/>
          <w:color w:val="auto"/>
          <w:spacing w:val="-32"/>
          <w:sz w:val="28"/>
          <w:szCs w:val="28"/>
          <w:highlight w:val="none"/>
        </w:rPr>
        <w:br w:type="page"/>
      </w:r>
    </w:p>
    <w:p>
      <w:pPr>
        <w:pageBreakBefore w:val="0"/>
        <w:kinsoku/>
        <w:wordWrap/>
        <w:overflowPunct/>
        <w:topLinePunct w:val="0"/>
        <w:bidi w:val="0"/>
        <w:spacing w:line="360" w:lineRule="auto"/>
        <w:ind w:left="0" w:leftChars="0" w:right="0"/>
        <w:jc w:val="center"/>
        <w:rPr>
          <w:rFonts w:hint="eastAsia" w:ascii="宋体" w:hAnsi="宋体" w:eastAsia="宋体" w:cs="宋体"/>
          <w:b/>
          <w:color w:val="auto"/>
          <w:spacing w:val="-2"/>
          <w:sz w:val="28"/>
          <w:szCs w:val="28"/>
          <w:highlight w:val="none"/>
        </w:rPr>
      </w:pPr>
      <w:r>
        <w:rPr>
          <w:rFonts w:hint="eastAsia" w:ascii="宋体" w:hAnsi="宋体" w:eastAsia="宋体" w:cs="宋体"/>
          <w:b/>
          <w:color w:val="auto"/>
          <w:spacing w:val="-32"/>
          <w:sz w:val="28"/>
          <w:szCs w:val="28"/>
          <w:highlight w:val="none"/>
        </w:rPr>
        <w:t>表</w:t>
      </w:r>
      <w:r>
        <w:rPr>
          <w:rFonts w:hint="eastAsia" w:ascii="宋体" w:hAnsi="宋体" w:eastAsia="宋体" w:cs="宋体"/>
          <w:b/>
          <w:color w:val="auto"/>
          <w:sz w:val="28"/>
          <w:szCs w:val="28"/>
          <w:highlight w:val="none"/>
          <w:lang w:val="en-US" w:eastAsia="zh-CN"/>
        </w:rPr>
        <w:t xml:space="preserve">8-1  </w:t>
      </w:r>
      <w:r>
        <w:rPr>
          <w:rFonts w:hint="eastAsia" w:ascii="宋体" w:hAnsi="宋体" w:eastAsia="宋体" w:cs="宋体"/>
          <w:b/>
          <w:color w:val="auto"/>
          <w:spacing w:val="-2"/>
          <w:sz w:val="28"/>
          <w:szCs w:val="28"/>
          <w:highlight w:val="none"/>
        </w:rPr>
        <w:t>建设用地土壤污染风险筛选值和管制值</w:t>
      </w:r>
    </w:p>
    <w:p>
      <w:pPr>
        <w:pageBreakBefore w:val="0"/>
        <w:kinsoku/>
        <w:wordWrap/>
        <w:overflowPunct/>
        <w:topLinePunct w:val="0"/>
        <w:bidi w:val="0"/>
        <w:spacing w:line="240" w:lineRule="auto"/>
        <w:ind w:left="0" w:leftChars="0" w:right="0"/>
        <w:jc w:val="center"/>
        <w:rPr>
          <w:rFonts w:hint="eastAsia" w:ascii="宋体" w:hAnsi="宋体" w:eastAsia="宋体" w:cs="宋体"/>
          <w:bCs/>
          <w:color w:val="auto"/>
          <w:sz w:val="24"/>
          <w:highlight w:val="none"/>
        </w:rPr>
      </w:pPr>
      <w:r>
        <w:rPr>
          <w:rFonts w:hint="eastAsia" w:ascii="宋体" w:hAnsi="宋体" w:eastAsia="宋体" w:cs="宋体"/>
          <w:bCs/>
          <w:color w:val="auto"/>
          <w:spacing w:val="-2"/>
          <w:sz w:val="24"/>
          <w:highlight w:val="none"/>
        </w:rPr>
        <w:t>单位：mg/kg</w:t>
      </w:r>
    </w:p>
    <w:tbl>
      <w:tblPr>
        <w:tblStyle w:val="19"/>
        <w:tblW w:w="91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1754"/>
        <w:gridCol w:w="1453"/>
        <w:gridCol w:w="1146"/>
        <w:gridCol w:w="1362"/>
        <w:gridCol w:w="1310"/>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序号</w:t>
            </w:r>
          </w:p>
        </w:tc>
        <w:tc>
          <w:tcPr>
            <w:tcW w:w="1754"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污染物项目</w:t>
            </w:r>
          </w:p>
        </w:tc>
        <w:tc>
          <w:tcPr>
            <w:tcW w:w="1453"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CAS编号</w:t>
            </w:r>
          </w:p>
        </w:tc>
        <w:tc>
          <w:tcPr>
            <w:tcW w:w="2508" w:type="dxa"/>
            <w:gridSpan w:val="2"/>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筛选值</w:t>
            </w:r>
          </w:p>
        </w:tc>
        <w:tc>
          <w:tcPr>
            <w:tcW w:w="2671" w:type="dxa"/>
            <w:gridSpan w:val="2"/>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管制值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752"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754"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453"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第一类用地</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第二类用地</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第一类用地</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第二类用地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重金属和无机物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铜</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7440-50-8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18000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铅</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7439-92-1</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镉</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7440-43-9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47</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镍</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7440-02-0</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汞</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7439-97-6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7440-38-2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铬（六价）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18540-29-9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半挥发性有机物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2-氯酚</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95-57-8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2256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硝基苯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98-95-3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91-20-3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苯并[a]蒽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56-55-3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䓛</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218-01-9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490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1293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4900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苯并(b)荧蒽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205-99-2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苯并(k)荧蒽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207-08-9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苯并(a)芘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50-32-8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茚并(1,2,3-cd)芘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193-39-5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二苯并(a,h)蒽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53-70-3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苯胺</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62-53-3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71-43-2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108-88-3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108-90-7</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68</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乙苯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100-41-4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72</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邻二甲苯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95-47-6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1，4-二氯苯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106-46-7</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95-50-1</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间二甲苯+对二甲苯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108-38-3,106-42-3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氯甲烷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74-87-3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二氯甲烷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75-09-2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94</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616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1，1-二氯乙烷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75-34-3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1，1，1-三氯乙烷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71-55-6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107-06-2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78-87-5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1，1，2-三氯乙烷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79-00-5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1，1，1，2-四氯乙烷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630-20-6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1，1，2，2-四氯乙烷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79-34-5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1，2，3-三氯丙烷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96-18-4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0.05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75-01-4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0.12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0.43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79-01-6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0.7</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127-18-4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反-1,2-二氯乙烯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156-60-5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54</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顺-1,2-二氯乙烯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156-59-2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596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75-34-3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氯仿</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67-66-3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四氯化碳</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56-23-5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0.9</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w:t>
            </w:r>
          </w:p>
        </w:tc>
      </w:tr>
    </w:tbl>
    <w:p>
      <w:pPr>
        <w:pStyle w:val="3"/>
        <w:pageBreakBefore w:val="0"/>
        <w:kinsoku/>
        <w:wordWrap/>
        <w:overflowPunct/>
        <w:topLinePunct w:val="0"/>
        <w:bidi w:val="0"/>
        <w:spacing w:line="240" w:lineRule="auto"/>
        <w:ind w:left="0" w:leftChars="0" w:right="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8-2</w:t>
      </w:r>
      <w:r>
        <w:rPr>
          <w:rFonts w:hint="eastAsia" w:ascii="宋体" w:hAnsi="宋体" w:eastAsia="宋体" w:cs="宋体"/>
          <w:b/>
          <w:bCs/>
          <w:color w:val="auto"/>
          <w:sz w:val="28"/>
          <w:szCs w:val="28"/>
          <w:highlight w:val="none"/>
        </w:rPr>
        <w:t>农用地土壤污染风险筛选值</w:t>
      </w:r>
    </w:p>
    <w:tbl>
      <w:tblPr>
        <w:tblStyle w:val="20"/>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995"/>
        <w:gridCol w:w="1937"/>
        <w:gridCol w:w="1310"/>
        <w:gridCol w:w="131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995"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污染物项目</w:t>
            </w:r>
          </w:p>
        </w:tc>
        <w:tc>
          <w:tcPr>
            <w:tcW w:w="5874" w:type="dxa"/>
            <w:gridSpan w:val="4"/>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1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p>
        </w:tc>
        <w:tc>
          <w:tcPr>
            <w:tcW w:w="1995"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pH≤5.5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5.5&lt;</w:t>
            </w:r>
            <w:r>
              <w:rPr>
                <w:rFonts w:hint="eastAsia" w:ascii="宋体" w:hAnsi="宋体" w:eastAsia="宋体" w:cs="宋体"/>
                <w:bCs/>
                <w:color w:val="auto"/>
                <w:sz w:val="21"/>
                <w:szCs w:val="21"/>
                <w:highlight w:val="none"/>
                <w:lang w:val="en-US" w:eastAsia="zh-CN"/>
              </w:rPr>
              <w:t>pH≤</w:t>
            </w:r>
            <w:r>
              <w:rPr>
                <w:rFonts w:hint="eastAsia" w:ascii="宋体" w:hAnsi="宋体" w:eastAsia="宋体" w:cs="宋体"/>
                <w:bCs/>
                <w:color w:val="auto"/>
                <w:sz w:val="21"/>
                <w:szCs w:val="21"/>
                <w:highlight w:val="none"/>
                <w:lang w:eastAsia="zh-CN"/>
              </w:rPr>
              <w:t>6</w:t>
            </w:r>
            <w:r>
              <w:rPr>
                <w:rFonts w:hint="eastAsia" w:ascii="宋体" w:hAnsi="宋体" w:eastAsia="宋体" w:cs="宋体"/>
                <w:bCs/>
                <w:color w:val="auto"/>
                <w:sz w:val="21"/>
                <w:szCs w:val="21"/>
                <w:highlight w:val="none"/>
                <w:lang w:val="en-US" w:eastAsia="zh-CN"/>
              </w:rPr>
              <w:t>.5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6</w:t>
            </w:r>
            <w:r>
              <w:rPr>
                <w:rFonts w:hint="eastAsia" w:ascii="宋体" w:hAnsi="宋体" w:eastAsia="宋体" w:cs="宋体"/>
                <w:bCs/>
                <w:color w:val="auto"/>
                <w:sz w:val="21"/>
                <w:szCs w:val="21"/>
                <w:highlight w:val="none"/>
                <w:lang w:val="en-US" w:eastAsia="zh-CN"/>
              </w:rPr>
              <w:t>.5&lt;pH≤</w:t>
            </w:r>
            <w:r>
              <w:rPr>
                <w:rFonts w:hint="eastAsia" w:ascii="宋体" w:hAnsi="宋体" w:eastAsia="宋体" w:cs="宋体"/>
                <w:bCs/>
                <w:color w:val="auto"/>
                <w:sz w:val="21"/>
                <w:szCs w:val="21"/>
                <w:highlight w:val="none"/>
                <w:lang w:eastAsia="zh-CN"/>
              </w:rPr>
              <w:t>7</w:t>
            </w:r>
            <w:r>
              <w:rPr>
                <w:rFonts w:hint="eastAsia" w:ascii="宋体" w:hAnsi="宋体" w:eastAsia="宋体" w:cs="宋体"/>
                <w:bCs/>
                <w:color w:val="auto"/>
                <w:sz w:val="21"/>
                <w:szCs w:val="21"/>
                <w:highlight w:val="none"/>
                <w:lang w:val="en-US" w:eastAsia="zh-CN"/>
              </w:rPr>
              <w:t>.5</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pH</w:t>
            </w:r>
            <w:r>
              <w:rPr>
                <w:rFonts w:hint="eastAsia" w:ascii="宋体" w:hAnsi="宋体" w:eastAsia="宋体" w:cs="宋体"/>
                <w:bCs/>
                <w:color w:val="auto"/>
                <w:sz w:val="21"/>
                <w:szCs w:val="21"/>
                <w:highlight w:val="none"/>
                <w:lang w:eastAsia="zh-CN"/>
              </w:rPr>
              <w:t>&gt;7</w:t>
            </w:r>
            <w:r>
              <w:rPr>
                <w:rFonts w:hint="eastAsia" w:ascii="宋体" w:hAns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镉</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0.3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汞</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砷</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铅</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铬</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铜</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镍</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锌</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179" w:type="dxa"/>
            <w:gridSpan w:val="6"/>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注：重金属和类金属砷均按元素总量计。</w:t>
            </w:r>
          </w:p>
        </w:tc>
      </w:tr>
    </w:tbl>
    <w:p>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pStyle w:val="3"/>
        <w:pageBreakBefore w:val="0"/>
        <w:kinsoku/>
        <w:wordWrap/>
        <w:overflowPunct/>
        <w:topLinePunct w:val="0"/>
        <w:bidi w:val="0"/>
        <w:spacing w:line="240" w:lineRule="auto"/>
        <w:ind w:left="0" w:leftChars="0" w:right="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8-3</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t>场地土壤环境风险评价筛选值单位：mg/kg</w:t>
      </w:r>
    </w:p>
    <w:tbl>
      <w:tblPr>
        <w:tblStyle w:val="19"/>
        <w:tblW w:w="89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0"/>
        <w:gridCol w:w="1111"/>
        <w:gridCol w:w="1987"/>
        <w:gridCol w:w="2049"/>
        <w:gridCol w:w="26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jc w:val="center"/>
        </w:trPr>
        <w:tc>
          <w:tcPr>
            <w:tcW w:w="1150" w:type="dxa"/>
            <w:tcBorders>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111"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w:t>
            </w:r>
          </w:p>
        </w:tc>
        <w:tc>
          <w:tcPr>
            <w:tcW w:w="1987"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住宅用地</w:t>
            </w:r>
          </w:p>
        </w:tc>
        <w:tc>
          <w:tcPr>
            <w:tcW w:w="2049"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公园与绿地</w:t>
            </w:r>
          </w:p>
        </w:tc>
        <w:tc>
          <w:tcPr>
            <w:tcW w:w="2641" w:type="dxa"/>
            <w:tcBorders>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工业/商服用地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jc w:val="center"/>
        </w:trPr>
        <w:tc>
          <w:tcPr>
            <w:tcW w:w="8938" w:type="dxa"/>
            <w:gridSpan w:val="5"/>
            <w:tcBorders>
              <w:top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无机污染物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jc w:val="center"/>
        </w:trPr>
        <w:tc>
          <w:tcPr>
            <w:tcW w:w="1150" w:type="dxa"/>
            <w:tcBorders>
              <w:top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111"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氟化物</w:t>
            </w:r>
          </w:p>
        </w:tc>
        <w:tc>
          <w:tcPr>
            <w:tcW w:w="1987"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650</w:t>
            </w:r>
          </w:p>
        </w:tc>
        <w:tc>
          <w:tcPr>
            <w:tcW w:w="2049"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650</w:t>
            </w:r>
          </w:p>
        </w:tc>
        <w:tc>
          <w:tcPr>
            <w:tcW w:w="2641" w:type="dxa"/>
            <w:tcBorders>
              <w:top w:val="single" w:color="000000" w:sz="6" w:space="0"/>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jc w:val="center"/>
        </w:trPr>
        <w:tc>
          <w:tcPr>
            <w:tcW w:w="1150" w:type="dxa"/>
            <w:tcBorders>
              <w:top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bookmarkStart w:id="241" w:name="_Toc53736373"/>
            <w:bookmarkStart w:id="242" w:name="_Toc27438"/>
            <w:bookmarkStart w:id="243" w:name="_Toc31571"/>
            <w:r>
              <w:rPr>
                <w:rFonts w:hint="eastAsia" w:ascii="宋体" w:hAnsi="宋体" w:eastAsia="宋体" w:cs="宋体"/>
                <w:bCs/>
                <w:color w:val="auto"/>
                <w:sz w:val="21"/>
                <w:szCs w:val="21"/>
                <w:highlight w:val="none"/>
                <w:lang w:val="en-US" w:eastAsia="zh-CN"/>
              </w:rPr>
              <w:t>2</w:t>
            </w:r>
          </w:p>
        </w:tc>
        <w:tc>
          <w:tcPr>
            <w:tcW w:w="1111"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zh-CN" w:eastAsia="zh-CN" w:bidi="zh-CN"/>
              </w:rPr>
            </w:pPr>
            <w:r>
              <w:rPr>
                <w:rFonts w:hint="eastAsia" w:ascii="宋体" w:hAnsi="宋体" w:eastAsia="宋体" w:cs="宋体"/>
                <w:bCs/>
                <w:color w:val="auto"/>
                <w:sz w:val="21"/>
                <w:szCs w:val="21"/>
                <w:highlight w:val="none"/>
              </w:rPr>
              <w:t>锌</w:t>
            </w:r>
          </w:p>
        </w:tc>
        <w:tc>
          <w:tcPr>
            <w:tcW w:w="1987"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3500</w:t>
            </w:r>
          </w:p>
        </w:tc>
        <w:tc>
          <w:tcPr>
            <w:tcW w:w="2049"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5000</w:t>
            </w:r>
          </w:p>
        </w:tc>
        <w:tc>
          <w:tcPr>
            <w:tcW w:w="2641" w:type="dxa"/>
            <w:tcBorders>
              <w:top w:val="single" w:color="000000" w:sz="6" w:space="0"/>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10000</w:t>
            </w:r>
          </w:p>
        </w:tc>
      </w:tr>
    </w:tbl>
    <w:p>
      <w:pPr>
        <w:pageBreakBefore w:val="0"/>
        <w:kinsoku/>
        <w:wordWrap/>
        <w:overflowPunct/>
        <w:topLinePunct w:val="0"/>
        <w:autoSpaceDE/>
        <w:autoSpaceDN/>
        <w:bidi w:val="0"/>
        <w:spacing w:line="240" w:lineRule="auto"/>
        <w:ind w:left="0" w:leftChars="0" w:right="0" w:firstLine="0" w:firstLineChars="0"/>
        <w:jc w:val="both"/>
        <w:textAlignment w:val="auto"/>
        <w:outlineLvl w:val="9"/>
        <w:rPr>
          <w:rFonts w:hint="eastAsia" w:ascii="宋体" w:hAnsi="宋体" w:eastAsia="宋体" w:cs="宋体"/>
          <w:color w:val="auto"/>
          <w:highlight w:val="none"/>
          <w:lang w:val="en-US" w:eastAsia="zh-CN"/>
        </w:rPr>
      </w:pPr>
    </w:p>
    <w:bookmarkEnd w:id="241"/>
    <w:bookmarkEnd w:id="242"/>
    <w:bookmarkEnd w:id="243"/>
    <w:p>
      <w:pPr>
        <w:keepNext/>
        <w:keepLines/>
        <w:pageBreakBefore w:val="0"/>
        <w:kinsoku/>
        <w:wordWrap/>
        <w:overflowPunct/>
        <w:topLinePunct w:val="0"/>
        <w:bidi w:val="0"/>
        <w:snapToGrid w:val="0"/>
        <w:spacing w:line="240" w:lineRule="auto"/>
        <w:ind w:left="0" w:leftChars="0" w:right="0"/>
        <w:jc w:val="center"/>
        <w:rPr>
          <w:rFonts w:hint="eastAsia" w:ascii="宋体" w:hAnsi="宋体" w:eastAsia="宋体" w:cs="宋体"/>
          <w:b/>
          <w:bCs/>
          <w:color w:val="auto"/>
          <w:sz w:val="28"/>
          <w:szCs w:val="28"/>
          <w:highlight w:val="none"/>
        </w:rPr>
      </w:pPr>
      <w:bookmarkStart w:id="244" w:name="_Toc5706"/>
      <w:bookmarkStart w:id="245" w:name="_Toc31982"/>
      <w:bookmarkStart w:id="246" w:name="_Toc12882"/>
      <w:bookmarkStart w:id="247" w:name="_Toc30694"/>
      <w:bookmarkStart w:id="248" w:name="_Toc28980"/>
      <w:bookmarkStart w:id="249" w:name="_Toc9907"/>
      <w:bookmarkStart w:id="250" w:name="_Toc53736374"/>
      <w:bookmarkStart w:id="251" w:name="_Toc2740"/>
      <w:bookmarkStart w:id="252" w:name="_Toc21237"/>
      <w:bookmarkStart w:id="253" w:name="_Toc5297"/>
      <w:r>
        <w:rPr>
          <w:rFonts w:hint="eastAsia" w:ascii="宋体" w:hAnsi="宋体" w:eastAsia="宋体" w:cs="宋体"/>
          <w:b/>
          <w:bCs/>
          <w:color w:val="auto"/>
          <w:sz w:val="28"/>
          <w:szCs w:val="28"/>
          <w:highlight w:val="none"/>
          <w:lang w:val="en-US" w:eastAsia="zh-CN"/>
        </w:rPr>
        <w:t>表8-4土壤采样点位及</w:t>
      </w:r>
      <w:r>
        <w:rPr>
          <w:rFonts w:hint="eastAsia" w:ascii="宋体" w:hAnsi="宋体" w:eastAsia="宋体" w:cs="宋体"/>
          <w:b/>
          <w:bCs/>
          <w:color w:val="auto"/>
          <w:sz w:val="28"/>
          <w:szCs w:val="28"/>
          <w:highlight w:val="none"/>
        </w:rPr>
        <w:t>样品信息</w:t>
      </w:r>
    </w:p>
    <w:tbl>
      <w:tblPr>
        <w:tblStyle w:val="19"/>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591"/>
        <w:gridCol w:w="1738"/>
        <w:gridCol w:w="2490"/>
        <w:gridCol w:w="2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blHeader/>
          <w:jc w:val="center"/>
        </w:trPr>
        <w:tc>
          <w:tcPr>
            <w:tcW w:w="3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类别</w:t>
            </w:r>
          </w:p>
        </w:tc>
        <w:tc>
          <w:tcPr>
            <w:tcW w:w="86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采样点位</w:t>
            </w:r>
          </w:p>
        </w:tc>
        <w:tc>
          <w:tcPr>
            <w:tcW w:w="94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监测日期</w:t>
            </w:r>
          </w:p>
        </w:tc>
        <w:tc>
          <w:tcPr>
            <w:tcW w:w="135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采样点位坐标</w:t>
            </w:r>
          </w:p>
        </w:tc>
        <w:tc>
          <w:tcPr>
            <w:tcW w:w="144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样品状态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8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土壤</w:t>
            </w:r>
          </w:p>
        </w:tc>
        <w:tc>
          <w:tcPr>
            <w:tcW w:w="866" w:type="pct"/>
            <w:tcBorders>
              <w:tl2br w:val="nil"/>
              <w:tr2bl w:val="nil"/>
            </w:tcBorders>
            <w:noWrap w:val="0"/>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消防水池、循环水池</w:t>
            </w:r>
          </w:p>
        </w:tc>
        <w:tc>
          <w:tcPr>
            <w:tcW w:w="9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2023年6月18日</w:t>
            </w:r>
          </w:p>
        </w:tc>
        <w:tc>
          <w:tcPr>
            <w:tcW w:w="1356"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N：34°40'36.881''</w:t>
            </w:r>
          </w:p>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E：111°35'12.959''</w:t>
            </w:r>
          </w:p>
        </w:tc>
        <w:tc>
          <w:tcPr>
            <w:tcW w:w="14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bookmarkEnd w:id="244"/>
      <w:bookmarkEnd w:id="245"/>
      <w:bookmarkEnd w:id="246"/>
      <w:bookmarkEnd w:id="247"/>
      <w:bookmarkEnd w:id="248"/>
      <w:bookmarkEnd w:id="249"/>
      <w:bookmarkEnd w:id="250"/>
      <w:bookmarkEnd w:id="251"/>
      <w:bookmarkEnd w:id="252"/>
      <w:bookmarkEnd w:id="2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87" w:type="pct"/>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锅炉房、调节池</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2023年6月18日</w:t>
            </w:r>
          </w:p>
        </w:tc>
        <w:tc>
          <w:tcPr>
            <w:tcW w:w="135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N：34°40'36.198''  E：111°35'14.620''</w:t>
            </w:r>
          </w:p>
        </w:tc>
        <w:tc>
          <w:tcPr>
            <w:tcW w:w="1442" w:type="pct"/>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87" w:type="pct"/>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事故水池</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2023年6月18日</w:t>
            </w:r>
          </w:p>
        </w:tc>
        <w:tc>
          <w:tcPr>
            <w:tcW w:w="135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N：34°40'34.658''  E：111°35'18.231''</w:t>
            </w:r>
          </w:p>
        </w:tc>
        <w:tc>
          <w:tcPr>
            <w:tcW w:w="1442" w:type="pct"/>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87" w:type="pct"/>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主装置区、RCO</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2023年6月18日</w:t>
            </w:r>
          </w:p>
        </w:tc>
        <w:tc>
          <w:tcPr>
            <w:tcW w:w="135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N：34°40'35.087''  E：111°35'11.434''</w:t>
            </w:r>
          </w:p>
        </w:tc>
        <w:tc>
          <w:tcPr>
            <w:tcW w:w="1442" w:type="pct"/>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87" w:type="pct"/>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储罐区、装载区</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2023年6月18日</w:t>
            </w:r>
          </w:p>
        </w:tc>
        <w:tc>
          <w:tcPr>
            <w:tcW w:w="135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N：34°40'33.800''  E：111°35'10.275''</w:t>
            </w:r>
          </w:p>
        </w:tc>
        <w:tc>
          <w:tcPr>
            <w:tcW w:w="1442" w:type="pct"/>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0" w:type="auto"/>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u w:val="none"/>
              </w:rPr>
              <w:t>土壤背景监测点</w:t>
            </w:r>
          </w:p>
        </w:tc>
        <w:tc>
          <w:tcPr>
            <w:tcW w:w="0" w:type="auto"/>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2023年6月18日</w:t>
            </w:r>
          </w:p>
        </w:tc>
        <w:tc>
          <w:tcPr>
            <w:tcW w:w="135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N：34°40'38.311''  E：111°35'10.970''</w:t>
            </w:r>
          </w:p>
        </w:tc>
        <w:tc>
          <w:tcPr>
            <w:tcW w:w="1442" w:type="pct"/>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54" w:name="_Toc13650"/>
      <w:r>
        <w:rPr>
          <w:rFonts w:hint="eastAsia" w:ascii="宋体" w:hAnsi="宋体" w:eastAsia="宋体" w:cs="宋体"/>
          <w:b/>
          <w:bCs/>
          <w:kern w:val="2"/>
          <w:sz w:val="28"/>
          <w:szCs w:val="32"/>
          <w:lang w:val="en-US" w:eastAsia="zh-CN" w:bidi="ar-SA"/>
        </w:rPr>
        <w:t>8.2监测结果</w:t>
      </w:r>
      <w:bookmarkEnd w:id="237"/>
      <w:bookmarkEnd w:id="238"/>
      <w:bookmarkEnd w:id="239"/>
      <w:bookmarkEnd w:id="240"/>
      <w:bookmarkEnd w:id="254"/>
    </w:p>
    <w:p>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jc w:val="left"/>
        <w:textAlignment w:val="auto"/>
        <w:rPr>
          <w:rFonts w:hint="eastAsia" w:ascii="宋体" w:hAnsi="宋体" w:eastAsia="宋体" w:cs="宋体"/>
          <w:color w:val="auto"/>
          <w:kern w:val="2"/>
          <w:sz w:val="28"/>
          <w:szCs w:val="28"/>
          <w:highlight w:val="none"/>
          <w:lang w:val="zh-CN" w:eastAsia="zh-CN" w:bidi="zh-CN"/>
        </w:rPr>
      </w:pPr>
      <w:r>
        <w:rPr>
          <w:rFonts w:hint="eastAsia" w:ascii="宋体" w:hAnsi="宋体" w:eastAsia="宋体" w:cs="宋体"/>
          <w:color w:val="auto"/>
          <w:kern w:val="2"/>
          <w:sz w:val="28"/>
          <w:szCs w:val="28"/>
          <w:highlight w:val="none"/>
          <w:lang w:val="zh-CN" w:eastAsia="zh-CN" w:bidi="zh-CN"/>
        </w:rPr>
        <w:t>监测结果汇总情况见下表：</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highlight w:val="none"/>
        </w:rPr>
      </w:pPr>
      <w:bookmarkStart w:id="255" w:name="_Toc20781"/>
      <w:bookmarkStart w:id="256" w:name="_Toc27605"/>
      <w:bookmarkStart w:id="257" w:name="_Toc1875"/>
      <w:r>
        <w:rPr>
          <w:rFonts w:hint="eastAsia" w:ascii="宋体" w:hAnsi="宋体" w:eastAsia="宋体" w:cs="宋体"/>
          <w:b/>
          <w:color w:val="auto"/>
          <w:sz w:val="24"/>
          <w:highlight w:val="none"/>
        </w:rPr>
        <w:t>表</w:t>
      </w:r>
      <w:r>
        <w:rPr>
          <w:rFonts w:hint="eastAsia" w:ascii="宋体" w:hAnsi="宋体" w:eastAsia="宋体" w:cs="宋体"/>
          <w:b/>
          <w:color w:val="auto"/>
          <w:sz w:val="24"/>
          <w:highlight w:val="none"/>
          <w:lang w:val="en-US" w:eastAsia="zh-CN"/>
        </w:rPr>
        <w:t>8</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 xml:space="preserve">  土壤检测结果统计表</w:t>
      </w:r>
    </w:p>
    <w:tbl>
      <w:tblPr>
        <w:tblStyle w:val="19"/>
        <w:tblW w:w="9397" w:type="dxa"/>
        <w:tblInd w:w="-347"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94"/>
        <w:gridCol w:w="1873"/>
        <w:gridCol w:w="1705"/>
        <w:gridCol w:w="1517"/>
        <w:gridCol w:w="1698"/>
        <w:gridCol w:w="1510"/>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tblHeader/>
        </w:trPr>
        <w:tc>
          <w:tcPr>
            <w:tcW w:w="10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8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6.18</w:t>
            </w:r>
          </w:p>
        </w:tc>
        <w:tc>
          <w:tcPr>
            <w:tcW w:w="1873"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消防水池、</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循环水池</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40</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36.881</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12.959</w:t>
            </w:r>
            <w:r>
              <w:rPr>
                <w:rFonts w:hint="eastAsia" w:ascii="宋体" w:hAnsi="宋体" w:eastAsia="宋体" w:cs="宋体"/>
                <w:color w:val="auto"/>
                <w:kern w:val="0"/>
                <w:sz w:val="24"/>
                <w:highlight w:val="none"/>
              </w:rPr>
              <w:t>''）</w:t>
            </w: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7.92</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8.28</w:t>
            </w:r>
            <w:r>
              <w:rPr>
                <w:rFonts w:hint="eastAsia" w:ascii="宋体" w:hAnsi="宋体" w:eastAsia="宋体" w:cs="宋体"/>
                <w:color w:val="auto"/>
                <w:kern w:val="0"/>
                <w:sz w:val="24"/>
                <w:highlight w:val="none"/>
              </w:rPr>
              <w:t>mg/kg</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0.49</w:t>
            </w:r>
            <w:r>
              <w:rPr>
                <w:rFonts w:hint="eastAsia" w:ascii="宋体" w:hAnsi="宋体" w:eastAsia="宋体" w:cs="宋体"/>
                <w:color w:val="auto"/>
                <w:kern w:val="0"/>
                <w:sz w:val="24"/>
                <w:highlight w:val="none"/>
              </w:rPr>
              <w:t>mg/kg</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62</w:t>
            </w:r>
            <w:r>
              <w:rPr>
                <w:rFonts w:hint="eastAsia" w:ascii="宋体" w:hAnsi="宋体" w:eastAsia="宋体" w:cs="宋体"/>
                <w:color w:val="auto"/>
                <w:kern w:val="0"/>
                <w:sz w:val="24"/>
                <w:highlight w:val="none"/>
              </w:rPr>
              <w:t>mg/kg</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110</w:t>
            </w:r>
            <w:r>
              <w:rPr>
                <w:rFonts w:hint="eastAsia" w:ascii="宋体" w:hAnsi="宋体" w:eastAsia="宋体" w:cs="宋体"/>
                <w:color w:val="auto"/>
                <w:kern w:val="0"/>
                <w:sz w:val="24"/>
                <w:highlight w:val="none"/>
              </w:rPr>
              <w:t>mg/kg</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.323</w:t>
            </w:r>
            <w:r>
              <w:rPr>
                <w:rFonts w:hint="eastAsia" w:ascii="宋体" w:hAnsi="宋体" w:eastAsia="宋体" w:cs="宋体"/>
                <w:color w:val="auto"/>
                <w:kern w:val="0"/>
                <w:sz w:val="24"/>
                <w:highlight w:val="none"/>
              </w:rPr>
              <w:t>mg/kg</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43</w:t>
            </w:r>
            <w:r>
              <w:rPr>
                <w:rFonts w:hint="eastAsia" w:ascii="宋体" w:hAnsi="宋体" w:eastAsia="宋体" w:cs="宋体"/>
                <w:color w:val="auto"/>
                <w:kern w:val="0"/>
                <w:sz w:val="24"/>
                <w:highlight w:val="none"/>
              </w:rPr>
              <w:t>mg/kg</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9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9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9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9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9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5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9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51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109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725"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br w:type="page"/>
      </w:r>
    </w:p>
    <w:tbl>
      <w:tblPr>
        <w:tblStyle w:val="19"/>
        <w:tblW w:w="9337"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11"/>
        <w:gridCol w:w="1878"/>
        <w:gridCol w:w="1711"/>
        <w:gridCol w:w="1522"/>
        <w:gridCol w:w="1703"/>
        <w:gridCol w:w="1512"/>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7" w:hRule="atLeast"/>
          <w:tblHeader/>
        </w:trPr>
        <w:tc>
          <w:tcPr>
            <w:tcW w:w="10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87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6.18</w:t>
            </w:r>
          </w:p>
        </w:tc>
        <w:tc>
          <w:tcPr>
            <w:tcW w:w="1878"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锅炉房、调节池</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40</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36.198</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14.620</w:t>
            </w:r>
            <w:r>
              <w:rPr>
                <w:rFonts w:hint="eastAsia" w:ascii="宋体" w:hAnsi="宋体" w:eastAsia="宋体" w:cs="宋体"/>
                <w:color w:val="auto"/>
                <w:kern w:val="0"/>
                <w:sz w:val="24"/>
                <w:highlight w:val="none"/>
              </w:rPr>
              <w:t>''）</w:t>
            </w: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8.15</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12.9</w:t>
            </w:r>
            <w:r>
              <w:rPr>
                <w:rFonts w:hint="eastAsia" w:ascii="宋体" w:hAnsi="宋体" w:eastAsia="宋体" w:cs="宋体"/>
                <w:color w:val="auto"/>
                <w:kern w:val="0"/>
                <w:sz w:val="24"/>
                <w:highlight w:val="none"/>
              </w:rPr>
              <w:t>mg/kg</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0.67</w:t>
            </w:r>
            <w:r>
              <w:rPr>
                <w:rFonts w:hint="eastAsia" w:ascii="宋体" w:hAnsi="宋体" w:eastAsia="宋体" w:cs="宋体"/>
                <w:color w:val="auto"/>
                <w:kern w:val="0"/>
                <w:sz w:val="24"/>
                <w:highlight w:val="none"/>
              </w:rPr>
              <w:t>mg/kg</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98</w:t>
            </w:r>
            <w:r>
              <w:rPr>
                <w:rFonts w:hint="eastAsia" w:ascii="宋体" w:hAnsi="宋体" w:eastAsia="宋体" w:cs="宋体"/>
                <w:color w:val="auto"/>
                <w:kern w:val="0"/>
                <w:sz w:val="24"/>
                <w:highlight w:val="none"/>
              </w:rPr>
              <w:t>mg/kg</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304</w:t>
            </w:r>
            <w:r>
              <w:rPr>
                <w:rFonts w:hint="eastAsia" w:ascii="宋体" w:hAnsi="宋体" w:eastAsia="宋体" w:cs="宋体"/>
                <w:color w:val="auto"/>
                <w:kern w:val="0"/>
                <w:sz w:val="24"/>
                <w:highlight w:val="none"/>
              </w:rPr>
              <w:t>mg/kg</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.355</w:t>
            </w:r>
            <w:r>
              <w:rPr>
                <w:rFonts w:hint="eastAsia" w:ascii="宋体" w:hAnsi="宋体" w:eastAsia="宋体" w:cs="宋体"/>
                <w:color w:val="auto"/>
                <w:kern w:val="0"/>
                <w:sz w:val="24"/>
                <w:highlight w:val="none"/>
              </w:rPr>
              <w:t>mg/kg</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59</w:t>
            </w:r>
            <w:r>
              <w:rPr>
                <w:rFonts w:hint="eastAsia" w:ascii="宋体" w:hAnsi="宋体" w:eastAsia="宋体" w:cs="宋体"/>
                <w:color w:val="auto"/>
                <w:kern w:val="0"/>
                <w:sz w:val="24"/>
                <w:highlight w:val="none"/>
              </w:rPr>
              <w:t>mg/kg</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10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01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01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1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101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101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5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5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0" w:hRule="atLeast"/>
        </w:trPr>
        <w:tc>
          <w:tcPr>
            <w:tcW w:w="101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1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737"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pStyle w:val="2"/>
        <w:rPr>
          <w:rFonts w:hint="eastAsia"/>
          <w:sz w:val="28"/>
          <w:szCs w:val="22"/>
        </w:rPr>
      </w:pPr>
    </w:p>
    <w:tbl>
      <w:tblPr>
        <w:tblStyle w:val="19"/>
        <w:tblW w:w="9379"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2"/>
        <w:gridCol w:w="1909"/>
        <w:gridCol w:w="1571"/>
        <w:gridCol w:w="1629"/>
        <w:gridCol w:w="1700"/>
        <w:gridCol w:w="1588"/>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4" w:hRule="atLeast"/>
          <w:tblHeader/>
        </w:trPr>
        <w:tc>
          <w:tcPr>
            <w:tcW w:w="98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90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6.18</w:t>
            </w:r>
          </w:p>
        </w:tc>
        <w:tc>
          <w:tcPr>
            <w:tcW w:w="1909"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事故水池</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40</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34.658</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18.231</w:t>
            </w:r>
            <w:r>
              <w:rPr>
                <w:rFonts w:hint="eastAsia" w:ascii="宋体" w:hAnsi="宋体" w:eastAsia="宋体" w:cs="宋体"/>
                <w:color w:val="auto"/>
                <w:kern w:val="0"/>
                <w:sz w:val="24"/>
                <w:highlight w:val="none"/>
              </w:rPr>
              <w:t>''）</w:t>
            </w: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8.31</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12.8</w:t>
            </w:r>
            <w:r>
              <w:rPr>
                <w:rFonts w:hint="eastAsia" w:ascii="宋体" w:hAnsi="宋体" w:eastAsia="宋体" w:cs="宋体"/>
                <w:color w:val="auto"/>
                <w:kern w:val="0"/>
                <w:sz w:val="24"/>
                <w:highlight w:val="none"/>
              </w:rPr>
              <w:t>mg/kg</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0.67</w:t>
            </w:r>
            <w:r>
              <w:rPr>
                <w:rFonts w:hint="eastAsia" w:ascii="宋体" w:hAnsi="宋体" w:eastAsia="宋体" w:cs="宋体"/>
                <w:color w:val="auto"/>
                <w:kern w:val="0"/>
                <w:sz w:val="24"/>
                <w:highlight w:val="none"/>
              </w:rPr>
              <w:t>mg/kg</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98</w:t>
            </w:r>
            <w:r>
              <w:rPr>
                <w:rFonts w:hint="eastAsia" w:ascii="宋体" w:hAnsi="宋体" w:eastAsia="宋体" w:cs="宋体"/>
                <w:color w:val="auto"/>
                <w:kern w:val="0"/>
                <w:sz w:val="24"/>
                <w:highlight w:val="none"/>
              </w:rPr>
              <w:t>mg/kg</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106</w:t>
            </w:r>
            <w:r>
              <w:rPr>
                <w:rFonts w:hint="eastAsia" w:ascii="宋体" w:hAnsi="宋体" w:eastAsia="宋体" w:cs="宋体"/>
                <w:color w:val="auto"/>
                <w:kern w:val="0"/>
                <w:sz w:val="24"/>
                <w:highlight w:val="none"/>
              </w:rPr>
              <w:t>mg/kg</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.320</w:t>
            </w:r>
            <w:r>
              <w:rPr>
                <w:rFonts w:hint="eastAsia" w:ascii="宋体" w:hAnsi="宋体" w:eastAsia="宋体" w:cs="宋体"/>
                <w:color w:val="auto"/>
                <w:kern w:val="0"/>
                <w:sz w:val="24"/>
                <w:highlight w:val="none"/>
              </w:rPr>
              <w:t>mg/kg</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59</w:t>
            </w:r>
            <w:r>
              <w:rPr>
                <w:rFonts w:hint="eastAsia" w:ascii="宋体" w:hAnsi="宋体" w:eastAsia="宋体" w:cs="宋体"/>
                <w:color w:val="auto"/>
                <w:kern w:val="0"/>
                <w:sz w:val="24"/>
                <w:highlight w:val="none"/>
              </w:rPr>
              <w:t>mg/kg</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trPr>
        <w:tc>
          <w:tcPr>
            <w:tcW w:w="98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0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0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0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trPr>
        <w:tc>
          <w:tcPr>
            <w:tcW w:w="98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0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trPr>
        <w:tc>
          <w:tcPr>
            <w:tcW w:w="98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0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8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0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trPr>
        <w:tc>
          <w:tcPr>
            <w:tcW w:w="98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0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8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0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62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7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5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6" w:hRule="atLeast"/>
        </w:trPr>
        <w:tc>
          <w:tcPr>
            <w:tcW w:w="98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0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917"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highlight w:val="none"/>
        </w:rPr>
      </w:pPr>
    </w:p>
    <w:tbl>
      <w:tblPr>
        <w:tblStyle w:val="19"/>
        <w:tblW w:w="9366"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9"/>
        <w:gridCol w:w="1940"/>
        <w:gridCol w:w="1564"/>
        <w:gridCol w:w="1748"/>
        <w:gridCol w:w="1875"/>
        <w:gridCol w:w="1250"/>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1" w:hRule="atLeast"/>
          <w:tblHeader/>
        </w:trPr>
        <w:tc>
          <w:tcPr>
            <w:tcW w:w="9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94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6.18</w:t>
            </w:r>
          </w:p>
        </w:tc>
        <w:tc>
          <w:tcPr>
            <w:tcW w:w="194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主装置区、RCO</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40</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35.087</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11.434</w:t>
            </w:r>
            <w:r>
              <w:rPr>
                <w:rFonts w:hint="eastAsia" w:ascii="宋体" w:hAnsi="宋体" w:eastAsia="宋体" w:cs="宋体"/>
                <w:color w:val="auto"/>
                <w:kern w:val="0"/>
                <w:sz w:val="24"/>
                <w:highlight w:val="none"/>
              </w:rPr>
              <w:t>''）</w:t>
            </w: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7.99</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14.9</w:t>
            </w:r>
            <w:r>
              <w:rPr>
                <w:rFonts w:hint="eastAsia" w:ascii="宋体" w:hAnsi="宋体" w:eastAsia="宋体" w:cs="宋体"/>
                <w:color w:val="auto"/>
                <w:kern w:val="0"/>
                <w:sz w:val="24"/>
                <w:highlight w:val="none"/>
              </w:rPr>
              <w:t>mg/kg</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0.73</w:t>
            </w:r>
            <w:r>
              <w:rPr>
                <w:rFonts w:hint="eastAsia" w:ascii="宋体" w:hAnsi="宋体" w:eastAsia="宋体" w:cs="宋体"/>
                <w:color w:val="auto"/>
                <w:kern w:val="0"/>
                <w:sz w:val="24"/>
                <w:highlight w:val="none"/>
              </w:rPr>
              <w:t>mg/kg</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81</w:t>
            </w:r>
            <w:r>
              <w:rPr>
                <w:rFonts w:hint="eastAsia" w:ascii="宋体" w:hAnsi="宋体" w:eastAsia="宋体" w:cs="宋体"/>
                <w:color w:val="auto"/>
                <w:kern w:val="0"/>
                <w:sz w:val="24"/>
                <w:highlight w:val="none"/>
              </w:rPr>
              <w:t>mg/kg</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108</w:t>
            </w:r>
            <w:r>
              <w:rPr>
                <w:rFonts w:hint="eastAsia" w:ascii="宋体" w:hAnsi="宋体" w:eastAsia="宋体" w:cs="宋体"/>
                <w:color w:val="auto"/>
                <w:kern w:val="0"/>
                <w:sz w:val="24"/>
                <w:highlight w:val="none"/>
              </w:rPr>
              <w:t>mg/kg</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.207</w:t>
            </w:r>
            <w:r>
              <w:rPr>
                <w:rFonts w:hint="eastAsia" w:ascii="宋体" w:hAnsi="宋体" w:eastAsia="宋体" w:cs="宋体"/>
                <w:color w:val="auto"/>
                <w:kern w:val="0"/>
                <w:sz w:val="24"/>
                <w:highlight w:val="none"/>
              </w:rPr>
              <w:t>mg/kg</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93</w:t>
            </w:r>
            <w:r>
              <w:rPr>
                <w:rFonts w:hint="eastAsia" w:ascii="宋体" w:hAnsi="宋体" w:eastAsia="宋体" w:cs="宋体"/>
                <w:color w:val="auto"/>
                <w:kern w:val="0"/>
                <w:sz w:val="24"/>
                <w:highlight w:val="none"/>
              </w:rPr>
              <w:t>mg/kg</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4"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4"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4"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7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8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2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1"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5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873"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宋体" w:hAnsi="宋体" w:eastAsia="宋体" w:cs="宋体"/>
          <w:color w:val="auto"/>
          <w:highlight w:val="none"/>
        </w:rPr>
      </w:pPr>
    </w:p>
    <w:tbl>
      <w:tblPr>
        <w:tblStyle w:val="19"/>
        <w:tblW w:w="9379"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4"/>
        <w:gridCol w:w="1789"/>
        <w:gridCol w:w="1630"/>
        <w:gridCol w:w="1708"/>
        <w:gridCol w:w="1688"/>
        <w:gridCol w:w="1600"/>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9" w:hRule="atLeast"/>
          <w:tblHeader/>
        </w:trPr>
        <w:tc>
          <w:tcPr>
            <w:tcW w:w="9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7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6.18</w:t>
            </w:r>
          </w:p>
        </w:tc>
        <w:tc>
          <w:tcPr>
            <w:tcW w:w="1789"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储罐区、装载区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40</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33.800</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10.275</w:t>
            </w:r>
            <w:r>
              <w:rPr>
                <w:rFonts w:hint="eastAsia" w:ascii="宋体" w:hAnsi="宋体" w:eastAsia="宋体" w:cs="宋体"/>
                <w:color w:val="auto"/>
                <w:kern w:val="0"/>
                <w:sz w:val="24"/>
                <w:highlight w:val="none"/>
              </w:rPr>
              <w:t>''）</w:t>
            </w: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8.05</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10.6</w:t>
            </w:r>
            <w:r>
              <w:rPr>
                <w:rFonts w:hint="eastAsia" w:ascii="宋体" w:hAnsi="宋体" w:eastAsia="宋体" w:cs="宋体"/>
                <w:color w:val="auto"/>
                <w:kern w:val="0"/>
                <w:sz w:val="24"/>
                <w:highlight w:val="none"/>
              </w:rPr>
              <w:t>mg/kg</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0.78</w:t>
            </w:r>
            <w:r>
              <w:rPr>
                <w:rFonts w:hint="eastAsia" w:ascii="宋体" w:hAnsi="宋体" w:eastAsia="宋体" w:cs="宋体"/>
                <w:color w:val="auto"/>
                <w:kern w:val="0"/>
                <w:sz w:val="24"/>
                <w:highlight w:val="none"/>
              </w:rPr>
              <w:t>mg/kg</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80</w:t>
            </w:r>
            <w:r>
              <w:rPr>
                <w:rFonts w:hint="eastAsia" w:ascii="宋体" w:hAnsi="宋体" w:eastAsia="宋体" w:cs="宋体"/>
                <w:color w:val="auto"/>
                <w:kern w:val="0"/>
                <w:sz w:val="24"/>
                <w:highlight w:val="none"/>
              </w:rPr>
              <w:t>mg/kg</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175</w:t>
            </w:r>
            <w:r>
              <w:rPr>
                <w:rFonts w:hint="eastAsia" w:ascii="宋体" w:hAnsi="宋体" w:eastAsia="宋体" w:cs="宋体"/>
                <w:color w:val="auto"/>
                <w:kern w:val="0"/>
                <w:sz w:val="24"/>
                <w:highlight w:val="none"/>
              </w:rPr>
              <w:t>mg/kg</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.223</w:t>
            </w:r>
            <w:r>
              <w:rPr>
                <w:rFonts w:hint="eastAsia" w:ascii="宋体" w:hAnsi="宋体" w:eastAsia="宋体" w:cs="宋体"/>
                <w:color w:val="auto"/>
                <w:kern w:val="0"/>
                <w:sz w:val="24"/>
                <w:highlight w:val="none"/>
              </w:rPr>
              <w:t>mg/kg</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93</w:t>
            </w:r>
            <w:r>
              <w:rPr>
                <w:rFonts w:hint="eastAsia" w:ascii="宋体" w:hAnsi="宋体" w:eastAsia="宋体" w:cs="宋体"/>
                <w:color w:val="auto"/>
                <w:kern w:val="0"/>
                <w:sz w:val="24"/>
                <w:highlight w:val="none"/>
              </w:rPr>
              <w:t>mg/kg</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7"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7" w:hRule="atLeast"/>
        </w:trPr>
        <w:tc>
          <w:tcPr>
            <w:tcW w:w="96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7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96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96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96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96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96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96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7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8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92" w:hRule="atLeast"/>
        </w:trPr>
        <w:tc>
          <w:tcPr>
            <w:tcW w:w="96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7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996"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highlight w:val="none"/>
        </w:rPr>
      </w:pPr>
    </w:p>
    <w:tbl>
      <w:tblPr>
        <w:tblStyle w:val="19"/>
        <w:tblW w:w="9404"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4"/>
        <w:gridCol w:w="1825"/>
        <w:gridCol w:w="1663"/>
        <w:gridCol w:w="1744"/>
        <w:gridCol w:w="1650"/>
        <w:gridCol w:w="1538"/>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0" w:hRule="atLeast"/>
          <w:tblHeader/>
        </w:trPr>
        <w:tc>
          <w:tcPr>
            <w:tcW w:w="9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82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6.18</w:t>
            </w:r>
          </w:p>
        </w:tc>
        <w:tc>
          <w:tcPr>
            <w:tcW w:w="1825"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土壤背景监测点</w:t>
            </w: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40</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38.311</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10.970</w:t>
            </w:r>
            <w:r>
              <w:rPr>
                <w:rFonts w:hint="eastAsia" w:ascii="宋体" w:hAnsi="宋体" w:eastAsia="宋体" w:cs="宋体"/>
                <w:color w:val="auto"/>
                <w:kern w:val="0"/>
                <w:sz w:val="24"/>
                <w:highlight w:val="none"/>
              </w:rPr>
              <w:t>''）</w:t>
            </w: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8.22</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7"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12.9</w:t>
            </w:r>
            <w:r>
              <w:rPr>
                <w:rFonts w:hint="eastAsia" w:ascii="宋体" w:hAnsi="宋体" w:eastAsia="宋体" w:cs="宋体"/>
                <w:color w:val="auto"/>
                <w:kern w:val="0"/>
                <w:sz w:val="24"/>
                <w:highlight w:val="none"/>
              </w:rPr>
              <w:t>mg/kg</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0.63</w:t>
            </w:r>
            <w:r>
              <w:rPr>
                <w:rFonts w:hint="eastAsia" w:ascii="宋体" w:hAnsi="宋体" w:eastAsia="宋体" w:cs="宋体"/>
                <w:color w:val="auto"/>
                <w:kern w:val="0"/>
                <w:sz w:val="24"/>
                <w:highlight w:val="none"/>
              </w:rPr>
              <w:t>mg/kg</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mg/kg</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234</w:t>
            </w:r>
            <w:r>
              <w:rPr>
                <w:rFonts w:hint="eastAsia" w:ascii="宋体" w:hAnsi="宋体" w:eastAsia="宋体" w:cs="宋体"/>
                <w:color w:val="auto"/>
                <w:kern w:val="0"/>
                <w:sz w:val="24"/>
                <w:highlight w:val="none"/>
              </w:rPr>
              <w:t>mg/kg</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.294</w:t>
            </w:r>
            <w:r>
              <w:rPr>
                <w:rFonts w:hint="eastAsia" w:ascii="宋体" w:hAnsi="宋体" w:eastAsia="宋体" w:cs="宋体"/>
                <w:color w:val="auto"/>
                <w:kern w:val="0"/>
                <w:sz w:val="24"/>
                <w:highlight w:val="none"/>
              </w:rPr>
              <w:t>mg/kg</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65</w:t>
            </w:r>
            <w:r>
              <w:rPr>
                <w:rFonts w:hint="eastAsia" w:ascii="宋体" w:hAnsi="宋体" w:eastAsia="宋体" w:cs="宋体"/>
                <w:color w:val="auto"/>
                <w:kern w:val="0"/>
                <w:sz w:val="24"/>
                <w:highlight w:val="none"/>
              </w:rPr>
              <w:t>mg/kg</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宋体" w:hAnsi="宋体" w:eastAsia="宋体" w:cs="宋体"/>
                <w:color w:val="auto"/>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7"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74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53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932"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pStyle w:val="7"/>
        <w:bidi w:val="0"/>
        <w:spacing w:line="360" w:lineRule="auto"/>
        <w:rPr>
          <w:rFonts w:hint="eastAsia" w:ascii="宋体" w:hAnsi="宋体" w:eastAsia="宋体" w:cs="宋体"/>
          <w:lang w:val="en-US" w:eastAsia="zh-CN"/>
        </w:rPr>
      </w:pPr>
      <w:bookmarkStart w:id="258" w:name="_Toc31552"/>
      <w:r>
        <w:rPr>
          <w:rFonts w:hint="eastAsia" w:ascii="宋体" w:hAnsi="宋体" w:eastAsia="宋体" w:cs="宋体"/>
          <w:lang w:val="en-US" w:eastAsia="zh-CN"/>
        </w:rPr>
        <w:t>9质量保证与质量控制</w:t>
      </w:r>
      <w:bookmarkEnd w:id="255"/>
      <w:bookmarkEnd w:id="256"/>
      <w:bookmarkEnd w:id="257"/>
      <w:bookmarkEnd w:id="258"/>
    </w:p>
    <w:p>
      <w:pPr>
        <w:keepNext/>
        <w:keepLines/>
        <w:widowControl w:val="0"/>
        <w:numPr>
          <w:ilvl w:val="1"/>
          <w:numId w:val="1"/>
        </w:numPr>
        <w:bidi w:val="0"/>
        <w:spacing w:line="360" w:lineRule="auto"/>
        <w:ind w:firstLine="0" w:firstLineChars="0"/>
        <w:jc w:val="left"/>
        <w:outlineLvl w:val="1"/>
        <w:rPr>
          <w:rFonts w:hint="eastAsia" w:ascii="宋体" w:hAnsi="宋体" w:eastAsia="宋体" w:cs="宋体"/>
          <w:b/>
          <w:bCs/>
          <w:kern w:val="2"/>
          <w:sz w:val="28"/>
          <w:szCs w:val="32"/>
          <w:lang w:val="en-US" w:eastAsia="zh-CN" w:bidi="ar-SA"/>
        </w:rPr>
      </w:pPr>
      <w:bookmarkStart w:id="259" w:name="_Toc13167"/>
      <w:bookmarkStart w:id="260" w:name="_Toc7047"/>
      <w:bookmarkStart w:id="261" w:name="_Toc29954"/>
      <w:bookmarkStart w:id="262" w:name="_Toc2115"/>
      <w:bookmarkStart w:id="263" w:name="_Toc7011"/>
      <w:bookmarkStart w:id="264" w:name="_Toc31173"/>
      <w:r>
        <w:rPr>
          <w:rFonts w:hint="eastAsia" w:ascii="宋体" w:hAnsi="宋体" w:eastAsia="宋体" w:cs="宋体"/>
          <w:b/>
          <w:bCs/>
          <w:kern w:val="2"/>
          <w:sz w:val="28"/>
          <w:szCs w:val="32"/>
          <w:lang w:val="en-US" w:eastAsia="zh-CN" w:bidi="ar-SA"/>
        </w:rPr>
        <w:t>9.1自行监测质量体系</w:t>
      </w:r>
      <w:bookmarkEnd w:id="259"/>
      <w:bookmarkEnd w:id="260"/>
      <w:bookmarkEnd w:id="261"/>
      <w:bookmarkEnd w:id="262"/>
      <w:bookmarkEnd w:id="263"/>
      <w:bookmarkEnd w:id="264"/>
    </w:p>
    <w:p>
      <w:pPr>
        <w:spacing w:line="360" w:lineRule="auto"/>
        <w:ind w:firstLine="560" w:firstLineChars="200"/>
        <w:outlineLvl w:val="9"/>
        <w:rPr>
          <w:rFonts w:hint="eastAsia" w:ascii="宋体" w:hAnsi="宋体" w:eastAsia="宋体" w:cs="宋体"/>
          <w:b w:val="0"/>
          <w:bCs w:val="0"/>
          <w:snapToGrid/>
          <w:color w:val="auto"/>
          <w:kern w:val="2"/>
          <w:sz w:val="28"/>
          <w:szCs w:val="24"/>
          <w:highlight w:val="none"/>
          <w:lang w:val="en-US" w:eastAsia="zh-CN" w:bidi="ar-SA"/>
        </w:rPr>
      </w:pPr>
      <w:bookmarkStart w:id="265" w:name="_Toc32423"/>
      <w:r>
        <w:rPr>
          <w:rFonts w:hint="eastAsia" w:ascii="宋体" w:hAnsi="宋体" w:eastAsia="宋体" w:cs="宋体"/>
          <w:b w:val="0"/>
          <w:bCs w:val="0"/>
          <w:snapToGrid/>
          <w:color w:val="auto"/>
          <w:kern w:val="2"/>
          <w:sz w:val="28"/>
          <w:szCs w:val="24"/>
          <w:highlight w:val="none"/>
          <w:lang w:val="en-US" w:eastAsia="zh-CN" w:bidi="ar-SA"/>
        </w:rPr>
        <w:t>河南德利新能源材料有限公司2023年度土壤和地下水检测工作由洛阳市达峰环境检测有限公司负责，公司拥有河南省质量技术监督局颁发的检验检测机构资质认定证书（洛阳市达峰环境检测有限公司：证书编号201612050382，有效期2026年11月9日。公司质量体系完善，符合实验室分析工作的条件和相应资质要求，凡承担本项目的采样和检测分析等的人员均通过公司考核并持证上岗。</w:t>
      </w:r>
      <w:bookmarkEnd w:id="265"/>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66" w:name="_Toc7617"/>
      <w:bookmarkStart w:id="267" w:name="_Toc20216"/>
      <w:bookmarkStart w:id="268" w:name="_Toc23714"/>
      <w:bookmarkStart w:id="269" w:name="_Toc32501"/>
      <w:r>
        <w:rPr>
          <w:rFonts w:hint="eastAsia" w:ascii="宋体" w:hAnsi="宋体" w:eastAsia="宋体" w:cs="宋体"/>
          <w:b/>
          <w:bCs/>
          <w:kern w:val="2"/>
          <w:sz w:val="28"/>
          <w:szCs w:val="32"/>
          <w:lang w:val="en-US" w:eastAsia="zh-CN" w:bidi="ar-SA"/>
        </w:rPr>
        <w:t>9.2监测方案制定的质量保证与控制</w:t>
      </w:r>
      <w:bookmarkEnd w:id="266"/>
      <w:bookmarkEnd w:id="267"/>
      <w:bookmarkEnd w:id="268"/>
      <w:bookmarkEnd w:id="269"/>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60"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b w:val="0"/>
          <w:bCs w:val="0"/>
          <w:snapToGrid/>
          <w:color w:val="auto"/>
          <w:kern w:val="2"/>
          <w:sz w:val="28"/>
          <w:szCs w:val="24"/>
          <w:highlight w:val="none"/>
          <w:lang w:val="en-US" w:eastAsia="zh-CN" w:bidi="ar-SA"/>
        </w:rPr>
        <w:t>河南德利新能源材料有限公司</w:t>
      </w:r>
      <w:r>
        <w:rPr>
          <w:rFonts w:hint="eastAsia" w:ascii="宋体" w:hAnsi="宋体" w:eastAsia="宋体" w:cs="宋体"/>
          <w:snapToGrid/>
          <w:color w:val="auto"/>
          <w:spacing w:val="6"/>
          <w:kern w:val="2"/>
          <w:sz w:val="28"/>
          <w:szCs w:val="24"/>
          <w:highlight w:val="none"/>
          <w:lang w:val="en-US" w:eastAsia="zh-CN" w:bidi="ar-SA"/>
        </w:rPr>
        <w:t>2023年度土壤监测方案保持一致，可满足监测要求，主要包含以下内容：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1）重点单元识别与分类依据满足《工业企业土壤和地下水自行监测技术指南（试行）》（HJ1209-2021）的要求，已按照HJ1209-2021要求提供了重点监测单元清单及标记有重点单元及监测点/监测井位置的企业总平面布置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（2）土壤监测点的位置、数量和深度满足HJ1209-2021中“5.2监测点位”的要求；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（3）土壤的监测指标、监测频次满足HJ1209-2021中“5.3监测指标与频次”的要求；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outlineLvl w:val="2"/>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（4）已核实土壤的监测点位具备采样条件。</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70" w:name="_Toc28152"/>
      <w:bookmarkStart w:id="271" w:name="_Toc27575"/>
      <w:bookmarkStart w:id="272" w:name="_Toc7375"/>
      <w:bookmarkStart w:id="273" w:name="_Toc29355"/>
      <w:bookmarkStart w:id="274" w:name="_Toc6183"/>
      <w:bookmarkStart w:id="275" w:name="_Toc22556"/>
      <w:r>
        <w:rPr>
          <w:rFonts w:hint="eastAsia" w:ascii="宋体" w:hAnsi="宋体" w:eastAsia="宋体" w:cs="宋体"/>
          <w:b/>
          <w:bCs/>
          <w:kern w:val="2"/>
          <w:sz w:val="28"/>
          <w:szCs w:val="32"/>
          <w:lang w:val="en-US" w:eastAsia="zh-CN" w:bidi="ar-SA"/>
        </w:rPr>
        <w:t>9.3样品采集、保存、流转、制备与分析的质量保证与控制</w:t>
      </w:r>
      <w:bookmarkEnd w:id="270"/>
      <w:bookmarkEnd w:id="271"/>
      <w:bookmarkEnd w:id="272"/>
      <w:bookmarkEnd w:id="273"/>
      <w:bookmarkEnd w:id="274"/>
      <w:bookmarkEnd w:id="275"/>
    </w:p>
    <w:p>
      <w:pPr>
        <w:keepNext/>
        <w:keepLines/>
        <w:widowControl w:val="0"/>
        <w:spacing w:line="520" w:lineRule="exact"/>
        <w:jc w:val="both"/>
        <w:outlineLvl w:val="2"/>
        <w:rPr>
          <w:rFonts w:hint="eastAsia" w:ascii="宋体" w:hAnsi="宋体" w:eastAsia="宋体" w:cs="宋体"/>
          <w:color w:val="auto"/>
          <w:kern w:val="2"/>
          <w:sz w:val="28"/>
          <w:szCs w:val="24"/>
          <w:highlight w:val="none"/>
          <w:lang w:val="en-US" w:eastAsia="zh-CN" w:bidi="ar-SA"/>
        </w:rPr>
      </w:pPr>
      <w:bookmarkStart w:id="276" w:name="_Toc11242"/>
      <w:bookmarkStart w:id="277" w:name="_Toc25326"/>
      <w:bookmarkStart w:id="278" w:name="_Toc107924599"/>
      <w:bookmarkStart w:id="279" w:name="_Toc23156"/>
      <w:bookmarkStart w:id="280" w:name="_Toc19209"/>
      <w:bookmarkStart w:id="281" w:name="_Toc11334"/>
      <w:r>
        <w:rPr>
          <w:rFonts w:hint="eastAsia" w:ascii="宋体" w:hAnsi="宋体" w:eastAsia="宋体" w:cs="宋体"/>
          <w:color w:val="auto"/>
          <w:kern w:val="2"/>
          <w:sz w:val="28"/>
          <w:szCs w:val="24"/>
          <w:highlight w:val="none"/>
          <w:lang w:val="en-US" w:eastAsia="zh-CN" w:bidi="ar-SA"/>
        </w:rPr>
        <w:t>9.3.1采样过程中的质量控制</w:t>
      </w:r>
      <w:bookmarkEnd w:id="276"/>
      <w:bookmarkEnd w:id="277"/>
      <w:bookmarkEnd w:id="278"/>
      <w:bookmarkEnd w:id="279"/>
      <w:bookmarkEnd w:id="280"/>
      <w:bookmarkEnd w:id="281"/>
    </w:p>
    <w:p>
      <w:pPr>
        <w:bidi w:val="0"/>
        <w:spacing w:line="520" w:lineRule="exact"/>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（1）采样前准备</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采样前组织操作培训，对采样操作规范、安全须知等进行充分交底，保证采样的规范与安全。根据需要按国家有关危险物质使用及健康安全等相关法规制订现场人员安全防护计划，并对相关人员进行必要的培训。</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采样人员通过岗前培训、持证上岗，掌握土壤采样技术和要求，熟悉采样器具的使用和样品的保存运输条件。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现场人员按有关规定，使用个人防护装备，严格执行现场设备操作规范。根据采样方案，准备各种记录表单、必需的监控器材、足够的取样器材，并进行消毒或预先清洗。</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（2）土壤样品采集质量控制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土壤样品的采集按照《建设用地土壤污染风险管控和修复监测技术导则》（HJ25.2-2019）、《土壤环境监测技术规范》（HJ/T166-2004）等要求进行。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①防止采样过程中的交叉污染：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在两次钻孔之间，钻探设备进行清洗；同一钻孔在不同深度采样时，对钻探设备、取样装置也进行清洗；与土壤接触的其他采样工具重复使用时，进行清洗后使用。采样过程中佩戴有一次性手套，为避免不同样品之间的交叉污染，每采集一个样品都更换手套。每采完一次样，都将采样工具用自来水洗净后再用蒸馏水淋洗一遍。</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②防止采样的二次污染：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每个采样点钻探结束后，都将所有剩余的废弃土覆盖塑料布保护，待土壤污染状况调查工作结束后，装入垃圾袋内，统一进行规范处置。</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③规范采样操作：</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土壤采样时优先采集挥发性有机物、半挥发性有机物、石油烃、六价铬样品，然后使用竹刀采集重金属及无机物等样品。首先竹刀刮除表层土壤，立即用非扰动取样器采集足量样品迅速推入40mL吹扫捕集瓶，然后使用竹刀采集半挥发性、重金属样品，半挥发性样品足量装入250ml棕色玻璃瓶，重金属样品置于自封袋中。挥发性有机物采集3个样品，其余采集1个样品，将同一取样深度不同类别样品再分别置于自封袋中保存。按照质量控制要求准备全程序空白样和运输空白样品。土壤样品采集完成后，在样品瓶上标明编号等采样信息，并做好现场记录。样品采集成功后，立即放入车载冰箱中，使样品保存在4℃以下冷藏运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④采集记录填写：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所有样品采集时，记录监测点位经纬度信息。每个样品采集结束时及时填写标签信息进行粘贴，采样结束后，逐项检查采样记录、样袋标签和样品。</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（2）样品保存、流转过程中的质量控制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对采集的所有样品，各组均在装运前安排人员进行点位复核，在采样现场逐件核对样品登记表、样品标签、采样记录核对无误后分类装箱。样品运输中严防样品损失、混淆和沾污，对样品避光外包装。</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小组于当天或第二天将样品全部送到实验室后，采样人员将填好的样品交接单，同样品一起交给实验室样品管理员进行核对，确定无误后在样品交接单上签字。该项目采样结束交接土壤样品。样品皆依据规范中“样品保存及质量保证”进行储存，土壤样品按功能区域分开存放。质控人员对样品标识、包装容器、样品状态、保存环境条件等监控进行监督检查。</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样品采集当天不能将样品运送至实验室进行检测，样品需用车载冰箱、冷藏柜等设备低温保存，冷藏柜、车载冰箱温度调至4℃以下。</w:t>
      </w:r>
    </w:p>
    <w:p>
      <w:pPr>
        <w:bidi w:val="0"/>
        <w:spacing w:line="520" w:lineRule="exact"/>
        <w:jc w:val="left"/>
        <w:outlineLvl w:val="2"/>
        <w:rPr>
          <w:rFonts w:hint="eastAsia" w:ascii="宋体" w:hAnsi="宋体" w:eastAsia="宋体" w:cs="宋体"/>
          <w:b/>
          <w:bCs/>
          <w:color w:val="auto"/>
          <w:sz w:val="28"/>
          <w:highlight w:val="none"/>
          <w:lang w:val="en-US" w:eastAsia="zh-CN"/>
        </w:rPr>
      </w:pPr>
      <w:bookmarkStart w:id="282" w:name="_Toc107924600"/>
      <w:r>
        <w:rPr>
          <w:rFonts w:hint="eastAsia" w:ascii="宋体" w:hAnsi="宋体" w:eastAsia="宋体" w:cs="宋体"/>
          <w:b/>
          <w:bCs/>
          <w:color w:val="auto"/>
          <w:sz w:val="28"/>
          <w:highlight w:val="none"/>
          <w:lang w:val="en-US" w:eastAsia="zh-CN"/>
        </w:rPr>
        <w:t>9.3.2实验室检测过程中的质量保证和质量控制</w:t>
      </w:r>
      <w:bookmarkEnd w:id="282"/>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本次调查实验室检测工作严格按照规范落实质量保证和质量控制措施，确保获取的样品与取得的检测数据真实可信。</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实验室分析检测使用内、外部质量控制结合的质控手段以保证数据结果的准确度，主要包括空白、平行、加标、质控样分析的内部质控方式和采集密码平行样的外部质控方式。</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（1）实验室检测人员均经过培训，持证上岗，具有扎实的专业理论知识及丰富的实际操作经验。</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（2）实验室仪器设备、标准物质等控制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我公司质控人员对仪器设备、标准物质、实验用水、仪器检出限和精密度、校准曲线、实验准备等方面内容进行逐条检查。具体检查结果如下：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①项目所用的气相色谱质谱联用仪、气相色谱仪、原子荧光、原子吸收、电感耦合等离子体发射质谱仪等仪器设备和天平、容量瓶、吸液管等计量器具均检定合格、在有效期内；性能、量程、精度满足方法要求。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②实验室使用的标准溶液、质控样品均是国家有证标准物质，且在有效期内。</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③实验用水实时监测，电阻率≥18.2MΩ•cm（25℃），符合要求。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④金属项目检测使用优级纯试剂，有机项目检测使用色谱级及农残级试剂，所有试剂采购回来均经验收合格后方能使用，符合要求。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⑤实验器具根据标准要求使用不同清洗剂及清洗方式进行清洗。</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（3）内部和外部质量控制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①空白试验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检查每个检测项目的全程序空白、运输空白及试剂空白分析结果，审核实验试剂、材料及实验过程，均不对实验结果产生干扰，本批样共采集土壤和样品，设置1个全程序空白，1个运输空白。</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②精密度控制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样品检测项目检测时按照标准要求进行平行样分析，共设置1个平行样，质控结果应符合标准《土壤环境监测技术规范》（HJ/T166-2004）、《地下水环境监测技术规范》（HJ/T164-2020）和各项目国家标准中要求各项目国家标准中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③准确度控制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通过检测标准质控物质及样品加标回收率来检查测定准确度，对部分因子进行质控样分析，质控样检测结果应显示合格，实验室准确度结果应符合标准《土壤环境监测技术规范》（HJ/T166-2004）《地下水环境监测技术规范》（HJ/T164-2020）和各项目国家标准中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④外部质量控制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本次实验室分析的质量控制包括实验室内部明码平行、样品加标、质控标准样分析。</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（4）数据分析及结果报告</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我公司质量保证室检查了原始记录、仪器使用记录和溶液配制记录等，实验室分析人员的全程操作均符合要求。核查了原始记录与检测报告中数据的一致性，结果显示，分析测试报告均完整无误。此批次样品所涉及的所有实验记录、原始数据及相关档案严格按照公司质量体系程序文件中的规定执行。</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（5）检测过程质量保证</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①实验室检测项目各样品检测均严格按照规定的检测标准方法进行检测。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②在各检测指标中，在使用标准物质进行校准曲线或标准检查点测试时，获得校准曲线或标准检查点结果应符合检测结果验收标准中的相关规定。</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③每批次样品进行现场空白和实验室空白，现场空白和实验室空白结果符合检测结果标准中的相关规定。</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④实验室检测项目所用的样品要根据检测标准要求按保存期、保存环境、保存条件和有效期等进行保存，符合要求的样品方可开展检测。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⑤分析人员在接收样品时，仔细核对样品和采样记录，确认正确无误后，进行签收。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⑥实验室主任应对检测人员执行全部检测指标的标准检测方法流程进行检查，严格按照技术要求进行检测。</w:t>
      </w:r>
    </w:p>
    <w:p>
      <w:pPr>
        <w:pStyle w:val="7"/>
        <w:bidi w:val="0"/>
        <w:rPr>
          <w:rFonts w:hint="eastAsia" w:ascii="宋体" w:hAnsi="宋体" w:eastAsia="宋体" w:cs="宋体"/>
          <w:lang w:val="en-US" w:eastAsia="zh-CN"/>
        </w:rPr>
      </w:pPr>
      <w:bookmarkStart w:id="283" w:name="_Toc31137"/>
      <w:bookmarkStart w:id="284" w:name="_Toc32704"/>
      <w:bookmarkStart w:id="285" w:name="_Toc14480"/>
      <w:bookmarkStart w:id="286" w:name="_Toc4533"/>
      <w:r>
        <w:rPr>
          <w:rFonts w:hint="eastAsia" w:ascii="宋体" w:hAnsi="宋体" w:eastAsia="宋体" w:cs="宋体"/>
          <w:lang w:val="en-US" w:eastAsia="zh-CN"/>
        </w:rPr>
        <w:t>10.结论与措施</w:t>
      </w:r>
      <w:bookmarkEnd w:id="283"/>
      <w:bookmarkEnd w:id="284"/>
      <w:bookmarkEnd w:id="285"/>
      <w:bookmarkEnd w:id="286"/>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87" w:name="_Toc6958"/>
      <w:bookmarkStart w:id="288" w:name="_Toc17078"/>
      <w:bookmarkStart w:id="289" w:name="_Toc8553"/>
      <w:bookmarkStart w:id="290" w:name="_Toc22575"/>
      <w:r>
        <w:rPr>
          <w:rFonts w:hint="eastAsia" w:ascii="宋体" w:hAnsi="宋体" w:eastAsia="宋体" w:cs="宋体"/>
          <w:b/>
          <w:bCs/>
          <w:kern w:val="2"/>
          <w:sz w:val="28"/>
          <w:szCs w:val="32"/>
          <w:lang w:val="en-US" w:eastAsia="zh-CN" w:bidi="ar-SA"/>
        </w:rPr>
        <w:t>10.1现场采样和监测</w:t>
      </w:r>
      <w:bookmarkEnd w:id="287"/>
      <w:bookmarkEnd w:id="288"/>
      <w:bookmarkEnd w:id="289"/>
      <w:bookmarkEnd w:id="290"/>
    </w:p>
    <w:p>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both"/>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洛阳市达峰环境检测有限公司于2023年6月18日-6月28日对厂区土壤开展监测。根据2023年6月28日出具的《</w:t>
      </w:r>
      <w:bookmarkStart w:id="291" w:name="_Toc31680"/>
      <w:bookmarkStart w:id="292" w:name="_Toc15197"/>
      <w:bookmarkStart w:id="293" w:name="_Toc21867"/>
      <w:r>
        <w:rPr>
          <w:rFonts w:hint="eastAsia" w:ascii="宋体" w:hAnsi="宋体" w:eastAsia="宋体" w:cs="宋体"/>
          <w:b w:val="0"/>
          <w:bCs w:val="0"/>
          <w:color w:val="auto"/>
          <w:kern w:val="2"/>
          <w:sz w:val="28"/>
          <w:szCs w:val="28"/>
          <w:highlight w:val="none"/>
          <w:lang w:val="en-US" w:eastAsia="zh-CN" w:bidi="ar-SA"/>
        </w:rPr>
        <w:t>河南德利新能源材料有限公司土壤</w:t>
      </w:r>
      <w:bookmarkEnd w:id="291"/>
      <w:r>
        <w:rPr>
          <w:rFonts w:hint="eastAsia" w:ascii="宋体" w:hAnsi="宋体" w:eastAsia="宋体" w:cs="宋体"/>
          <w:b w:val="0"/>
          <w:bCs w:val="0"/>
          <w:color w:val="auto"/>
          <w:kern w:val="2"/>
          <w:sz w:val="28"/>
          <w:szCs w:val="28"/>
          <w:highlight w:val="none"/>
          <w:lang w:val="en-US" w:eastAsia="zh-CN" w:bidi="ar-SA"/>
        </w:rPr>
        <w:t>检测报告</w:t>
      </w:r>
      <w:bookmarkEnd w:id="292"/>
      <w:bookmarkEnd w:id="293"/>
      <w:r>
        <w:rPr>
          <w:rFonts w:hint="eastAsia" w:ascii="宋体" w:hAnsi="宋体" w:eastAsia="宋体" w:cs="宋体"/>
          <w:b w:val="0"/>
          <w:bCs w:val="0"/>
          <w:color w:val="auto"/>
          <w:kern w:val="2"/>
          <w:sz w:val="28"/>
          <w:szCs w:val="28"/>
          <w:highlight w:val="none"/>
          <w:lang w:val="en-US" w:eastAsia="zh-CN" w:bidi="ar-SA"/>
        </w:rPr>
        <w:t>》（报告编号：DFJC-012-06-2023），报告中结合企业厂区生产设施分布和生产工艺等实际情况，实际采样土壤监测点位置及数量6个（其中5个监控点，1个背景点）。</w:t>
      </w:r>
    </w:p>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94" w:name="_Toc3205"/>
      <w:bookmarkStart w:id="295" w:name="_Toc21780"/>
      <w:bookmarkStart w:id="296" w:name="_Toc24991"/>
      <w:bookmarkStart w:id="297" w:name="_Toc5590"/>
      <w:bookmarkStart w:id="298" w:name="_Toc29275"/>
      <w:bookmarkStart w:id="299" w:name="_Toc20805"/>
      <w:bookmarkStart w:id="300" w:name="_Toc19892"/>
      <w:bookmarkStart w:id="301" w:name="_Toc17871"/>
      <w:bookmarkStart w:id="302" w:name="_Toc13491"/>
      <w:bookmarkStart w:id="303" w:name="_Toc6980"/>
      <w:bookmarkStart w:id="304" w:name="_Toc25516"/>
      <w:bookmarkStart w:id="305" w:name="_Toc9117"/>
      <w:r>
        <w:rPr>
          <w:rFonts w:hint="eastAsia" w:ascii="宋体" w:hAnsi="宋体" w:eastAsia="宋体" w:cs="宋体"/>
          <w:b/>
          <w:bCs/>
          <w:kern w:val="2"/>
          <w:sz w:val="28"/>
          <w:szCs w:val="32"/>
          <w:lang w:val="en-US" w:eastAsia="zh-CN" w:bidi="ar-SA"/>
        </w:rPr>
        <w:t>10.2土壤监测结果分析</w:t>
      </w:r>
      <w:bookmarkEnd w:id="294"/>
      <w:bookmarkEnd w:id="295"/>
      <w:bookmarkEnd w:id="296"/>
      <w:bookmarkEnd w:id="297"/>
      <w:bookmarkEnd w:id="298"/>
      <w:bookmarkEnd w:id="299"/>
      <w:bookmarkEnd w:id="300"/>
      <w:bookmarkEnd w:id="301"/>
      <w:bookmarkEnd w:id="302"/>
      <w:bookmarkEnd w:id="303"/>
      <w:bookmarkEnd w:id="304"/>
      <w:bookmarkEnd w:id="305"/>
    </w:p>
    <w:p>
      <w:pPr>
        <w:pStyle w:val="3"/>
        <w:pageBreakBefore w:val="0"/>
        <w:kinsoku/>
        <w:wordWrap/>
        <w:overflowPunct/>
        <w:topLinePunct w:val="0"/>
        <w:bidi w:val="0"/>
        <w:spacing w:line="360" w:lineRule="auto"/>
        <w:ind w:left="0" w:leftChars="0" w:right="0" w:firstLine="537"/>
        <w:outlineLvl w:val="9"/>
        <w:rPr>
          <w:rFonts w:hint="eastAsia" w:ascii="宋体" w:hAnsi="宋体" w:eastAsia="宋体" w:cs="宋体"/>
          <w:b/>
          <w:color w:val="auto"/>
          <w:spacing w:val="-32"/>
          <w:sz w:val="28"/>
          <w:szCs w:val="28"/>
          <w:highlight w:val="none"/>
          <w:lang w:val="en-US" w:eastAsia="zh-CN"/>
        </w:rPr>
      </w:pPr>
      <w:bookmarkStart w:id="306" w:name="_Toc9609"/>
      <w:bookmarkStart w:id="307" w:name="_Toc28485"/>
      <w:r>
        <w:rPr>
          <w:rFonts w:hint="eastAsia" w:ascii="宋体" w:hAnsi="宋体" w:eastAsia="宋体" w:cs="宋体"/>
          <w:color w:val="auto"/>
          <w:spacing w:val="0"/>
          <w:sz w:val="28"/>
          <w:szCs w:val="28"/>
          <w:highlight w:val="none"/>
        </w:rPr>
        <w:t>对所采集的土壤样品监测数据进行汇总、统计、分析，分析结果对比《土壤环境质量建设用地土壤污染风险管控标准》（试行）（GB36600-2018）标准，《土壤环境质量农用地土壤污染风险管控标准》（试行）（GB</w:t>
      </w:r>
      <w:r>
        <w:rPr>
          <w:rFonts w:hint="eastAsia" w:ascii="宋体" w:hAnsi="宋体" w:eastAsia="宋体" w:cs="宋体"/>
          <w:color w:val="auto"/>
          <w:spacing w:val="0"/>
          <w:sz w:val="28"/>
          <w:szCs w:val="28"/>
          <w:highlight w:val="none"/>
          <w:lang w:val="en-US"/>
        </w:rPr>
        <w:t>15618</w:t>
      </w:r>
      <w:r>
        <w:rPr>
          <w:rFonts w:hint="eastAsia" w:ascii="宋体" w:hAnsi="宋体" w:eastAsia="宋体" w:cs="宋体"/>
          <w:color w:val="auto"/>
          <w:spacing w:val="0"/>
          <w:sz w:val="28"/>
          <w:szCs w:val="28"/>
          <w:highlight w:val="none"/>
        </w:rPr>
        <w:t>-2018）标准，</w:t>
      </w:r>
      <w:r>
        <w:rPr>
          <w:rFonts w:hint="eastAsia" w:ascii="宋体" w:hAnsi="宋体" w:eastAsia="宋体" w:cs="宋体"/>
          <w:color w:val="auto"/>
          <w:spacing w:val="0"/>
          <w:sz w:val="28"/>
          <w:szCs w:val="28"/>
          <w:highlight w:val="none"/>
          <w:lang w:eastAsia="zh-CN"/>
        </w:rPr>
        <w:t>以上两项</w:t>
      </w:r>
      <w:r>
        <w:rPr>
          <w:rFonts w:hint="eastAsia" w:ascii="宋体" w:hAnsi="宋体" w:eastAsia="宋体" w:cs="宋体"/>
          <w:color w:val="auto"/>
          <w:spacing w:val="0"/>
          <w:sz w:val="28"/>
          <w:szCs w:val="28"/>
          <w:highlight w:val="none"/>
        </w:rPr>
        <w:t>标准中没有的项目参考《场地土壤环境风险评价筛选值》（北京市地方标准DB11/T811-2011），评价</w:t>
      </w:r>
      <w:r>
        <w:rPr>
          <w:rFonts w:hint="eastAsia" w:ascii="宋体" w:hAnsi="宋体" w:eastAsia="宋体" w:cs="宋体"/>
          <w:color w:val="auto"/>
          <w:spacing w:val="0"/>
          <w:sz w:val="28"/>
          <w:szCs w:val="28"/>
          <w:highlight w:val="none"/>
          <w:lang w:eastAsia="zh-CN"/>
        </w:rPr>
        <w:t>河南德利新能源材料有限公司</w:t>
      </w:r>
      <w:r>
        <w:rPr>
          <w:rFonts w:hint="eastAsia" w:ascii="宋体" w:hAnsi="宋体" w:eastAsia="宋体" w:cs="宋体"/>
          <w:color w:val="auto"/>
          <w:spacing w:val="0"/>
          <w:sz w:val="28"/>
          <w:szCs w:val="28"/>
          <w:highlight w:val="none"/>
        </w:rPr>
        <w:t>土壤质量情况符合建设用地的筛选值或管制值，或是超管制值。</w:t>
      </w:r>
    </w:p>
    <w:p>
      <w:pPr>
        <w:rPr>
          <w:rFonts w:hint="eastAsia" w:ascii="宋体" w:hAnsi="宋体" w:eastAsia="宋体" w:cs="宋体"/>
          <w:b/>
          <w:bCs/>
          <w:kern w:val="2"/>
          <w:sz w:val="28"/>
          <w:szCs w:val="32"/>
          <w:lang w:val="en-US" w:eastAsia="zh-CN" w:bidi="ar-SA"/>
        </w:rPr>
      </w:pPr>
      <w:bookmarkStart w:id="308" w:name="_Toc15021"/>
      <w:r>
        <w:rPr>
          <w:rFonts w:hint="eastAsia" w:ascii="宋体" w:hAnsi="宋体" w:eastAsia="宋体" w:cs="宋体"/>
          <w:b/>
          <w:bCs/>
          <w:kern w:val="2"/>
          <w:sz w:val="28"/>
          <w:szCs w:val="32"/>
          <w:lang w:val="en-US" w:eastAsia="zh-CN" w:bidi="ar-SA"/>
        </w:rPr>
        <w:br w:type="page"/>
      </w:r>
    </w:p>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r>
        <w:rPr>
          <w:rFonts w:hint="eastAsia" w:ascii="宋体" w:hAnsi="宋体" w:eastAsia="宋体" w:cs="宋体"/>
          <w:b/>
          <w:bCs/>
          <w:kern w:val="2"/>
          <w:sz w:val="28"/>
          <w:szCs w:val="32"/>
          <w:lang w:val="en-US" w:eastAsia="zh-CN" w:bidi="ar-SA"/>
        </w:rPr>
        <w:t>10.3自行监测结论</w:t>
      </w:r>
      <w:bookmarkEnd w:id="306"/>
      <w:bookmarkEnd w:id="307"/>
      <w:bookmarkEnd w:id="308"/>
    </w:p>
    <w:p>
      <w:pPr>
        <w:spacing w:line="360" w:lineRule="auto"/>
        <w:ind w:firstLine="560" w:firstLineChars="200"/>
        <w:outlineLvl w:val="9"/>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zh-CN" w:eastAsia="zh-CN" w:bidi="ar-SA"/>
        </w:rPr>
        <w:t>河南德利新能源材料有限公司土壤各监测点位</w:t>
      </w:r>
      <w:r>
        <w:rPr>
          <w:rFonts w:hint="eastAsia" w:ascii="宋体" w:hAnsi="宋体" w:eastAsia="宋体" w:cs="宋体"/>
          <w:b w:val="0"/>
          <w:bCs w:val="0"/>
          <w:color w:val="auto"/>
          <w:kern w:val="2"/>
          <w:sz w:val="28"/>
          <w:szCs w:val="24"/>
          <w:highlight w:val="none"/>
          <w:lang w:val="en-US" w:eastAsia="zh-CN" w:bidi="ar-SA"/>
        </w:rPr>
        <w:t>符合《土壤环境质量建设用地土壤污染风险管控标准》（试行）（GB36600-2018）、</w:t>
      </w:r>
      <w:r>
        <w:rPr>
          <w:rFonts w:hint="eastAsia" w:ascii="宋体" w:hAnsi="宋体" w:eastAsia="宋体" w:cs="宋体"/>
          <w:b w:val="0"/>
          <w:bCs w:val="0"/>
          <w:color w:val="auto"/>
          <w:kern w:val="2"/>
          <w:sz w:val="28"/>
          <w:szCs w:val="24"/>
          <w:highlight w:val="none"/>
          <w:lang w:val="zh-CN" w:eastAsia="zh-CN" w:bidi="ar-SA"/>
        </w:rPr>
        <w:t>《土壤环境质量农用地土壤污染风险管控标准》（试行）（GB</w:t>
      </w:r>
      <w:r>
        <w:rPr>
          <w:rFonts w:hint="eastAsia" w:ascii="宋体" w:hAnsi="宋体" w:eastAsia="宋体" w:cs="宋体"/>
          <w:b w:val="0"/>
          <w:bCs w:val="0"/>
          <w:color w:val="auto"/>
          <w:kern w:val="2"/>
          <w:sz w:val="28"/>
          <w:szCs w:val="24"/>
          <w:highlight w:val="none"/>
          <w:lang w:val="en-US" w:eastAsia="zh-CN" w:bidi="ar-SA"/>
        </w:rPr>
        <w:t>15618</w:t>
      </w:r>
      <w:r>
        <w:rPr>
          <w:rFonts w:hint="eastAsia" w:ascii="宋体" w:hAnsi="宋体" w:eastAsia="宋体" w:cs="宋体"/>
          <w:b w:val="0"/>
          <w:bCs w:val="0"/>
          <w:color w:val="auto"/>
          <w:kern w:val="2"/>
          <w:sz w:val="28"/>
          <w:szCs w:val="24"/>
          <w:highlight w:val="none"/>
          <w:lang w:val="zh-CN" w:eastAsia="zh-CN" w:bidi="ar-SA"/>
        </w:rPr>
        <w:t>-2018）标准、《场地土壤环境风险评价筛选值》（北京市地方标准DB11/T811-2011</w:t>
      </w:r>
      <w:r>
        <w:rPr>
          <w:rFonts w:hint="eastAsia" w:ascii="宋体" w:hAnsi="宋体" w:eastAsia="宋体" w:cs="宋体"/>
          <w:b w:val="0"/>
          <w:bCs w:val="0"/>
          <w:color w:val="auto"/>
          <w:kern w:val="2"/>
          <w:sz w:val="28"/>
          <w:szCs w:val="24"/>
          <w:highlight w:val="none"/>
          <w:lang w:val="en-US" w:eastAsia="zh-CN" w:bidi="ar-SA"/>
        </w:rPr>
        <w:t>）等各项标准要求。</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309" w:name="_Toc9584"/>
      <w:bookmarkStart w:id="310" w:name="_Toc3939"/>
      <w:bookmarkStart w:id="311" w:name="_Toc18337"/>
      <w:r>
        <w:rPr>
          <w:rFonts w:hint="eastAsia" w:ascii="宋体" w:hAnsi="宋体" w:eastAsia="宋体" w:cs="宋体"/>
          <w:b/>
          <w:bCs/>
          <w:kern w:val="2"/>
          <w:sz w:val="28"/>
          <w:szCs w:val="32"/>
          <w:lang w:val="en-US" w:eastAsia="zh-CN" w:bidi="ar-SA"/>
        </w:rPr>
        <w:t>10.4拟采取的主要措施</w:t>
      </w:r>
      <w:bookmarkEnd w:id="309"/>
      <w:bookmarkEnd w:id="310"/>
      <w:bookmarkEnd w:id="311"/>
    </w:p>
    <w:p>
      <w:pPr>
        <w:pStyle w:val="40"/>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1</w:t>
      </w:r>
      <w:r>
        <w:rPr>
          <w:rFonts w:hint="eastAsia" w:ascii="宋体" w:hAnsi="宋体" w:eastAsia="宋体" w:cs="宋体"/>
          <w:color w:val="auto"/>
          <w:kern w:val="2"/>
          <w:sz w:val="28"/>
          <w:szCs w:val="28"/>
        </w:rPr>
        <w:t>）加强日常生产管理，加强各设备、设施的巡检及维护保养，避免跑、冒、滴、漏现象；</w:t>
      </w:r>
    </w:p>
    <w:p>
      <w:pPr>
        <w:pStyle w:val="40"/>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2</w:t>
      </w:r>
      <w:r>
        <w:rPr>
          <w:rFonts w:hint="eastAsia" w:ascii="宋体" w:hAnsi="宋体" w:eastAsia="宋体" w:cs="宋体"/>
          <w:color w:val="auto"/>
          <w:kern w:val="2"/>
          <w:sz w:val="28"/>
          <w:szCs w:val="28"/>
        </w:rPr>
        <w:t>）加强环保设施的维护，确保各类污染物长期稳定达标排放，减少大气尘降对厂区土壤的影响；</w:t>
      </w:r>
    </w:p>
    <w:p>
      <w:pPr>
        <w:pStyle w:val="40"/>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3</w:t>
      </w:r>
      <w:r>
        <w:rPr>
          <w:rFonts w:hint="eastAsia" w:ascii="宋体" w:hAnsi="宋体" w:eastAsia="宋体" w:cs="宋体"/>
          <w:color w:val="auto"/>
          <w:kern w:val="2"/>
          <w:sz w:val="28"/>
          <w:szCs w:val="28"/>
        </w:rPr>
        <w:t>）各原料堆场封闭运行，加强转运管理，避免转运过程中的扬撒、尘降</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发现扬撒，及时清理；</w:t>
      </w:r>
    </w:p>
    <w:p>
      <w:pPr>
        <w:pStyle w:val="40"/>
        <w:widowControl w:val="0"/>
        <w:tabs>
          <w:tab w:val="left" w:pos="1486"/>
        </w:tabs>
        <w:spacing w:line="520" w:lineRule="exact"/>
        <w:ind w:left="0" w:firstLine="560" w:firstLineChars="200"/>
        <w:jc w:val="both"/>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4</w:t>
      </w:r>
      <w:r>
        <w:rPr>
          <w:rFonts w:hint="eastAsia" w:ascii="宋体" w:hAnsi="宋体" w:eastAsia="宋体" w:cs="宋体"/>
          <w:color w:val="auto"/>
          <w:kern w:val="2"/>
          <w:sz w:val="28"/>
          <w:szCs w:val="28"/>
        </w:rPr>
        <w:t>）注意日常土壤污染隐患排查工作，巡检及排查过程中发现问题及时处理，注意厂区硬化及防渗措施的情况，发现裂痕或泄漏及时修补处理。</w:t>
      </w:r>
    </w:p>
    <w:p>
      <w:pPr>
        <w:pStyle w:val="4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5</w:t>
      </w:r>
      <w:r>
        <w:rPr>
          <w:rFonts w:hint="eastAsia" w:ascii="宋体" w:hAnsi="宋体" w:eastAsia="宋体" w:cs="宋体"/>
          <w:color w:val="auto"/>
          <w:kern w:val="2"/>
          <w:sz w:val="28"/>
          <w:szCs w:val="28"/>
        </w:rPr>
        <w:t>）定期依计划进行土壤自行监测工作，分析监测结果及数据趋势，及时根据监测数据制定相应的制度措施。</w:t>
      </w:r>
    </w:p>
    <w:p>
      <w:pPr>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br w:type="page"/>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kern w:val="2"/>
          <w:sz w:val="28"/>
          <w:szCs w:val="28"/>
        </w:rPr>
        <w:sectPr>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07" w:charSpace="0"/>
        </w:sect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6432" behindDoc="0" locked="0" layoutInCell="1" allowOverlap="1">
            <wp:simplePos x="0" y="0"/>
            <wp:positionH relativeFrom="column">
              <wp:posOffset>7477760</wp:posOffset>
            </wp:positionH>
            <wp:positionV relativeFrom="paragraph">
              <wp:posOffset>138430</wp:posOffset>
            </wp:positionV>
            <wp:extent cx="790575" cy="676275"/>
            <wp:effectExtent l="0" t="0" r="9525" b="9525"/>
            <wp:wrapNone/>
            <wp:docPr id="1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pic:cNvPicPr>
                      <a:picLocks noChangeAspect="1"/>
                    </pic:cNvPicPr>
                  </pic:nvPicPr>
                  <pic:blipFill>
                    <a:blip r:embed="rId12"/>
                    <a:stretch>
                      <a:fillRect/>
                    </a:stretch>
                  </pic:blipFill>
                  <pic:spPr>
                    <a:xfrm>
                      <a:off x="0" y="0"/>
                      <a:ext cx="790575" cy="676275"/>
                    </a:xfrm>
                    <a:prstGeom prst="rect">
                      <a:avLst/>
                    </a:prstGeom>
                    <a:noFill/>
                    <a:ln>
                      <a:noFill/>
                    </a:ln>
                  </pic:spPr>
                </pic:pic>
              </a:graphicData>
            </a:graphic>
          </wp:anchor>
        </w:drawing>
      </w:r>
      <w:r>
        <w:rPr>
          <w:rFonts w:hint="eastAsia" w:ascii="宋体" w:hAnsi="宋体" w:eastAsia="宋体" w:cs="宋体"/>
          <w:color w:val="auto"/>
          <w:highlight w:val="none"/>
        </w:rPr>
        <w:drawing>
          <wp:anchor distT="0" distB="0" distL="114300" distR="114300" simplePos="0" relativeHeight="251663360" behindDoc="0" locked="0" layoutInCell="1" allowOverlap="1">
            <wp:simplePos x="0" y="0"/>
            <wp:positionH relativeFrom="column">
              <wp:posOffset>-52705</wp:posOffset>
            </wp:positionH>
            <wp:positionV relativeFrom="paragraph">
              <wp:posOffset>66675</wp:posOffset>
            </wp:positionV>
            <wp:extent cx="8758555" cy="4846955"/>
            <wp:effectExtent l="25400" t="25400" r="29845" b="29845"/>
            <wp:wrapNone/>
            <wp:docPr id="20" name="图片 1" descr="C:\Documents and Settings\Administrator\桌面\陕县行政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Documents and Settings\Administrator\桌面\陕县行政区划图.jpg"/>
                    <pic:cNvPicPr>
                      <a:picLocks noChangeAspect="1"/>
                    </pic:cNvPicPr>
                  </pic:nvPicPr>
                  <pic:blipFill>
                    <a:blip r:embed="rId13"/>
                    <a:stretch>
                      <a:fillRect/>
                    </a:stretch>
                  </pic:blipFill>
                  <pic:spPr>
                    <a:xfrm>
                      <a:off x="0" y="0"/>
                      <a:ext cx="8758555" cy="4846955"/>
                    </a:xfrm>
                    <a:prstGeom prst="rect">
                      <a:avLst/>
                    </a:prstGeom>
                    <a:noFill/>
                    <a:ln w="25400"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7202170</wp:posOffset>
                </wp:positionH>
                <wp:positionV relativeFrom="paragraph">
                  <wp:posOffset>3204845</wp:posOffset>
                </wp:positionV>
                <wp:extent cx="1211580" cy="556260"/>
                <wp:effectExtent l="796290" t="1075690" r="11430" b="6350"/>
                <wp:wrapNone/>
                <wp:docPr id="21" name="圆角矩形标注 21"/>
                <wp:cNvGraphicFramePr/>
                <a:graphic xmlns:a="http://schemas.openxmlformats.org/drawingml/2006/main">
                  <a:graphicData uri="http://schemas.microsoft.com/office/word/2010/wordprocessingShape">
                    <wps:wsp>
                      <wps:cNvSpPr/>
                      <wps:spPr>
                        <a:xfrm>
                          <a:off x="0" y="0"/>
                          <a:ext cx="1211580" cy="556260"/>
                        </a:xfrm>
                        <a:prstGeom prst="wedgeRoundRectCallout">
                          <a:avLst>
                            <a:gd name="adj1" fmla="val -113292"/>
                            <a:gd name="adj2" fmla="val -238435"/>
                            <a:gd name="adj3" fmla="val 16667"/>
                          </a:avLst>
                        </a:prstGeom>
                        <a:solidFill>
                          <a:srgbClr val="FFFFFF"/>
                        </a:solidFill>
                        <a:ln w="9525" cap="flat" cmpd="sng">
                          <a:solidFill>
                            <a:srgbClr val="FF00FF"/>
                          </a:solidFill>
                          <a:prstDash val="solid"/>
                          <a:miter/>
                          <a:headEnd type="none" w="med" len="med"/>
                          <a:tailEnd type="none" w="med" len="med"/>
                        </a:ln>
                      </wps:spPr>
                      <wps:txbx>
                        <w:txbxContent>
                          <w:p>
                            <w:pPr>
                              <w:ind w:left="0" w:leftChars="0" w:firstLine="0" w:firstLineChars="0"/>
                              <w:rPr>
                                <w:b/>
                                <w:bCs/>
                                <w:color w:val="002060"/>
                              </w:rPr>
                            </w:pPr>
                            <w:r>
                              <w:rPr>
                                <w:rFonts w:hint="eastAsia" w:cs="宋体"/>
                                <w:b/>
                                <w:bCs/>
                                <w:color w:val="002060"/>
                              </w:rPr>
                              <w:t>本项目厂址</w:t>
                            </w:r>
                          </w:p>
                        </w:txbxContent>
                      </wps:txbx>
                      <wps:bodyPr upright="1"/>
                    </wps:wsp>
                  </a:graphicData>
                </a:graphic>
              </wp:anchor>
            </w:drawing>
          </mc:Choice>
          <mc:Fallback>
            <w:pict>
              <v:shape id="_x0000_s1026" o:spid="_x0000_s1026" o:spt="62" type="#_x0000_t62" style="position:absolute;left:0pt;margin-left:567.1pt;margin-top:252.35pt;height:43.8pt;width:95.4pt;z-index:251665408;mso-width-relative:page;mso-height-relative:page;" fillcolor="#FFFFFF" filled="t" stroked="t" coordsize="21600,21600" o:gfxdata="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UGSE2wAA&#10;AA0BAAAPAAAAAAAAAAEAIAAAACIAAABkcnMvZG93bnJldi54bWxQSwECFAAUAAAACACHTuJAnq7/&#10;O1QCAADBBAAADgAAAAAAAAABACAAAAAqAQAAZHJzL2Uyb0RvYy54bWxQSwUGAAAAAAYABgBZAQAA&#10;8AUAAAAA&#10;" adj="-13671,-40702,14400">
                <v:fill on="t" focussize="0,0"/>
                <v:stroke color="#FF00FF" joinstyle="miter"/>
                <v:imagedata o:title=""/>
                <o:lock v:ext="edit" aspectratio="f"/>
                <v:textbox>
                  <w:txbxContent>
                    <w:p>
                      <w:pPr>
                        <w:ind w:left="0" w:leftChars="0" w:firstLine="0" w:firstLineChars="0"/>
                        <w:rPr>
                          <w:b/>
                          <w:bCs/>
                          <w:color w:val="002060"/>
                        </w:rPr>
                      </w:pPr>
                      <w:r>
                        <w:rPr>
                          <w:rFonts w:hint="eastAsia" w:cs="宋体"/>
                          <w:b/>
                          <w:bCs/>
                          <w:color w:val="002060"/>
                        </w:rPr>
                        <w:t>本项目厂址</w:t>
                      </w:r>
                    </w:p>
                  </w:txbxContent>
                </v:textbox>
              </v:shape>
            </w:pict>
          </mc:Fallback>
        </mc:AlternateContent>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2336" behindDoc="0" locked="0" layoutInCell="1" allowOverlap="1">
            <wp:simplePos x="0" y="0"/>
            <wp:positionH relativeFrom="column">
              <wp:posOffset>7525385</wp:posOffset>
            </wp:positionH>
            <wp:positionV relativeFrom="paragraph">
              <wp:posOffset>-2945130</wp:posOffset>
            </wp:positionV>
            <wp:extent cx="790575" cy="676275"/>
            <wp:effectExtent l="0" t="0" r="9525" b="9525"/>
            <wp:wrapNone/>
            <wp:docPr id="7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2"/>
                    <pic:cNvPicPr>
                      <a:picLocks noChangeAspect="1"/>
                    </pic:cNvPicPr>
                  </pic:nvPicPr>
                  <pic:blipFill>
                    <a:blip r:embed="rId12"/>
                    <a:stretch>
                      <a:fillRect/>
                    </a:stretch>
                  </pic:blipFill>
                  <pic:spPr>
                    <a:xfrm>
                      <a:off x="0" y="0"/>
                      <a:ext cx="790575" cy="676275"/>
                    </a:xfrm>
                    <a:prstGeom prst="rect">
                      <a:avLst/>
                    </a:prstGeom>
                    <a:noFill/>
                    <a:ln>
                      <a:noFill/>
                    </a:ln>
                  </pic:spPr>
                </pic:pic>
              </a:graphicData>
            </a:graphic>
          </wp:anchor>
        </w:drawing>
      </w:r>
    </w:p>
    <w:p>
      <w:pPr>
        <w:pageBreakBefore w:val="0"/>
        <w:kinsoku/>
        <w:wordWrap/>
        <w:overflowPunct/>
        <w:topLinePunct w:val="0"/>
        <w:bidi w:val="0"/>
        <w:spacing w:line="240" w:lineRule="auto"/>
        <w:ind w:right="0"/>
        <w:jc w:val="center"/>
        <w:outlineLvl w:val="0"/>
        <w:rPr>
          <w:rFonts w:hint="default" w:ascii="宋体" w:hAnsi="宋体" w:eastAsia="宋体" w:cs="宋体"/>
          <w:b/>
          <w:bCs/>
          <w:color w:val="auto"/>
          <w:sz w:val="24"/>
          <w:szCs w:val="32"/>
          <w:highlight w:val="none"/>
          <w:u w:val="none"/>
          <w:lang w:val="en-US" w:eastAsia="zh-CN"/>
        </w:rPr>
      </w:pPr>
      <w:bookmarkStart w:id="312" w:name="_Toc12237"/>
      <w:bookmarkStart w:id="313" w:name="_Toc29097"/>
      <w:r>
        <w:rPr>
          <w:rFonts w:hint="eastAsia" w:ascii="宋体" w:hAnsi="宋体" w:eastAsia="宋体" w:cs="宋体"/>
          <w:b/>
          <w:bCs/>
          <w:color w:val="auto"/>
          <w:sz w:val="24"/>
          <w:szCs w:val="32"/>
          <w:highlight w:val="none"/>
          <w:lang w:val="en-US" w:eastAsia="zh-CN"/>
        </w:rPr>
        <w:t>附</w:t>
      </w:r>
      <w:r>
        <w:rPr>
          <w:rFonts w:hint="eastAsia" w:ascii="宋体" w:hAnsi="宋体" w:eastAsia="宋体" w:cs="宋体"/>
          <w:b/>
          <w:bCs/>
          <w:color w:val="auto"/>
          <w:sz w:val="24"/>
          <w:szCs w:val="32"/>
          <w:highlight w:val="none"/>
          <w:u w:val="none"/>
          <w:lang w:val="en-US" w:eastAsia="zh-CN"/>
        </w:rPr>
        <w:t>图1 企业地理位置图</w:t>
      </w:r>
      <w:bookmarkEnd w:id="312"/>
    </w:p>
    <w:p>
      <w:pPr>
        <w:pStyle w:val="2"/>
        <w:ind w:left="0" w:leftChars="0" w:firstLine="0" w:firstLineChars="0"/>
        <w:rPr>
          <w:rFonts w:hint="eastAsia"/>
        </w:rPr>
        <w:sectPr>
          <w:pgSz w:w="16838" w:h="11905" w:orient="landscape"/>
          <w:pgMar w:top="1587" w:right="1701" w:bottom="1587" w:left="1701"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888990" cy="7982585"/>
            <wp:effectExtent l="0" t="0" r="3810" b="571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5888990" cy="7982585"/>
                    </a:xfrm>
                    <a:prstGeom prst="rect">
                      <a:avLst/>
                    </a:prstGeom>
                    <a:noFill/>
                    <a:ln>
                      <a:noFill/>
                    </a:ln>
                  </pic:spPr>
                </pic:pic>
              </a:graphicData>
            </a:graphic>
          </wp:inline>
        </w:drawing>
      </w:r>
    </w:p>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bCs/>
          <w:color w:val="auto"/>
          <w:sz w:val="24"/>
          <w:szCs w:val="32"/>
          <w:highlight w:val="none"/>
          <w:u w:val="none"/>
          <w:lang w:val="en-US" w:eastAsia="zh-CN"/>
        </w:rPr>
      </w:pPr>
      <w:bookmarkStart w:id="314" w:name="_Toc28566"/>
      <w:bookmarkStart w:id="315" w:name="_Toc2949"/>
      <w:bookmarkStart w:id="316" w:name="_Toc2669"/>
      <w:bookmarkStart w:id="317" w:name="_Toc31200"/>
      <w:r>
        <w:rPr>
          <w:rFonts w:hint="eastAsia" w:ascii="宋体" w:hAnsi="宋体" w:eastAsia="宋体" w:cs="宋体"/>
          <w:b/>
          <w:bCs/>
          <w:color w:val="auto"/>
          <w:sz w:val="24"/>
          <w:szCs w:val="32"/>
          <w:highlight w:val="none"/>
          <w:lang w:val="en-US" w:eastAsia="zh-CN"/>
        </w:rPr>
        <w:t>附</w:t>
      </w:r>
      <w:r>
        <w:rPr>
          <w:rFonts w:hint="eastAsia" w:ascii="宋体" w:hAnsi="宋体" w:eastAsia="宋体" w:cs="宋体"/>
          <w:b/>
          <w:bCs/>
          <w:color w:val="auto"/>
          <w:sz w:val="24"/>
          <w:szCs w:val="32"/>
          <w:highlight w:val="none"/>
          <w:u w:val="none"/>
          <w:lang w:val="en-US" w:eastAsia="zh-CN"/>
        </w:rPr>
        <w:t>图2三门峡市土壤污染类型</w:t>
      </w:r>
      <w:bookmarkEnd w:id="314"/>
      <w:bookmarkEnd w:id="315"/>
      <w:bookmarkEnd w:id="316"/>
      <w:bookmarkEnd w:id="317"/>
    </w:p>
    <w:p>
      <w:pP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br w:type="page"/>
      </w:r>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b/>
          <w:bCs/>
          <w:color w:val="auto"/>
          <w:highlight w:val="none"/>
          <w:u w:val="none"/>
          <w:lang w:val="en-US" w:eastAsia="zh-CN"/>
        </w:rPr>
        <w:sectPr>
          <w:pgSz w:w="11905" w:h="16838"/>
          <w:pgMar w:top="1644"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bookmarkStart w:id="318" w:name="_Toc25551"/>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b/>
          <w:bCs/>
          <w:color w:val="auto"/>
          <w:highlight w:val="none"/>
          <w:u w:val="none"/>
          <w:lang w:val="en-US" w:eastAsia="zh-CN"/>
        </w:rPr>
      </w:pPr>
      <w:r>
        <w:rPr>
          <w:rFonts w:hint="eastAsia" w:ascii="宋体" w:hAnsi="宋体" w:eastAsia="宋体" w:cs="宋体"/>
          <w:color w:val="auto"/>
          <w:highlight w:val="none"/>
        </w:rPr>
        <w:drawing>
          <wp:inline distT="0" distB="0" distL="114300" distR="114300">
            <wp:extent cx="8523605" cy="5194935"/>
            <wp:effectExtent l="0" t="0" r="10795" b="1206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5"/>
                    <a:stretch>
                      <a:fillRect/>
                    </a:stretch>
                  </pic:blipFill>
                  <pic:spPr>
                    <a:xfrm>
                      <a:off x="0" y="0"/>
                      <a:ext cx="8523605" cy="5194935"/>
                    </a:xfrm>
                    <a:prstGeom prst="rect">
                      <a:avLst/>
                    </a:prstGeom>
                    <a:noFill/>
                    <a:ln>
                      <a:noFill/>
                    </a:ln>
                  </pic:spPr>
                </pic:pic>
              </a:graphicData>
            </a:graphic>
          </wp:inline>
        </w:drawing>
      </w:r>
    </w:p>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val="0"/>
          <w:bCs w:val="0"/>
          <w:color w:val="auto"/>
          <w:sz w:val="24"/>
          <w:szCs w:val="32"/>
          <w:highlight w:val="none"/>
          <w:u w:val="none"/>
          <w:lang w:val="en-US" w:eastAsia="zh-CN"/>
        </w:rPr>
      </w:pPr>
      <w:bookmarkStart w:id="319" w:name="_Toc16389"/>
      <w:bookmarkStart w:id="320" w:name="_Toc30597"/>
      <w:bookmarkStart w:id="321" w:name="_Toc17618"/>
      <w:r>
        <w:rPr>
          <w:rFonts w:hint="eastAsia" w:ascii="宋体" w:hAnsi="宋体" w:eastAsia="宋体" w:cs="宋体"/>
          <w:b/>
          <w:bCs/>
          <w:color w:val="auto"/>
          <w:sz w:val="24"/>
          <w:szCs w:val="32"/>
          <w:highlight w:val="none"/>
          <w:u w:val="none"/>
          <w:lang w:val="en-US" w:eastAsia="zh-CN"/>
        </w:rPr>
        <w:t>附图3平面布置及监测点位图</w:t>
      </w:r>
      <w:bookmarkEnd w:id="318"/>
      <w:bookmarkEnd w:id="319"/>
      <w:bookmarkEnd w:id="320"/>
      <w:bookmarkEnd w:id="321"/>
    </w:p>
    <w:bookmarkEnd w:id="313"/>
    <w:p>
      <w:pPr>
        <w:pStyle w:val="7"/>
        <w:pageBreakBefore w:val="0"/>
        <w:numPr>
          <w:ilvl w:val="1"/>
          <w:numId w:val="0"/>
        </w:numPr>
        <w:kinsoku/>
        <w:wordWrap/>
        <w:overflowPunct/>
        <w:topLinePunct w:val="0"/>
        <w:bidi w:val="0"/>
        <w:spacing w:before="0" w:after="0" w:line="240" w:lineRule="auto"/>
        <w:ind w:left="0" w:leftChars="0" w:right="0"/>
        <w:jc w:val="both"/>
        <w:outlineLvl w:val="9"/>
        <w:rPr>
          <w:rFonts w:hint="eastAsia" w:ascii="宋体" w:hAnsi="宋体" w:eastAsia="宋体" w:cs="宋体"/>
          <w:b/>
          <w:bCs/>
          <w:color w:val="auto"/>
          <w:highlight w:val="none"/>
          <w:u w:val="none"/>
          <w:lang w:eastAsia="zh-CN"/>
        </w:rPr>
        <w:sectPr>
          <w:pgSz w:w="16838" w:h="11905" w:orient="landscape"/>
          <w:pgMar w:top="1587" w:right="1701" w:bottom="1587" w:left="1701"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bookmarkEnd w:id="162"/>
    <w:bookmarkEnd w:id="163"/>
    <w:bookmarkEnd w:id="164"/>
    <w:bookmarkEnd w:id="165"/>
    <w:bookmarkEnd w:id="166"/>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9"/>
        <w:gridCol w:w="4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6" w:hRule="atLeast"/>
        </w:trPr>
        <w:tc>
          <w:tcPr>
            <w:tcW w:w="4449" w:type="dxa"/>
            <w:vAlign w:val="center"/>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67456" behindDoc="1" locked="0" layoutInCell="1" allowOverlap="1">
                  <wp:simplePos x="0" y="0"/>
                  <wp:positionH relativeFrom="column">
                    <wp:posOffset>0</wp:posOffset>
                  </wp:positionH>
                  <wp:positionV relativeFrom="paragraph">
                    <wp:posOffset>-3296920</wp:posOffset>
                  </wp:positionV>
                  <wp:extent cx="2694305" cy="3566160"/>
                  <wp:effectExtent l="0" t="0" r="10795" b="15240"/>
                  <wp:wrapTight wrapText="bothSides">
                    <wp:wrapPolygon>
                      <wp:start x="0" y="0"/>
                      <wp:lineTo x="0" y="21462"/>
                      <wp:lineTo x="21381" y="21462"/>
                      <wp:lineTo x="21381" y="0"/>
                      <wp:lineTo x="0" y="0"/>
                    </wp:wrapPolygon>
                  </wp:wrapTight>
                  <wp:docPr id="9" name="图片 9" descr="微信图片_2023103008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030085442"/>
                          <pic:cNvPicPr>
                            <a:picLocks noChangeAspect="1"/>
                          </pic:cNvPicPr>
                        </pic:nvPicPr>
                        <pic:blipFill>
                          <a:blip r:embed="rId16"/>
                          <a:stretch>
                            <a:fillRect/>
                          </a:stretch>
                        </pic:blipFill>
                        <pic:spPr>
                          <a:xfrm>
                            <a:off x="0" y="0"/>
                            <a:ext cx="2694305" cy="3566160"/>
                          </a:xfrm>
                          <a:prstGeom prst="rect">
                            <a:avLst/>
                          </a:prstGeom>
                        </pic:spPr>
                      </pic:pic>
                    </a:graphicData>
                  </a:graphic>
                </wp:anchor>
              </w:drawing>
            </w:r>
          </w:p>
        </w:tc>
        <w:tc>
          <w:tcPr>
            <w:tcW w:w="4450" w:type="dxa"/>
            <w:vAlign w:val="center"/>
          </w:tcPr>
          <w:p>
            <w:pPr>
              <w:keepNext w:val="0"/>
              <w:keepLines w:val="0"/>
              <w:widowControl/>
              <w:suppressLineNumbers w:val="0"/>
              <w:adjustRightInd w:val="0"/>
              <w:snapToGrid w:val="0"/>
              <w:spacing w:before="0" w:beforeAutospacing="0" w:afterAutospacing="0" w:line="240" w:lineRule="auto"/>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68480" behindDoc="1" locked="0" layoutInCell="1" allowOverlap="1">
                  <wp:simplePos x="0" y="0"/>
                  <wp:positionH relativeFrom="column">
                    <wp:posOffset>-87630</wp:posOffset>
                  </wp:positionH>
                  <wp:positionV relativeFrom="paragraph">
                    <wp:posOffset>-3296920</wp:posOffset>
                  </wp:positionV>
                  <wp:extent cx="2694305" cy="3566160"/>
                  <wp:effectExtent l="0" t="0" r="10795" b="15240"/>
                  <wp:wrapTight wrapText="bothSides">
                    <wp:wrapPolygon>
                      <wp:start x="0" y="0"/>
                      <wp:lineTo x="0" y="21462"/>
                      <wp:lineTo x="21381" y="21462"/>
                      <wp:lineTo x="21381" y="0"/>
                      <wp:lineTo x="0" y="0"/>
                    </wp:wrapPolygon>
                  </wp:wrapTight>
                  <wp:docPr id="10" name="图片 10" descr="微信图片_2023103008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1030085522"/>
                          <pic:cNvPicPr>
                            <a:picLocks noChangeAspect="1"/>
                          </pic:cNvPicPr>
                        </pic:nvPicPr>
                        <pic:blipFill>
                          <a:blip r:embed="rId17"/>
                          <a:stretch>
                            <a:fillRect/>
                          </a:stretch>
                        </pic:blipFill>
                        <pic:spPr>
                          <a:xfrm>
                            <a:off x="0" y="0"/>
                            <a:ext cx="2694305" cy="356616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3" w:hRule="atLeast"/>
        </w:trPr>
        <w:tc>
          <w:tcPr>
            <w:tcW w:w="4449" w:type="dxa"/>
            <w:vAlign w:val="center"/>
          </w:tcPr>
          <w:p>
            <w:pPr>
              <w:keepNext w:val="0"/>
              <w:keepLines w:val="0"/>
              <w:widowControl/>
              <w:suppressLineNumbers w:val="0"/>
              <w:adjustRightInd w:val="0"/>
              <w:snapToGrid w:val="0"/>
              <w:spacing w:before="0" w:beforeAutospacing="0" w:after="120" w:afterAutospacing="0" w:line="560" w:lineRule="exact"/>
              <w:ind w:right="0"/>
              <w:jc w:val="both"/>
              <w:rPr>
                <w:rFonts w:hint="eastAsia" w:ascii="宋体" w:hAnsi="宋体" w:eastAsia="宋体" w:cs="宋体"/>
                <w:snapToGrid/>
                <w:spacing w:val="6"/>
                <w:kern w:val="0"/>
                <w:sz w:val="28"/>
                <w:szCs w:val="22"/>
                <w:vertAlign w:val="baseline"/>
                <w:lang w:val="en-US" w:eastAsia="zh-CN" w:bidi="ar"/>
              </w:rPr>
            </w:pPr>
            <w:r>
              <w:rPr>
                <w:sz w:val="28"/>
              </w:rPr>
              <mc:AlternateContent>
                <mc:Choice Requires="wps">
                  <w:drawing>
                    <wp:anchor distT="0" distB="0" distL="114300" distR="114300" simplePos="0" relativeHeight="251671552" behindDoc="0" locked="0" layoutInCell="1" allowOverlap="1">
                      <wp:simplePos x="0" y="0"/>
                      <wp:positionH relativeFrom="column">
                        <wp:posOffset>-55245</wp:posOffset>
                      </wp:positionH>
                      <wp:positionV relativeFrom="paragraph">
                        <wp:posOffset>527050</wp:posOffset>
                      </wp:positionV>
                      <wp:extent cx="5669280" cy="352425"/>
                      <wp:effectExtent l="0" t="0" r="0" b="0"/>
                      <wp:wrapNone/>
                      <wp:docPr id="13" name="文本框 13"/>
                      <wp:cNvGraphicFramePr/>
                      <a:graphic xmlns:a="http://schemas.openxmlformats.org/drawingml/2006/main">
                        <a:graphicData uri="http://schemas.microsoft.com/office/word/2010/wordprocessingShape">
                          <wps:wsp>
                            <wps:cNvSpPr txBox="1"/>
                            <wps:spPr>
                              <a:xfrm>
                                <a:off x="925830" y="9330690"/>
                                <a:ext cx="566928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bCs/>
                                      <w:color w:val="auto"/>
                                      <w:sz w:val="24"/>
                                      <w:szCs w:val="32"/>
                                      <w:highlight w:val="none"/>
                                      <w:u w:val="none"/>
                                      <w:lang w:val="en-US" w:eastAsia="zh-CN"/>
                                    </w:rPr>
                                  </w:pPr>
                                  <w:r>
                                    <w:rPr>
                                      <w:rFonts w:hint="eastAsia" w:ascii="宋体" w:hAnsi="宋体" w:eastAsia="宋体" w:cs="宋体"/>
                                      <w:b/>
                                      <w:bCs/>
                                      <w:color w:val="auto"/>
                                      <w:sz w:val="24"/>
                                      <w:szCs w:val="32"/>
                                      <w:highlight w:val="none"/>
                                      <w:u w:val="none"/>
                                      <w:lang w:val="zh-CN" w:eastAsia="zh-CN"/>
                                    </w:rPr>
                                    <w:t>附图</w:t>
                                  </w:r>
                                  <w:r>
                                    <w:rPr>
                                      <w:rFonts w:hint="eastAsia" w:ascii="宋体" w:hAnsi="宋体" w:eastAsia="宋体" w:cs="宋体"/>
                                      <w:b/>
                                      <w:bCs/>
                                      <w:color w:val="auto"/>
                                      <w:sz w:val="24"/>
                                      <w:szCs w:val="32"/>
                                      <w:highlight w:val="none"/>
                                      <w:u w:val="none"/>
                                      <w:lang w:val="en-US" w:eastAsia="zh-CN"/>
                                    </w:rPr>
                                    <w:t xml:space="preserve">4  </w:t>
                                  </w:r>
                                  <w:r>
                                    <w:rPr>
                                      <w:rFonts w:hint="eastAsia" w:ascii="宋体" w:hAnsi="宋体" w:eastAsia="宋体" w:cs="宋体"/>
                                      <w:b/>
                                      <w:bCs/>
                                      <w:color w:val="auto"/>
                                      <w:sz w:val="24"/>
                                      <w:szCs w:val="32"/>
                                      <w:highlight w:val="none"/>
                                      <w:u w:val="none"/>
                                      <w:lang w:val="zh-CN" w:eastAsia="zh-CN"/>
                                    </w:rPr>
                                    <w:t>现场采样照片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41.5pt;height:27.75pt;width:446.4pt;z-index:251671552;mso-width-relative:page;mso-height-relative:page;" filled="f" stroked="f" coordsize="21600,21600" o:gfxdata="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NLz42gAAAAkBAAAPAAAAAAAAAAEA&#10;IAAAACIAAABkcnMvZG93bnJldi54bWxQSwECFAAUAAAACACHTuJAGmZLuUYCAABzBAAADgAAAAAA&#10;AAABACAAAAApAQAAZHJzL2Uyb0RvYy54bWxQSwUGAAAAAAYABgBZAQAA4QUAAAAA&#10;">
                      <v:fill on="f" focussize="0,0"/>
                      <v:stroke on="f" weight="0.5pt"/>
                      <v:imagedata o:title=""/>
                      <o:lock v:ext="edit" aspectratio="f"/>
                      <v:textbox>
                        <w:txbxContent>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bCs/>
                                <w:color w:val="auto"/>
                                <w:sz w:val="24"/>
                                <w:szCs w:val="32"/>
                                <w:highlight w:val="none"/>
                                <w:u w:val="none"/>
                                <w:lang w:val="en-US" w:eastAsia="zh-CN"/>
                              </w:rPr>
                            </w:pPr>
                            <w:r>
                              <w:rPr>
                                <w:rFonts w:hint="eastAsia" w:ascii="宋体" w:hAnsi="宋体" w:eastAsia="宋体" w:cs="宋体"/>
                                <w:b/>
                                <w:bCs/>
                                <w:color w:val="auto"/>
                                <w:sz w:val="24"/>
                                <w:szCs w:val="32"/>
                                <w:highlight w:val="none"/>
                                <w:u w:val="none"/>
                                <w:lang w:val="zh-CN" w:eastAsia="zh-CN"/>
                              </w:rPr>
                              <w:t>附图</w:t>
                            </w:r>
                            <w:r>
                              <w:rPr>
                                <w:rFonts w:hint="eastAsia" w:ascii="宋体" w:hAnsi="宋体" w:eastAsia="宋体" w:cs="宋体"/>
                                <w:b/>
                                <w:bCs/>
                                <w:color w:val="auto"/>
                                <w:sz w:val="24"/>
                                <w:szCs w:val="32"/>
                                <w:highlight w:val="none"/>
                                <w:u w:val="none"/>
                                <w:lang w:val="en-US" w:eastAsia="zh-CN"/>
                              </w:rPr>
                              <w:t xml:space="preserve">4  </w:t>
                            </w:r>
                            <w:r>
                              <w:rPr>
                                <w:rFonts w:hint="eastAsia" w:ascii="宋体" w:hAnsi="宋体" w:eastAsia="宋体" w:cs="宋体"/>
                                <w:b/>
                                <w:bCs/>
                                <w:color w:val="auto"/>
                                <w:sz w:val="24"/>
                                <w:szCs w:val="32"/>
                                <w:highlight w:val="none"/>
                                <w:u w:val="none"/>
                                <w:lang w:val="zh-CN" w:eastAsia="zh-CN"/>
                              </w:rPr>
                              <w:t>现场采样照片</w:t>
                            </w:r>
                          </w:p>
                        </w:txbxContent>
                      </v:textbox>
                    </v:shape>
                  </w:pict>
                </mc:Fallback>
              </mc:AlternateContent>
            </w: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69504" behindDoc="1" locked="0" layoutInCell="1" allowOverlap="1">
                  <wp:simplePos x="0" y="0"/>
                  <wp:positionH relativeFrom="column">
                    <wp:posOffset>0</wp:posOffset>
                  </wp:positionH>
                  <wp:positionV relativeFrom="paragraph">
                    <wp:posOffset>-3296920</wp:posOffset>
                  </wp:positionV>
                  <wp:extent cx="2694305" cy="3566160"/>
                  <wp:effectExtent l="0" t="0" r="10795" b="15240"/>
                  <wp:wrapTight wrapText="bothSides">
                    <wp:wrapPolygon>
                      <wp:start x="0" y="0"/>
                      <wp:lineTo x="0" y="21462"/>
                      <wp:lineTo x="21381" y="21462"/>
                      <wp:lineTo x="21381" y="0"/>
                      <wp:lineTo x="0" y="0"/>
                    </wp:wrapPolygon>
                  </wp:wrapTight>
                  <wp:docPr id="11" name="图片 11" descr="微信图片_2023103008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030085524"/>
                          <pic:cNvPicPr>
                            <a:picLocks noChangeAspect="1"/>
                          </pic:cNvPicPr>
                        </pic:nvPicPr>
                        <pic:blipFill>
                          <a:blip r:embed="rId18"/>
                          <a:stretch>
                            <a:fillRect/>
                          </a:stretch>
                        </pic:blipFill>
                        <pic:spPr>
                          <a:xfrm>
                            <a:off x="0" y="0"/>
                            <a:ext cx="2694305" cy="3566160"/>
                          </a:xfrm>
                          <a:prstGeom prst="rect">
                            <a:avLst/>
                          </a:prstGeom>
                        </pic:spPr>
                      </pic:pic>
                    </a:graphicData>
                  </a:graphic>
                </wp:anchor>
              </w:drawing>
            </w:r>
          </w:p>
        </w:tc>
        <w:tc>
          <w:tcPr>
            <w:tcW w:w="4450" w:type="dxa"/>
            <w:vAlign w:val="center"/>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70528" behindDoc="1" locked="0" layoutInCell="1" allowOverlap="1">
                  <wp:simplePos x="0" y="0"/>
                  <wp:positionH relativeFrom="column">
                    <wp:posOffset>-87630</wp:posOffset>
                  </wp:positionH>
                  <wp:positionV relativeFrom="paragraph">
                    <wp:posOffset>-3296920</wp:posOffset>
                  </wp:positionV>
                  <wp:extent cx="2694305" cy="3566160"/>
                  <wp:effectExtent l="0" t="0" r="10795" b="15240"/>
                  <wp:wrapTight wrapText="bothSides">
                    <wp:wrapPolygon>
                      <wp:start x="0" y="0"/>
                      <wp:lineTo x="0" y="21462"/>
                      <wp:lineTo x="21381" y="21462"/>
                      <wp:lineTo x="21381" y="0"/>
                      <wp:lineTo x="0" y="0"/>
                    </wp:wrapPolygon>
                  </wp:wrapTight>
                  <wp:docPr id="12" name="图片 12" descr="微信图片_2023103008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1030085525"/>
                          <pic:cNvPicPr>
                            <a:picLocks noChangeAspect="1"/>
                          </pic:cNvPicPr>
                        </pic:nvPicPr>
                        <pic:blipFill>
                          <a:blip r:embed="rId19"/>
                          <a:stretch>
                            <a:fillRect/>
                          </a:stretch>
                        </pic:blipFill>
                        <pic:spPr>
                          <a:xfrm>
                            <a:off x="0" y="0"/>
                            <a:ext cx="2694305" cy="3566160"/>
                          </a:xfrm>
                          <a:prstGeom prst="rect">
                            <a:avLst/>
                          </a:prstGeom>
                        </pic:spPr>
                      </pic:pic>
                    </a:graphicData>
                  </a:graphic>
                </wp:anchor>
              </w:drawing>
            </w:r>
          </w:p>
        </w:tc>
      </w:tr>
    </w:tbl>
    <w:p>
      <w:pPr>
        <w:outlineLvl w:val="0"/>
        <w:rPr>
          <w:rFonts w:hint="eastAsia" w:ascii="宋体" w:hAnsi="宋体" w:eastAsia="宋体" w:cs="宋体"/>
          <w:b/>
          <w:bCs/>
          <w:sz w:val="24"/>
          <w:szCs w:val="32"/>
          <w:lang w:val="en-US" w:eastAsia="zh-CN"/>
        </w:rPr>
      </w:pPr>
      <w:bookmarkStart w:id="322" w:name="_Toc18034"/>
    </w:p>
    <w:p>
      <w:pPr>
        <w:outlineLvl w:val="0"/>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附件1 检测报告</w:t>
      </w:r>
      <w:bookmarkEnd w:id="322"/>
    </w:p>
    <w:p>
      <w:pPr>
        <w:tabs>
          <w:tab w:val="left" w:pos="2042"/>
        </w:tabs>
        <w:spacing w:line="240" w:lineRule="auto"/>
        <w:ind w:left="0" w:leftChars="0" w:firstLine="0" w:firstLineChars="0"/>
        <w:outlineLvl w:val="9"/>
        <w:rPr>
          <w:rFonts w:hint="eastAsia" w:ascii="宋体" w:hAnsi="宋体" w:eastAsia="宋体" w:cs="宋体"/>
          <w:color w:val="auto"/>
          <w:highlight w:val="none"/>
        </w:rPr>
      </w:pPr>
      <w:r>
        <w:rPr>
          <w:rFonts w:hint="eastAsia" w:ascii="宋体" w:hAnsi="宋体" w:eastAsia="宋体" w:cs="宋体"/>
          <w:b/>
          <w:bCs/>
          <w:color w:val="auto"/>
          <w:highlight w:val="none"/>
          <w:u w:val="none"/>
          <w:lang w:eastAsia="zh-CN"/>
        </w:rPr>
        <w:tab/>
      </w:r>
      <w:r>
        <w:rPr>
          <w:rFonts w:hint="eastAsia" w:ascii="宋体" w:hAnsi="宋体" w:eastAsia="宋体" w:cs="宋体"/>
          <w:b/>
          <w:bCs/>
          <w:color w:val="auto"/>
          <w:highlight w:val="none"/>
          <w:u w:val="none"/>
          <w:lang w:eastAsia="zh-CN"/>
        </w:rPr>
        <w:drawing>
          <wp:inline distT="0" distB="0" distL="114300" distR="114300">
            <wp:extent cx="5875020" cy="7780020"/>
            <wp:effectExtent l="0" t="0" r="5080" b="5080"/>
            <wp:docPr id="64" name="图片 64" descr="012-06-2023 德利新能源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12-06-2023 德利新能源_00"/>
                    <pic:cNvPicPr>
                      <a:picLocks noChangeAspect="1"/>
                    </pic:cNvPicPr>
                  </pic:nvPicPr>
                  <pic:blipFill>
                    <a:blip r:embed="rId20"/>
                    <a:stretch>
                      <a:fillRect/>
                    </a:stretch>
                  </pic:blipFill>
                  <pic:spPr>
                    <a:xfrm>
                      <a:off x="0" y="0"/>
                      <a:ext cx="5875020" cy="7780020"/>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99150" cy="8344535"/>
            <wp:effectExtent l="0" t="0" r="6350" b="12065"/>
            <wp:docPr id="63" name="图片 63" descr="012-06-2023 德利新能源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12-06-2023 德利新能源_01"/>
                    <pic:cNvPicPr>
                      <a:picLocks noChangeAspect="1"/>
                    </pic:cNvPicPr>
                  </pic:nvPicPr>
                  <pic:blipFill>
                    <a:blip r:embed="rId21"/>
                    <a:stretch>
                      <a:fillRect/>
                    </a:stretch>
                  </pic:blipFill>
                  <pic:spPr>
                    <a:xfrm>
                      <a:off x="0" y="0"/>
                      <a:ext cx="5899150" cy="834453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76925" cy="8312785"/>
            <wp:effectExtent l="0" t="0" r="3175" b="5715"/>
            <wp:docPr id="62" name="图片 62" descr="012-06-2023 德利新能源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12-06-2023 德利新能源_02"/>
                    <pic:cNvPicPr>
                      <a:picLocks noChangeAspect="1"/>
                    </pic:cNvPicPr>
                  </pic:nvPicPr>
                  <pic:blipFill>
                    <a:blip r:embed="rId22"/>
                    <a:stretch>
                      <a:fillRect/>
                    </a:stretch>
                  </pic:blipFill>
                  <pic:spPr>
                    <a:xfrm>
                      <a:off x="0" y="0"/>
                      <a:ext cx="5876925" cy="831278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99150" cy="8344535"/>
            <wp:effectExtent l="0" t="0" r="6350" b="12065"/>
            <wp:docPr id="61" name="图片 61" descr="012-06-2023 德利新能源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12-06-2023 德利新能源_03"/>
                    <pic:cNvPicPr>
                      <a:picLocks noChangeAspect="1"/>
                    </pic:cNvPicPr>
                  </pic:nvPicPr>
                  <pic:blipFill>
                    <a:blip r:embed="rId23"/>
                    <a:stretch>
                      <a:fillRect/>
                    </a:stretch>
                  </pic:blipFill>
                  <pic:spPr>
                    <a:xfrm>
                      <a:off x="0" y="0"/>
                      <a:ext cx="5899150" cy="834453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99150" cy="8344535"/>
            <wp:effectExtent l="0" t="0" r="6350" b="12065"/>
            <wp:docPr id="59" name="图片 59" descr="012-06-2023 德利新能源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12-06-2023 德利新能源_04"/>
                    <pic:cNvPicPr>
                      <a:picLocks noChangeAspect="1"/>
                    </pic:cNvPicPr>
                  </pic:nvPicPr>
                  <pic:blipFill>
                    <a:blip r:embed="rId24"/>
                    <a:stretch>
                      <a:fillRect/>
                    </a:stretch>
                  </pic:blipFill>
                  <pic:spPr>
                    <a:xfrm>
                      <a:off x="0" y="0"/>
                      <a:ext cx="5899150" cy="834453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99150" cy="8344535"/>
            <wp:effectExtent l="0" t="0" r="6350" b="12065"/>
            <wp:docPr id="58" name="图片 58" descr="012-06-2023 德利新能源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12-06-2023 德利新能源_05"/>
                    <pic:cNvPicPr>
                      <a:picLocks noChangeAspect="1"/>
                    </pic:cNvPicPr>
                  </pic:nvPicPr>
                  <pic:blipFill>
                    <a:blip r:embed="rId25"/>
                    <a:stretch>
                      <a:fillRect/>
                    </a:stretch>
                  </pic:blipFill>
                  <pic:spPr>
                    <a:xfrm>
                      <a:off x="0" y="0"/>
                      <a:ext cx="5899150" cy="834453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944235" cy="8408035"/>
            <wp:effectExtent l="0" t="0" r="12065" b="12065"/>
            <wp:docPr id="57" name="图片 57" descr="012-06-2023 德利新能源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12-06-2023 德利新能源_06"/>
                    <pic:cNvPicPr>
                      <a:picLocks noChangeAspect="1"/>
                    </pic:cNvPicPr>
                  </pic:nvPicPr>
                  <pic:blipFill>
                    <a:blip r:embed="rId26"/>
                    <a:stretch>
                      <a:fillRect/>
                    </a:stretch>
                  </pic:blipFill>
                  <pic:spPr>
                    <a:xfrm>
                      <a:off x="0" y="0"/>
                      <a:ext cx="5944235" cy="840803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99150" cy="8344535"/>
            <wp:effectExtent l="0" t="0" r="6350" b="12065"/>
            <wp:docPr id="1" name="图片 1" descr="012-06-2023 德利新能源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2-06-2023 德利新能源_07"/>
                    <pic:cNvPicPr>
                      <a:picLocks noChangeAspect="1"/>
                    </pic:cNvPicPr>
                  </pic:nvPicPr>
                  <pic:blipFill>
                    <a:blip r:embed="rId27"/>
                    <a:stretch>
                      <a:fillRect/>
                    </a:stretch>
                  </pic:blipFill>
                  <pic:spPr>
                    <a:xfrm>
                      <a:off x="0" y="0"/>
                      <a:ext cx="5899150" cy="834453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922010" cy="8376285"/>
            <wp:effectExtent l="0" t="0" r="8890" b="5715"/>
            <wp:docPr id="2" name="图片 2" descr="012-06-2023 德利新能源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2-06-2023 德利新能源_08"/>
                    <pic:cNvPicPr>
                      <a:picLocks noChangeAspect="1"/>
                    </pic:cNvPicPr>
                  </pic:nvPicPr>
                  <pic:blipFill>
                    <a:blip r:embed="rId28"/>
                    <a:stretch>
                      <a:fillRect/>
                    </a:stretch>
                  </pic:blipFill>
                  <pic:spPr>
                    <a:xfrm>
                      <a:off x="0" y="0"/>
                      <a:ext cx="5922010" cy="837628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32475" cy="8249920"/>
            <wp:effectExtent l="0" t="0" r="9525" b="5080"/>
            <wp:docPr id="3" name="图片 3" descr="012-06-2023 德利新能源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2-06-2023 德利新能源_09"/>
                    <pic:cNvPicPr>
                      <a:picLocks noChangeAspect="1"/>
                    </pic:cNvPicPr>
                  </pic:nvPicPr>
                  <pic:blipFill>
                    <a:blip r:embed="rId29"/>
                    <a:stretch>
                      <a:fillRect/>
                    </a:stretch>
                  </pic:blipFill>
                  <pic:spPr>
                    <a:xfrm>
                      <a:off x="0" y="0"/>
                      <a:ext cx="5832475" cy="8249920"/>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99150" cy="8344535"/>
            <wp:effectExtent l="0" t="0" r="6350" b="12065"/>
            <wp:docPr id="4" name="图片 4" descr="012-06-2023 德利新能源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2-06-2023 德利新能源_10"/>
                    <pic:cNvPicPr>
                      <a:picLocks noChangeAspect="1"/>
                    </pic:cNvPicPr>
                  </pic:nvPicPr>
                  <pic:blipFill>
                    <a:blip r:embed="rId30"/>
                    <a:stretch>
                      <a:fillRect/>
                    </a:stretch>
                  </pic:blipFill>
                  <pic:spPr>
                    <a:xfrm>
                      <a:off x="0" y="0"/>
                      <a:ext cx="5899150" cy="8344535"/>
                    </a:xfrm>
                    <a:prstGeom prst="rect">
                      <a:avLst/>
                    </a:prstGeom>
                  </pic:spPr>
                </pic:pic>
              </a:graphicData>
            </a:graphic>
          </wp:inline>
        </w:drawing>
      </w:r>
      <w:r>
        <w:rPr>
          <w:rFonts w:hint="eastAsia" w:ascii="宋体" w:hAnsi="宋体" w:eastAsia="宋体" w:cs="宋体"/>
          <w:b/>
          <w:bCs/>
          <w:color w:val="auto"/>
          <w:highlight w:val="none"/>
          <w:u w:val="none"/>
          <w:lang w:eastAsia="zh-CN"/>
        </w:rPr>
        <w:drawing>
          <wp:inline distT="0" distB="0" distL="114300" distR="114300">
            <wp:extent cx="5899150" cy="8344535"/>
            <wp:effectExtent l="0" t="0" r="6350" b="12065"/>
            <wp:docPr id="5" name="图片 5" descr="012-06-2023 德利新能源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2-06-2023 德利新能源_11"/>
                    <pic:cNvPicPr>
                      <a:picLocks noChangeAspect="1"/>
                    </pic:cNvPicPr>
                  </pic:nvPicPr>
                  <pic:blipFill>
                    <a:blip r:embed="rId31"/>
                    <a:stretch>
                      <a:fillRect/>
                    </a:stretch>
                  </pic:blipFill>
                  <pic:spPr>
                    <a:xfrm>
                      <a:off x="0" y="0"/>
                      <a:ext cx="5899150" cy="8344535"/>
                    </a:xfrm>
                    <a:prstGeom prst="rect">
                      <a:avLst/>
                    </a:prstGeom>
                  </pic:spPr>
                </pic:pic>
              </a:graphicData>
            </a:graphic>
          </wp:inline>
        </w:drawing>
      </w:r>
    </w:p>
    <w:p>
      <w:pPr>
        <w:outlineLvl w:val="0"/>
        <w:rPr>
          <w:rFonts w:hint="eastAsia" w:ascii="宋体" w:hAnsi="宋体" w:eastAsia="宋体" w:cs="宋体"/>
          <w:b/>
          <w:bCs/>
          <w:sz w:val="24"/>
          <w:szCs w:val="32"/>
          <w:lang w:val="en-US" w:eastAsia="zh-CN"/>
        </w:rPr>
      </w:pPr>
      <w:bookmarkStart w:id="323" w:name="_Toc24787"/>
      <w:r>
        <w:rPr>
          <w:rFonts w:hint="eastAsia" w:ascii="宋体" w:hAnsi="宋体" w:eastAsia="宋体" w:cs="宋体"/>
          <w:b/>
          <w:bCs/>
          <w:sz w:val="24"/>
          <w:szCs w:val="32"/>
          <w:lang w:val="en-US" w:eastAsia="zh-CN"/>
        </w:rPr>
        <w:t>附件2 检测资质证书、附表</w:t>
      </w:r>
      <w:bookmarkEnd w:id="323"/>
    </w:p>
    <w:p>
      <w:pPr>
        <w:rPr>
          <w:rFonts w:hint="eastAsia" w:ascii="宋体" w:hAnsi="宋体" w:eastAsia="宋体" w:cs="宋体"/>
          <w:sz w:val="21"/>
        </w:rPr>
      </w:pPr>
      <w:r>
        <w:rPr>
          <w:rFonts w:hint="eastAsia" w:ascii="宋体" w:hAnsi="宋体" w:eastAsia="宋体" w:cs="宋体"/>
          <w:sz w:val="21"/>
        </w:rPr>
        <w:drawing>
          <wp:inline distT="0" distB="0" distL="114300" distR="114300">
            <wp:extent cx="5758815" cy="8147685"/>
            <wp:effectExtent l="0" t="0" r="6985" b="5715"/>
            <wp:docPr id="55" name="图片 55" descr="资质附表--达峰检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资质附表--达峰检测(1)_00"/>
                    <pic:cNvPicPr>
                      <a:picLocks noChangeAspect="1"/>
                    </pic:cNvPicPr>
                  </pic:nvPicPr>
                  <pic:blipFill>
                    <a:blip r:embed="rId32"/>
                    <a:stretch>
                      <a:fillRect/>
                    </a:stretch>
                  </pic:blipFill>
                  <pic:spPr>
                    <a:xfrm>
                      <a:off x="0" y="0"/>
                      <a:ext cx="5758815" cy="8147685"/>
                    </a:xfrm>
                    <a:prstGeom prst="rect">
                      <a:avLst/>
                    </a:prstGeom>
                  </pic:spPr>
                </pic:pic>
              </a:graphicData>
            </a:graphic>
          </wp:inline>
        </w:drawing>
      </w:r>
      <w:r>
        <w:rPr>
          <w:rFonts w:hint="eastAsia" w:ascii="宋体" w:hAnsi="宋体" w:eastAsia="宋体" w:cs="宋体"/>
          <w:sz w:val="21"/>
        </w:rPr>
        <w:drawing>
          <wp:inline distT="0" distB="0" distL="114300" distR="114300">
            <wp:extent cx="5908040" cy="8359140"/>
            <wp:effectExtent l="0" t="0" r="10160" b="10160"/>
            <wp:docPr id="54" name="图片 54" descr="资质附表--达峰检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资质附表--达峰检测(1)_01"/>
                    <pic:cNvPicPr>
                      <a:picLocks noChangeAspect="1"/>
                    </pic:cNvPicPr>
                  </pic:nvPicPr>
                  <pic:blipFill>
                    <a:blip r:embed="rId33"/>
                    <a:stretch>
                      <a:fillRect/>
                    </a:stretch>
                  </pic:blipFill>
                  <pic:spPr>
                    <a:xfrm>
                      <a:off x="0" y="0"/>
                      <a:ext cx="5908040" cy="8359140"/>
                    </a:xfrm>
                    <a:prstGeom prst="rect">
                      <a:avLst/>
                    </a:prstGeom>
                  </pic:spPr>
                </pic:pic>
              </a:graphicData>
            </a:graphic>
          </wp:inline>
        </w:drawing>
      </w:r>
      <w:r>
        <w:rPr>
          <w:rFonts w:hint="eastAsia" w:ascii="宋体" w:hAnsi="宋体" w:eastAsia="宋体" w:cs="宋体"/>
          <w:sz w:val="21"/>
        </w:rPr>
        <w:drawing>
          <wp:inline distT="0" distB="0" distL="114300" distR="114300">
            <wp:extent cx="5893435" cy="8338185"/>
            <wp:effectExtent l="0" t="0" r="12065" b="5715"/>
            <wp:docPr id="53" name="图片 53" descr="资质附表--达峰检测(1)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资质附表--达峰检测(1)_43"/>
                    <pic:cNvPicPr>
                      <a:picLocks noChangeAspect="1"/>
                    </pic:cNvPicPr>
                  </pic:nvPicPr>
                  <pic:blipFill>
                    <a:blip r:embed="rId34"/>
                    <a:stretch>
                      <a:fillRect/>
                    </a:stretch>
                  </pic:blipFill>
                  <pic:spPr>
                    <a:xfrm>
                      <a:off x="0" y="0"/>
                      <a:ext cx="5893435" cy="8338185"/>
                    </a:xfrm>
                    <a:prstGeom prst="rect">
                      <a:avLst/>
                    </a:prstGeom>
                  </pic:spPr>
                </pic:pic>
              </a:graphicData>
            </a:graphic>
          </wp:inline>
        </w:drawing>
      </w:r>
      <w:r>
        <w:rPr>
          <w:rFonts w:hint="eastAsia" w:ascii="宋体" w:hAnsi="宋体" w:eastAsia="宋体" w:cs="宋体"/>
          <w:sz w:val="21"/>
        </w:rPr>
        <w:drawing>
          <wp:inline distT="0" distB="0" distL="114300" distR="114300">
            <wp:extent cx="5893435" cy="8338185"/>
            <wp:effectExtent l="0" t="0" r="12065" b="5715"/>
            <wp:docPr id="52" name="图片 52" descr="资质附表--达峰检测(1)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资质附表--达峰检测(1)_44"/>
                    <pic:cNvPicPr>
                      <a:picLocks noChangeAspect="1"/>
                    </pic:cNvPicPr>
                  </pic:nvPicPr>
                  <pic:blipFill>
                    <a:blip r:embed="rId35"/>
                    <a:stretch>
                      <a:fillRect/>
                    </a:stretch>
                  </pic:blipFill>
                  <pic:spPr>
                    <a:xfrm>
                      <a:off x="0" y="0"/>
                      <a:ext cx="5893435" cy="8338185"/>
                    </a:xfrm>
                    <a:prstGeom prst="rect">
                      <a:avLst/>
                    </a:prstGeom>
                  </pic:spPr>
                </pic:pic>
              </a:graphicData>
            </a:graphic>
          </wp:inline>
        </w:drawing>
      </w:r>
      <w:r>
        <w:rPr>
          <w:rFonts w:hint="eastAsia" w:ascii="宋体" w:hAnsi="宋体" w:eastAsia="宋体" w:cs="宋体"/>
          <w:sz w:val="21"/>
        </w:rPr>
        <w:drawing>
          <wp:inline distT="0" distB="0" distL="114300" distR="114300">
            <wp:extent cx="5922645" cy="8379460"/>
            <wp:effectExtent l="0" t="0" r="8255" b="2540"/>
            <wp:docPr id="51" name="图片 51" descr="资质附表--达峰检测(1)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资质附表--达峰检测(1)_45"/>
                    <pic:cNvPicPr>
                      <a:picLocks noChangeAspect="1"/>
                    </pic:cNvPicPr>
                  </pic:nvPicPr>
                  <pic:blipFill>
                    <a:blip r:embed="rId36"/>
                    <a:stretch>
                      <a:fillRect/>
                    </a:stretch>
                  </pic:blipFill>
                  <pic:spPr>
                    <a:xfrm>
                      <a:off x="0" y="0"/>
                      <a:ext cx="5922645" cy="8379460"/>
                    </a:xfrm>
                    <a:prstGeom prst="rect">
                      <a:avLst/>
                    </a:prstGeom>
                  </pic:spPr>
                </pic:pic>
              </a:graphicData>
            </a:graphic>
          </wp:inline>
        </w:drawing>
      </w:r>
      <w:r>
        <w:rPr>
          <w:rFonts w:hint="eastAsia" w:ascii="宋体" w:hAnsi="宋体" w:eastAsia="宋体" w:cs="宋体"/>
          <w:sz w:val="21"/>
        </w:rPr>
        <w:drawing>
          <wp:inline distT="0" distB="0" distL="114300" distR="114300">
            <wp:extent cx="5908040" cy="8358505"/>
            <wp:effectExtent l="0" t="0" r="10160" b="10795"/>
            <wp:docPr id="50" name="图片 50" descr="资质附表--达峰检测(1)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资质附表--达峰检测(1)_46"/>
                    <pic:cNvPicPr>
                      <a:picLocks noChangeAspect="1"/>
                    </pic:cNvPicPr>
                  </pic:nvPicPr>
                  <pic:blipFill>
                    <a:blip r:embed="rId37"/>
                    <a:stretch>
                      <a:fillRect/>
                    </a:stretch>
                  </pic:blipFill>
                  <pic:spPr>
                    <a:xfrm>
                      <a:off x="0" y="0"/>
                      <a:ext cx="5908040" cy="8358505"/>
                    </a:xfrm>
                    <a:prstGeom prst="rect">
                      <a:avLst/>
                    </a:prstGeom>
                  </pic:spPr>
                </pic:pic>
              </a:graphicData>
            </a:graphic>
          </wp:inline>
        </w:drawing>
      </w:r>
      <w:r>
        <w:rPr>
          <w:rFonts w:hint="eastAsia" w:ascii="宋体" w:hAnsi="宋体" w:eastAsia="宋体" w:cs="宋体"/>
          <w:sz w:val="21"/>
        </w:rPr>
        <w:drawing>
          <wp:inline distT="0" distB="0" distL="114300" distR="114300">
            <wp:extent cx="5892800" cy="8337550"/>
            <wp:effectExtent l="0" t="0" r="0" b="6350"/>
            <wp:docPr id="49" name="图片 49" descr="资质附表--达峰检测(1)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资质附表--达峰检测(1)_47"/>
                    <pic:cNvPicPr>
                      <a:picLocks noChangeAspect="1"/>
                    </pic:cNvPicPr>
                  </pic:nvPicPr>
                  <pic:blipFill>
                    <a:blip r:embed="rId38"/>
                    <a:stretch>
                      <a:fillRect/>
                    </a:stretch>
                  </pic:blipFill>
                  <pic:spPr>
                    <a:xfrm>
                      <a:off x="0" y="0"/>
                      <a:ext cx="5892800" cy="8337550"/>
                    </a:xfrm>
                    <a:prstGeom prst="rect">
                      <a:avLst/>
                    </a:prstGeom>
                  </pic:spPr>
                </pic:pic>
              </a:graphicData>
            </a:graphic>
          </wp:inline>
        </w:drawing>
      </w:r>
      <w:r>
        <w:rPr>
          <w:rFonts w:hint="eastAsia" w:ascii="宋体" w:hAnsi="宋体" w:eastAsia="宋体" w:cs="宋体"/>
          <w:sz w:val="21"/>
        </w:rPr>
        <w:drawing>
          <wp:inline distT="0" distB="0" distL="114300" distR="114300">
            <wp:extent cx="5728970" cy="8105140"/>
            <wp:effectExtent l="0" t="0" r="11430" b="10160"/>
            <wp:docPr id="48" name="图片 48" descr="资质附表--达峰检测(1)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资质附表--达峰检测(1)_48"/>
                    <pic:cNvPicPr>
                      <a:picLocks noChangeAspect="1"/>
                    </pic:cNvPicPr>
                  </pic:nvPicPr>
                  <pic:blipFill>
                    <a:blip r:embed="rId39"/>
                    <a:stretch>
                      <a:fillRect/>
                    </a:stretch>
                  </pic:blipFill>
                  <pic:spPr>
                    <a:xfrm>
                      <a:off x="0" y="0"/>
                      <a:ext cx="5728970" cy="8105140"/>
                    </a:xfrm>
                    <a:prstGeom prst="rect">
                      <a:avLst/>
                    </a:prstGeom>
                  </pic:spPr>
                </pic:pic>
              </a:graphicData>
            </a:graphic>
          </wp:inline>
        </w:drawing>
      </w:r>
      <w:r>
        <w:rPr>
          <w:rFonts w:hint="eastAsia" w:ascii="宋体" w:hAnsi="宋体" w:eastAsia="宋体" w:cs="宋体"/>
          <w:sz w:val="21"/>
        </w:rPr>
        <w:drawing>
          <wp:inline distT="0" distB="0" distL="114300" distR="114300">
            <wp:extent cx="5818505" cy="8232140"/>
            <wp:effectExtent l="0" t="0" r="10795" b="10160"/>
            <wp:docPr id="47" name="图片 47" descr="资质附表--达峰检测(1)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资质附表--达峰检测(1)_49"/>
                    <pic:cNvPicPr>
                      <a:picLocks noChangeAspect="1"/>
                    </pic:cNvPicPr>
                  </pic:nvPicPr>
                  <pic:blipFill>
                    <a:blip r:embed="rId40"/>
                    <a:stretch>
                      <a:fillRect/>
                    </a:stretch>
                  </pic:blipFill>
                  <pic:spPr>
                    <a:xfrm>
                      <a:off x="0" y="0"/>
                      <a:ext cx="5818505" cy="8232140"/>
                    </a:xfrm>
                    <a:prstGeom prst="rect">
                      <a:avLst/>
                    </a:prstGeom>
                  </pic:spPr>
                </pic:pic>
              </a:graphicData>
            </a:graphic>
          </wp:inline>
        </w:drawing>
      </w:r>
      <w:r>
        <w:rPr>
          <w:rFonts w:hint="eastAsia" w:ascii="宋体" w:hAnsi="宋体" w:eastAsia="宋体" w:cs="宋体"/>
          <w:sz w:val="21"/>
        </w:rPr>
        <w:drawing>
          <wp:inline distT="0" distB="0" distL="114300" distR="114300">
            <wp:extent cx="5862955" cy="8295005"/>
            <wp:effectExtent l="0" t="0" r="4445" b="10795"/>
            <wp:docPr id="46" name="图片 46" descr="资质附表--达峰检测(1)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资质附表--达峰检测(1)_50"/>
                    <pic:cNvPicPr>
                      <a:picLocks noChangeAspect="1"/>
                    </pic:cNvPicPr>
                  </pic:nvPicPr>
                  <pic:blipFill>
                    <a:blip r:embed="rId41"/>
                    <a:stretch>
                      <a:fillRect/>
                    </a:stretch>
                  </pic:blipFill>
                  <pic:spPr>
                    <a:xfrm>
                      <a:off x="0" y="0"/>
                      <a:ext cx="5862955" cy="8295005"/>
                    </a:xfrm>
                    <a:prstGeom prst="rect">
                      <a:avLst/>
                    </a:prstGeom>
                  </pic:spPr>
                </pic:pic>
              </a:graphicData>
            </a:graphic>
          </wp:inline>
        </w:drawing>
      </w:r>
      <w:r>
        <w:rPr>
          <w:rFonts w:hint="eastAsia" w:ascii="宋体" w:hAnsi="宋体" w:eastAsia="宋体" w:cs="宋体"/>
          <w:sz w:val="21"/>
        </w:rPr>
        <w:drawing>
          <wp:inline distT="0" distB="0" distL="114300" distR="114300">
            <wp:extent cx="5878195" cy="8316595"/>
            <wp:effectExtent l="0" t="0" r="1905" b="1905"/>
            <wp:docPr id="45" name="图片 45" descr="资质附表--达峰检测(1)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资质附表--达峰检测(1)_51"/>
                    <pic:cNvPicPr>
                      <a:picLocks noChangeAspect="1"/>
                    </pic:cNvPicPr>
                  </pic:nvPicPr>
                  <pic:blipFill>
                    <a:blip r:embed="rId42"/>
                    <a:stretch>
                      <a:fillRect/>
                    </a:stretch>
                  </pic:blipFill>
                  <pic:spPr>
                    <a:xfrm>
                      <a:off x="0" y="0"/>
                      <a:ext cx="5878195" cy="8316595"/>
                    </a:xfrm>
                    <a:prstGeom prst="rect">
                      <a:avLst/>
                    </a:prstGeom>
                  </pic:spPr>
                </pic:pic>
              </a:graphicData>
            </a:graphic>
          </wp:inline>
        </w:drawing>
      </w:r>
      <w:r>
        <w:rPr>
          <w:rFonts w:hint="eastAsia" w:ascii="宋体" w:hAnsi="宋体" w:eastAsia="宋体" w:cs="宋体"/>
          <w:sz w:val="21"/>
        </w:rPr>
        <w:drawing>
          <wp:inline distT="0" distB="0" distL="114300" distR="114300">
            <wp:extent cx="5818505" cy="8232140"/>
            <wp:effectExtent l="0" t="0" r="10795" b="10160"/>
            <wp:docPr id="44" name="图片 44" descr="资质附表--达峰检测(1)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资质附表--达峰检测(1)_52"/>
                    <pic:cNvPicPr>
                      <a:picLocks noChangeAspect="1"/>
                    </pic:cNvPicPr>
                  </pic:nvPicPr>
                  <pic:blipFill>
                    <a:blip r:embed="rId43"/>
                    <a:stretch>
                      <a:fillRect/>
                    </a:stretch>
                  </pic:blipFill>
                  <pic:spPr>
                    <a:xfrm>
                      <a:off x="0" y="0"/>
                      <a:ext cx="5818505" cy="8232140"/>
                    </a:xfrm>
                    <a:prstGeom prst="rect">
                      <a:avLst/>
                    </a:prstGeom>
                  </pic:spPr>
                </pic:pic>
              </a:graphicData>
            </a:graphic>
          </wp:inline>
        </w:drawing>
      </w:r>
      <w:r>
        <w:rPr>
          <w:rFonts w:hint="eastAsia" w:ascii="宋体" w:hAnsi="宋体" w:eastAsia="宋体" w:cs="宋体"/>
          <w:sz w:val="21"/>
        </w:rPr>
        <w:drawing>
          <wp:inline distT="0" distB="0" distL="114300" distR="114300">
            <wp:extent cx="5862955" cy="8295005"/>
            <wp:effectExtent l="0" t="0" r="4445" b="10795"/>
            <wp:docPr id="43" name="图片 43" descr="资质附表--达峰检测(1)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资质附表--达峰检测(1)_53"/>
                    <pic:cNvPicPr>
                      <a:picLocks noChangeAspect="1"/>
                    </pic:cNvPicPr>
                  </pic:nvPicPr>
                  <pic:blipFill>
                    <a:blip r:embed="rId44"/>
                    <a:stretch>
                      <a:fillRect/>
                    </a:stretch>
                  </pic:blipFill>
                  <pic:spPr>
                    <a:xfrm>
                      <a:off x="0" y="0"/>
                      <a:ext cx="5862955" cy="8295005"/>
                    </a:xfrm>
                    <a:prstGeom prst="rect">
                      <a:avLst/>
                    </a:prstGeom>
                  </pic:spPr>
                </pic:pic>
              </a:graphicData>
            </a:graphic>
          </wp:inline>
        </w:drawing>
      </w:r>
      <w:r>
        <w:rPr>
          <w:rFonts w:hint="eastAsia" w:ascii="宋体" w:hAnsi="宋体" w:eastAsia="宋体" w:cs="宋体"/>
          <w:sz w:val="21"/>
        </w:rPr>
        <w:drawing>
          <wp:inline distT="0" distB="0" distL="114300" distR="114300">
            <wp:extent cx="5908040" cy="8358505"/>
            <wp:effectExtent l="0" t="0" r="10160" b="10795"/>
            <wp:docPr id="42" name="图片 42" descr="资质附表--达峰检测(1)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资质附表--达峰检测(1)_54"/>
                    <pic:cNvPicPr>
                      <a:picLocks noChangeAspect="1"/>
                    </pic:cNvPicPr>
                  </pic:nvPicPr>
                  <pic:blipFill>
                    <a:blip r:embed="rId45"/>
                    <a:stretch>
                      <a:fillRect/>
                    </a:stretch>
                  </pic:blipFill>
                  <pic:spPr>
                    <a:xfrm>
                      <a:off x="0" y="0"/>
                      <a:ext cx="5908040" cy="8358505"/>
                    </a:xfrm>
                    <a:prstGeom prst="rect">
                      <a:avLst/>
                    </a:prstGeom>
                  </pic:spPr>
                </pic:pic>
              </a:graphicData>
            </a:graphic>
          </wp:inline>
        </w:drawing>
      </w:r>
      <w:r>
        <w:rPr>
          <w:rFonts w:hint="eastAsia" w:ascii="宋体" w:hAnsi="宋体" w:eastAsia="宋体" w:cs="宋体"/>
          <w:sz w:val="21"/>
        </w:rPr>
        <w:drawing>
          <wp:inline distT="0" distB="0" distL="114300" distR="114300">
            <wp:extent cx="5953125" cy="8422640"/>
            <wp:effectExtent l="0" t="0" r="3175" b="10160"/>
            <wp:docPr id="41" name="图片 41" descr="资质附表--达峰检测(1)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资质附表--达峰检测(1)_55"/>
                    <pic:cNvPicPr>
                      <a:picLocks noChangeAspect="1"/>
                    </pic:cNvPicPr>
                  </pic:nvPicPr>
                  <pic:blipFill>
                    <a:blip r:embed="rId46"/>
                    <a:stretch>
                      <a:fillRect/>
                    </a:stretch>
                  </pic:blipFill>
                  <pic:spPr>
                    <a:xfrm>
                      <a:off x="0" y="0"/>
                      <a:ext cx="5953125" cy="8422640"/>
                    </a:xfrm>
                    <a:prstGeom prst="rect">
                      <a:avLst/>
                    </a:prstGeom>
                  </pic:spPr>
                </pic:pic>
              </a:graphicData>
            </a:graphic>
          </wp:inline>
        </w:drawing>
      </w:r>
      <w:r>
        <w:rPr>
          <w:rFonts w:hint="eastAsia" w:ascii="宋体" w:hAnsi="宋体" w:eastAsia="宋体" w:cs="宋体"/>
          <w:sz w:val="21"/>
        </w:rPr>
        <w:drawing>
          <wp:inline distT="0" distB="0" distL="114300" distR="114300">
            <wp:extent cx="6012815" cy="8507095"/>
            <wp:effectExtent l="0" t="0" r="6985" b="1905"/>
            <wp:docPr id="40" name="图片 40" descr="资质附表--达峰检测(1)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资质附表--达峰检测(1)_56"/>
                    <pic:cNvPicPr>
                      <a:picLocks noChangeAspect="1"/>
                    </pic:cNvPicPr>
                  </pic:nvPicPr>
                  <pic:blipFill>
                    <a:blip r:embed="rId47"/>
                    <a:stretch>
                      <a:fillRect/>
                    </a:stretch>
                  </pic:blipFill>
                  <pic:spPr>
                    <a:xfrm>
                      <a:off x="0" y="0"/>
                      <a:ext cx="6012815" cy="8507095"/>
                    </a:xfrm>
                    <a:prstGeom prst="rect">
                      <a:avLst/>
                    </a:prstGeom>
                  </pic:spPr>
                </pic:pic>
              </a:graphicData>
            </a:graphic>
          </wp:inline>
        </w:drawing>
      </w:r>
    </w:p>
    <w:p>
      <w:pPr>
        <w:pStyle w:val="7"/>
        <w:pageBreakBefore w:val="0"/>
        <w:numPr>
          <w:ilvl w:val="1"/>
          <w:numId w:val="0"/>
        </w:numPr>
        <w:kinsoku/>
        <w:wordWrap/>
        <w:overflowPunct/>
        <w:topLinePunct w:val="0"/>
        <w:bidi w:val="0"/>
        <w:spacing w:before="0" w:after="0" w:line="360" w:lineRule="auto"/>
        <w:ind w:left="0" w:leftChars="0" w:right="0"/>
        <w:jc w:val="both"/>
        <w:outlineLvl w:val="0"/>
        <w:rPr>
          <w:rFonts w:hint="eastAsia" w:ascii="宋体" w:hAnsi="宋体" w:eastAsia="宋体" w:cs="宋体"/>
          <w:b/>
          <w:bCs/>
          <w:color w:val="auto"/>
          <w:highlight w:val="none"/>
          <w:u w:val="none"/>
          <w:lang w:val="en-US" w:eastAsia="zh-CN"/>
        </w:rPr>
      </w:pPr>
      <w:bookmarkStart w:id="324" w:name="_Toc28099"/>
      <w:bookmarkStart w:id="325" w:name="_Toc1942"/>
      <w:bookmarkStart w:id="326" w:name="_Toc10298"/>
      <w:r>
        <w:rPr>
          <w:rFonts w:hint="eastAsia" w:ascii="宋体" w:hAnsi="宋体" w:eastAsia="宋体" w:cs="宋体"/>
          <w:b/>
          <w:bCs/>
          <w:color w:val="auto"/>
          <w:highlight w:val="none"/>
          <w:u w:val="none"/>
          <w:lang w:eastAsia="zh-CN"/>
        </w:rPr>
        <w:t>附件</w:t>
      </w:r>
      <w:r>
        <w:rPr>
          <w:rFonts w:hint="eastAsia" w:cs="宋体"/>
          <w:b/>
          <w:bCs/>
          <w:color w:val="auto"/>
          <w:highlight w:val="none"/>
          <w:u w:val="none"/>
          <w:lang w:val="en-US" w:eastAsia="zh-CN"/>
        </w:rPr>
        <w:t>3</w:t>
      </w:r>
      <w:r>
        <w:rPr>
          <w:rFonts w:hint="eastAsia" w:ascii="宋体" w:hAnsi="宋体" w:eastAsia="宋体" w:cs="宋体"/>
          <w:b/>
          <w:bCs/>
          <w:color w:val="auto"/>
          <w:highlight w:val="none"/>
          <w:u w:val="none"/>
          <w:lang w:val="en-US" w:eastAsia="zh-CN"/>
        </w:rPr>
        <w:t xml:space="preserve"> 岩土工程勘察报告（剖面图、钻孔柱状图）</w:t>
      </w:r>
      <w:bookmarkEnd w:id="324"/>
      <w:bookmarkEnd w:id="325"/>
      <w:bookmarkEnd w:id="326"/>
    </w:p>
    <w:p>
      <w:pPr>
        <w:spacing w:line="24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671820" cy="7691120"/>
            <wp:effectExtent l="0" t="0" r="5080" b="5080"/>
            <wp:docPr id="6" name="图片 6" descr="河南德利岩土勘察报告(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河南德利岩土勘察报告(1)_00"/>
                    <pic:cNvPicPr>
                      <a:picLocks noChangeAspect="1"/>
                    </pic:cNvPicPr>
                  </pic:nvPicPr>
                  <pic:blipFill>
                    <a:blip r:embed="rId48"/>
                    <a:stretch>
                      <a:fillRect/>
                    </a:stretch>
                  </pic:blipFill>
                  <pic:spPr>
                    <a:xfrm>
                      <a:off x="0" y="0"/>
                      <a:ext cx="5671820" cy="7691120"/>
                    </a:xfrm>
                    <a:prstGeom prst="rect">
                      <a:avLst/>
                    </a:prstGeom>
                  </pic:spPr>
                </pic:pic>
              </a:graphicData>
            </a:graphic>
          </wp:inline>
        </w:drawing>
      </w:r>
    </w:p>
    <w:p>
      <w:pPr>
        <w:pageBreakBefore w:val="0"/>
        <w:kinsoku/>
        <w:wordWrap/>
        <w:overflowPunct/>
        <w:topLinePunct w:val="0"/>
        <w:bidi w:val="0"/>
        <w:spacing w:line="240" w:lineRule="auto"/>
        <w:ind w:left="0" w:leftChars="0" w:right="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982335" cy="8467090"/>
            <wp:effectExtent l="0" t="0" r="12065" b="3810"/>
            <wp:docPr id="7" name="图片 7" descr="河南德利岩土勘察报告(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河南德利岩土勘察报告(1)_01"/>
                    <pic:cNvPicPr>
                      <a:picLocks noChangeAspect="1"/>
                    </pic:cNvPicPr>
                  </pic:nvPicPr>
                  <pic:blipFill>
                    <a:blip r:embed="rId49"/>
                    <a:stretch>
                      <a:fillRect/>
                    </a:stretch>
                  </pic:blipFill>
                  <pic:spPr>
                    <a:xfrm>
                      <a:off x="0" y="0"/>
                      <a:ext cx="5982335" cy="8467090"/>
                    </a:xfrm>
                    <a:prstGeom prst="rect">
                      <a:avLst/>
                    </a:prstGeom>
                  </pic:spPr>
                </pic:pic>
              </a:graphicData>
            </a:graphic>
          </wp:inline>
        </w:drawing>
      </w:r>
    </w:p>
    <w:p>
      <w:pPr>
        <w:pStyle w:val="11"/>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982335" cy="8467090"/>
            <wp:effectExtent l="0" t="0" r="12065" b="3810"/>
            <wp:docPr id="68" name="图片 68" descr="河南德利岩土勘察报告(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河南德利岩土勘察报告(1)_02"/>
                    <pic:cNvPicPr>
                      <a:picLocks noChangeAspect="1"/>
                    </pic:cNvPicPr>
                  </pic:nvPicPr>
                  <pic:blipFill>
                    <a:blip r:embed="rId50"/>
                    <a:stretch>
                      <a:fillRect/>
                    </a:stretch>
                  </pic:blipFill>
                  <pic:spPr>
                    <a:xfrm>
                      <a:off x="0" y="0"/>
                      <a:ext cx="5982335" cy="8467090"/>
                    </a:xfrm>
                    <a:prstGeom prst="rect">
                      <a:avLst/>
                    </a:prstGeom>
                  </pic:spPr>
                </pic:pic>
              </a:graphicData>
            </a:graphic>
          </wp:inline>
        </w:drawing>
      </w:r>
    </w:p>
    <w:p>
      <w:pPr>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165215" cy="8463280"/>
            <wp:effectExtent l="0" t="0" r="6985" b="762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51"/>
                    <a:stretch>
                      <a:fillRect/>
                    </a:stretch>
                  </pic:blipFill>
                  <pic:spPr>
                    <a:xfrm>
                      <a:off x="0" y="0"/>
                      <a:ext cx="6165215" cy="8463280"/>
                    </a:xfrm>
                    <a:prstGeom prst="rect">
                      <a:avLst/>
                    </a:prstGeom>
                    <a:noFill/>
                    <a:ln>
                      <a:noFill/>
                    </a:ln>
                  </pic:spPr>
                </pic:pic>
              </a:graphicData>
            </a:graphic>
          </wp:inline>
        </w:drawing>
      </w:r>
    </w:p>
    <w:p>
      <w:pPr>
        <w:pStyle w:val="11"/>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837555" cy="8410575"/>
            <wp:effectExtent l="0" t="0" r="4445" b="952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52"/>
                    <a:stretch>
                      <a:fillRect/>
                    </a:stretch>
                  </pic:blipFill>
                  <pic:spPr>
                    <a:xfrm>
                      <a:off x="0" y="0"/>
                      <a:ext cx="5837555" cy="8410575"/>
                    </a:xfrm>
                    <a:prstGeom prst="rect">
                      <a:avLst/>
                    </a:prstGeom>
                    <a:noFill/>
                    <a:ln>
                      <a:noFill/>
                    </a:ln>
                  </pic:spPr>
                </pic:pic>
              </a:graphicData>
            </a:graphic>
          </wp:inline>
        </w:drawing>
      </w:r>
    </w:p>
    <w:p>
      <w:pPr>
        <w:spacing w:line="24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955665" cy="8428990"/>
            <wp:effectExtent l="0" t="0" r="635" b="3810"/>
            <wp:docPr id="72" name="图片 72" descr="河南德利岩土勘察报告(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河南德利岩土勘察报告(1)_22"/>
                    <pic:cNvPicPr>
                      <a:picLocks noChangeAspect="1"/>
                    </pic:cNvPicPr>
                  </pic:nvPicPr>
                  <pic:blipFill>
                    <a:blip r:embed="rId53"/>
                    <a:stretch>
                      <a:fillRect/>
                    </a:stretch>
                  </pic:blipFill>
                  <pic:spPr>
                    <a:xfrm>
                      <a:off x="0" y="0"/>
                      <a:ext cx="5955665" cy="8428990"/>
                    </a:xfrm>
                    <a:prstGeom prst="rect">
                      <a:avLst/>
                    </a:prstGeom>
                  </pic:spPr>
                </pic:pic>
              </a:graphicData>
            </a:graphic>
          </wp:inline>
        </w:drawing>
      </w:r>
    </w:p>
    <w:p>
      <w:pPr>
        <w:pStyle w:val="11"/>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968365" cy="8447405"/>
            <wp:effectExtent l="0" t="0" r="635" b="10795"/>
            <wp:docPr id="76" name="图片 76" descr="河南德利岩土勘察报告(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河南德利岩土勘察报告(1)_29"/>
                    <pic:cNvPicPr>
                      <a:picLocks noChangeAspect="1"/>
                    </pic:cNvPicPr>
                  </pic:nvPicPr>
                  <pic:blipFill>
                    <a:blip r:embed="rId54"/>
                    <a:stretch>
                      <a:fillRect/>
                    </a:stretch>
                  </pic:blipFill>
                  <pic:spPr>
                    <a:xfrm>
                      <a:off x="0" y="0"/>
                      <a:ext cx="5968365" cy="8447405"/>
                    </a:xfrm>
                    <a:prstGeom prst="rect">
                      <a:avLst/>
                    </a:prstGeom>
                  </pic:spPr>
                </pic:pic>
              </a:graphicData>
            </a:graphic>
          </wp:inline>
        </w:drawing>
      </w:r>
    </w:p>
    <w:p>
      <w:pPr>
        <w:ind w:left="0" w:leftChars="0" w:firstLine="0" w:firstLineChars="0"/>
        <w:rPr>
          <w:rFonts w:hint="eastAsia" w:ascii="宋体" w:hAnsi="宋体" w:eastAsia="宋体" w:cs="宋体"/>
          <w:color w:val="auto"/>
          <w:highlight w:val="none"/>
          <w:lang w:val="en-US" w:eastAsia="zh-CN"/>
        </w:rPr>
        <w:sectPr>
          <w:footerReference r:id="rId6" w:type="default"/>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396" w:charSpace="0"/>
        </w:sectPr>
      </w:pPr>
    </w:p>
    <w:p>
      <w:pPr>
        <w:pStyle w:val="11"/>
        <w:ind w:left="0" w:leftChars="0" w:firstLine="0" w:firstLineChars="0"/>
        <w:rPr>
          <w:rFonts w:hint="eastAsia" w:ascii="宋体" w:hAnsi="宋体" w:eastAsia="宋体" w:cs="宋体"/>
          <w:sz w:val="21"/>
        </w:rPr>
      </w:pPr>
      <w:r>
        <w:rPr>
          <w:rFonts w:hint="eastAsia" w:ascii="宋体" w:hAnsi="宋体" w:eastAsia="宋体" w:cs="宋体"/>
          <w:color w:val="auto"/>
          <w:highlight w:val="none"/>
        </w:rPr>
        <w:drawing>
          <wp:inline distT="0" distB="0" distL="114300" distR="114300">
            <wp:extent cx="8523605" cy="5504815"/>
            <wp:effectExtent l="0" t="0" r="10795" b="698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55"/>
                    <a:stretch>
                      <a:fillRect/>
                    </a:stretch>
                  </pic:blipFill>
                  <pic:spPr>
                    <a:xfrm>
                      <a:off x="0" y="0"/>
                      <a:ext cx="8523605" cy="5504815"/>
                    </a:xfrm>
                    <a:prstGeom prst="rect">
                      <a:avLst/>
                    </a:prstGeom>
                    <a:noFill/>
                    <a:ln>
                      <a:noFill/>
                    </a:ln>
                  </pic:spPr>
                </pic:pic>
              </a:graphicData>
            </a:graphic>
          </wp:inline>
        </w:drawing>
      </w:r>
    </w:p>
    <w:sectPr>
      <w:footerReference r:id="rId7" w:type="default"/>
      <w:pgSz w:w="16838" w:h="11905" w:orient="landscape"/>
      <w:pgMar w:top="1587" w:right="1701" w:bottom="1587" w:left="1701" w:header="1077" w:footer="1134" w:gutter="0"/>
      <w:pgNumType w:fmt="decimal"/>
      <w:cols w:space="0" w:num="1"/>
      <w:rtlGutter w:val="0"/>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Gulim">
    <w:panose1 w:val="020B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Times New Roman" w:hAnsi="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Times New Roman" w:hAnsi="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rPr>
        <w:rFonts w:ascii="Times New Roman" w:hAnsi="Times New Roman" w:eastAsia="Calibri" w:cs="Times New Roman"/>
        <w:kern w:val="2"/>
        <w:sz w:val="21"/>
        <w:szCs w:val="21"/>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Times New Roman" w:hAnsi="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8"/>
        <w:lang w:val="zh-CN" w:eastAsia="zh-CN" w:bidi="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77428A"/>
    <w:multiLevelType w:val="singleLevel"/>
    <w:tmpl w:val="9577428A"/>
    <w:lvl w:ilvl="0" w:tentative="0">
      <w:start w:val="1"/>
      <w:numFmt w:val="decimal"/>
      <w:suff w:val="nothing"/>
      <w:lvlText w:val="（%1）"/>
      <w:lvlJc w:val="left"/>
    </w:lvl>
  </w:abstractNum>
  <w:abstractNum w:abstractNumId="1">
    <w:nsid w:val="9B61FE74"/>
    <w:multiLevelType w:val="multilevel"/>
    <w:tmpl w:val="9B61FE74"/>
    <w:lvl w:ilvl="0" w:tentative="0">
      <w:start w:val="1"/>
      <w:numFmt w:val="chineseCountingThousand"/>
      <w:suff w:val="nothing"/>
      <w:lvlText w:val="第%1章"/>
      <w:lvlJc w:val="left"/>
      <w:pPr>
        <w:ind w:left="0" w:firstLine="0"/>
      </w:pPr>
      <w:rPr>
        <w:rFonts w:hint="eastAsia" w:ascii="黑体" w:hAnsi="黑体" w:eastAsia="黑体"/>
        <w:sz w:val="36"/>
        <w:szCs w:val="36"/>
      </w:rPr>
    </w:lvl>
    <w:lvl w:ilvl="1" w:tentative="0">
      <w:start w:val="1"/>
      <w:numFmt w:val="none"/>
      <w:pStyle w:val="8"/>
      <w:suff w:val="nothing"/>
      <w:lvlText w:val=""/>
      <w:lvlJc w:val="left"/>
      <w:pPr>
        <w:ind w:left="0" w:firstLine="0"/>
      </w:pPr>
      <w:rPr>
        <w:rFonts w:hint="eastAsia"/>
      </w:rPr>
    </w:lvl>
    <w:lvl w:ilvl="2" w:tentative="0">
      <w:start w:val="1"/>
      <w:numFmt w:val="none"/>
      <w:pStyle w:val="9"/>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C643824B"/>
    <w:multiLevelType w:val="singleLevel"/>
    <w:tmpl w:val="C643824B"/>
    <w:lvl w:ilvl="0" w:tentative="0">
      <w:start w:val="1"/>
      <w:numFmt w:val="decimal"/>
      <w:suff w:val="nothing"/>
      <w:lvlText w:val="%1）"/>
      <w:lvlJc w:val="left"/>
    </w:lvl>
  </w:abstractNum>
  <w:abstractNum w:abstractNumId="3">
    <w:nsid w:val="78FDED9E"/>
    <w:multiLevelType w:val="singleLevel"/>
    <w:tmpl w:val="78FDED9E"/>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1"/>
  <w:bordersDoNotSurroundFooter w:val="1"/>
  <w:documentProtection w:enforcement="0"/>
  <w:defaultTabStop w:val="420"/>
  <w:drawingGridVerticalSpacing w:val="208"/>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zMmUwMzk4MWQ5MGEwNDk5NjRiOGY3OWZiMDkyMTMifQ=="/>
  </w:docVars>
  <w:rsids>
    <w:rsidRoot w:val="2CBF0C24"/>
    <w:rsid w:val="043203F2"/>
    <w:rsid w:val="054641E6"/>
    <w:rsid w:val="067F3540"/>
    <w:rsid w:val="0B487B78"/>
    <w:rsid w:val="0C796AFD"/>
    <w:rsid w:val="0DE501A0"/>
    <w:rsid w:val="0E94470F"/>
    <w:rsid w:val="0FE97737"/>
    <w:rsid w:val="105E23FD"/>
    <w:rsid w:val="130F48A2"/>
    <w:rsid w:val="13B92D06"/>
    <w:rsid w:val="19D62C82"/>
    <w:rsid w:val="1EF94D20"/>
    <w:rsid w:val="1F7D301F"/>
    <w:rsid w:val="249D274B"/>
    <w:rsid w:val="27C052F3"/>
    <w:rsid w:val="28B15B83"/>
    <w:rsid w:val="29A70519"/>
    <w:rsid w:val="2AFB4D84"/>
    <w:rsid w:val="2CBF0C24"/>
    <w:rsid w:val="2D2B6D65"/>
    <w:rsid w:val="2E255A7A"/>
    <w:rsid w:val="308C0468"/>
    <w:rsid w:val="33BE302F"/>
    <w:rsid w:val="350C3522"/>
    <w:rsid w:val="364F191D"/>
    <w:rsid w:val="376C38F1"/>
    <w:rsid w:val="39B25EC8"/>
    <w:rsid w:val="3B1A0C52"/>
    <w:rsid w:val="3F4F77DE"/>
    <w:rsid w:val="41360891"/>
    <w:rsid w:val="41FA01FE"/>
    <w:rsid w:val="42B1758D"/>
    <w:rsid w:val="42EE4A55"/>
    <w:rsid w:val="44D4074E"/>
    <w:rsid w:val="44E74B1B"/>
    <w:rsid w:val="45D43AD7"/>
    <w:rsid w:val="45F656FE"/>
    <w:rsid w:val="46542C1A"/>
    <w:rsid w:val="4B42108B"/>
    <w:rsid w:val="4BC43B9E"/>
    <w:rsid w:val="4C376BB6"/>
    <w:rsid w:val="4C697705"/>
    <w:rsid w:val="4CC8759D"/>
    <w:rsid w:val="4ED626AB"/>
    <w:rsid w:val="4F057870"/>
    <w:rsid w:val="50C36A0F"/>
    <w:rsid w:val="521E7F3D"/>
    <w:rsid w:val="53672943"/>
    <w:rsid w:val="55BF2AC6"/>
    <w:rsid w:val="571805A2"/>
    <w:rsid w:val="593F1BE0"/>
    <w:rsid w:val="5A7E40BB"/>
    <w:rsid w:val="5D945425"/>
    <w:rsid w:val="5E560CAC"/>
    <w:rsid w:val="60BE3BB6"/>
    <w:rsid w:val="60ED2AF8"/>
    <w:rsid w:val="646075D6"/>
    <w:rsid w:val="657E1006"/>
    <w:rsid w:val="6600417D"/>
    <w:rsid w:val="69937E32"/>
    <w:rsid w:val="6A620361"/>
    <w:rsid w:val="6A9872B7"/>
    <w:rsid w:val="6B621F16"/>
    <w:rsid w:val="6CFF4B44"/>
    <w:rsid w:val="70835662"/>
    <w:rsid w:val="722B6ABD"/>
    <w:rsid w:val="735C00BF"/>
    <w:rsid w:val="748A60ED"/>
    <w:rsid w:val="779D426C"/>
    <w:rsid w:val="7B7D0D4C"/>
    <w:rsid w:val="7C120DEF"/>
    <w:rsid w:val="7C2C6987"/>
    <w:rsid w:val="7D367A9E"/>
    <w:rsid w:val="7D4770D6"/>
    <w:rsid w:val="7D6733BC"/>
    <w:rsid w:val="7E0931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Times New Roman"/>
      <w:kern w:val="2"/>
      <w:sz w:val="21"/>
      <w:szCs w:val="24"/>
      <w:lang w:val="en-US" w:eastAsia="zh-CN" w:bidi="ar-SA"/>
    </w:rPr>
  </w:style>
  <w:style w:type="paragraph" w:styleId="7">
    <w:name w:val="heading 1"/>
    <w:basedOn w:val="1"/>
    <w:next w:val="1"/>
    <w:qFormat/>
    <w:uiPriority w:val="0"/>
    <w:pPr>
      <w:spacing w:line="520" w:lineRule="exact"/>
      <w:ind w:left="0" w:firstLine="0"/>
      <w:outlineLvl w:val="0"/>
    </w:pPr>
    <w:rPr>
      <w:rFonts w:ascii="宋体" w:hAnsi="宋体" w:eastAsia="宋体" w:cs="宋体"/>
      <w:b/>
      <w:bCs/>
      <w:sz w:val="32"/>
      <w:szCs w:val="32"/>
      <w:lang w:val="zh-CN" w:bidi="zh-CN"/>
    </w:rPr>
  </w:style>
  <w:style w:type="paragraph" w:styleId="8">
    <w:name w:val="heading 2"/>
    <w:basedOn w:val="1"/>
    <w:next w:val="1"/>
    <w:link w:val="41"/>
    <w:unhideWhenUsed/>
    <w:qFormat/>
    <w:uiPriority w:val="0"/>
    <w:pPr>
      <w:keepNext/>
      <w:keepLines/>
      <w:numPr>
        <w:ilvl w:val="1"/>
        <w:numId w:val="1"/>
      </w:numPr>
      <w:spacing w:before="120" w:after="120" w:line="520" w:lineRule="exact"/>
      <w:outlineLvl w:val="1"/>
    </w:pPr>
    <w:rPr>
      <w:rFonts w:ascii="Cambria" w:hAnsi="Cambria" w:eastAsiaTheme="minorEastAsia"/>
      <w:b/>
      <w:bCs/>
      <w:sz w:val="28"/>
      <w:szCs w:val="32"/>
    </w:rPr>
  </w:style>
  <w:style w:type="paragraph" w:styleId="9">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0"/>
    <w:pPr>
      <w:spacing w:after="0"/>
      <w:ind w:firstLine="420" w:firstLineChars="100"/>
    </w:pPr>
    <w:rPr>
      <w:rFonts w:eastAsia="仿宋_GB2312" w:cs="Times New Roman"/>
      <w:kern w:val="0"/>
      <w:sz w:val="32"/>
      <w:szCs w:val="24"/>
    </w:rPr>
  </w:style>
  <w:style w:type="paragraph" w:styleId="3">
    <w:name w:val="Body Text"/>
    <w:basedOn w:val="1"/>
    <w:next w:val="4"/>
    <w:qFormat/>
    <w:uiPriority w:val="1"/>
    <w:rPr>
      <w:rFonts w:ascii="宋体" w:hAnsi="宋体" w:eastAsia="宋体" w:cs="宋体"/>
      <w:sz w:val="28"/>
      <w:szCs w:val="28"/>
      <w:lang w:val="zh-CN" w:eastAsia="zh-CN" w:bidi="zh-CN"/>
    </w:rPr>
  </w:style>
  <w:style w:type="paragraph" w:styleId="4">
    <w:name w:val="Body Text 2"/>
    <w:basedOn w:val="1"/>
    <w:unhideWhenUsed/>
    <w:qFormat/>
    <w:uiPriority w:val="99"/>
    <w:pPr>
      <w:widowControl w:val="0"/>
      <w:spacing w:line="360" w:lineRule="auto"/>
      <w:ind w:firstLine="200" w:firstLineChars="200"/>
      <w:jc w:val="both"/>
    </w:pPr>
    <w:rPr>
      <w:rFonts w:ascii="Calibri" w:hAnsi="Calibri" w:eastAsia="楷体_GB2312" w:cs="Times New Roman"/>
      <w:kern w:val="2"/>
      <w:sz w:val="32"/>
      <w:szCs w:val="24"/>
      <w:lang w:val="en-US" w:eastAsia="zh-CN" w:bidi="ar-SA"/>
    </w:rPr>
  </w:style>
  <w:style w:type="paragraph" w:styleId="5">
    <w:name w:val="Body Text First Indent 2"/>
    <w:basedOn w:val="6"/>
    <w:next w:val="1"/>
    <w:qFormat/>
    <w:uiPriority w:val="0"/>
    <w:pPr>
      <w:ind w:firstLine="420"/>
    </w:pPr>
  </w:style>
  <w:style w:type="paragraph" w:styleId="6">
    <w:name w:val="Body Text Indent"/>
    <w:basedOn w:val="1"/>
    <w:unhideWhenUsed/>
    <w:qFormat/>
    <w:uiPriority w:val="99"/>
    <w:pPr>
      <w:spacing w:after="120"/>
      <w:ind w:left="420" w:leftChars="200"/>
    </w:pPr>
  </w:style>
  <w:style w:type="paragraph" w:styleId="10">
    <w:name w:val="Normal Indent"/>
    <w:basedOn w:val="1"/>
    <w:qFormat/>
    <w:uiPriority w:val="0"/>
  </w:style>
  <w:style w:type="paragraph" w:styleId="11">
    <w:name w:val="Block Text"/>
    <w:basedOn w:val="1"/>
    <w:next w:val="1"/>
    <w:qFormat/>
    <w:uiPriority w:val="0"/>
    <w:pPr>
      <w:snapToGrid w:val="0"/>
      <w:spacing w:line="408" w:lineRule="auto"/>
      <w:ind w:left="-113" w:right="-510" w:firstLine="510"/>
    </w:pPr>
    <w:rPr>
      <w:sz w:val="24"/>
      <w:szCs w:val="20"/>
    </w:rPr>
  </w:style>
  <w:style w:type="paragraph" w:styleId="12">
    <w:name w:val="Plain Text"/>
    <w:basedOn w:val="1"/>
    <w:qFormat/>
    <w:uiPriority w:val="0"/>
    <w:rPr>
      <w:rFonts w:ascii="宋体" w:hAnsi="Courier New"/>
    </w:rPr>
  </w:style>
  <w:style w:type="paragraph" w:styleId="13">
    <w:name w:val="footer"/>
    <w:basedOn w:val="1"/>
    <w:qFormat/>
    <w:uiPriority w:val="99"/>
    <w:pPr>
      <w:tabs>
        <w:tab w:val="center" w:pos="4153"/>
        <w:tab w:val="right" w:pos="8306"/>
      </w:tabs>
      <w:snapToGrid w:val="0"/>
      <w:jc w:val="left"/>
    </w:pPr>
    <w:rPr>
      <w:sz w:val="18"/>
    </w:rPr>
  </w:style>
  <w:style w:type="paragraph" w:styleId="14">
    <w:name w:val="header"/>
    <w:basedOn w:val="1"/>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rPr>
      <w:sz w:val="24"/>
    </w:rPr>
  </w:style>
  <w:style w:type="paragraph" w:styleId="18">
    <w:name w:val="Title"/>
    <w:basedOn w:val="1"/>
    <w:next w:val="1"/>
    <w:qFormat/>
    <w:uiPriority w:val="0"/>
    <w:pPr>
      <w:spacing w:before="240" w:after="60"/>
      <w:jc w:val="center"/>
      <w:outlineLvl w:val="0"/>
    </w:pPr>
    <w:rPr>
      <w:rFonts w:ascii="等线 Light" w:hAnsi="等线 Light" w:cs="Times New Roman"/>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WPSOffice手动目录 1"/>
    <w:qFormat/>
    <w:uiPriority w:val="0"/>
    <w:rPr>
      <w:rFonts w:ascii="Calibri" w:hAnsi="Calibri" w:eastAsia="Calibri" w:cs="Times New Roman"/>
      <w:lang w:val="en-US" w:eastAsia="zh-CN" w:bidi="ar-SA"/>
    </w:rPr>
  </w:style>
  <w:style w:type="paragraph" w:customStyle="1" w:styleId="24">
    <w:name w:val="WPSOffice手动目录 2"/>
    <w:qFormat/>
    <w:uiPriority w:val="0"/>
    <w:pPr>
      <w:ind w:leftChars="200"/>
    </w:pPr>
    <w:rPr>
      <w:rFonts w:asciiTheme="minorHAnsi" w:hAnsiTheme="minorHAnsi" w:eastAsiaTheme="minorEastAsia" w:cstheme="minorBidi"/>
      <w:sz w:val="20"/>
      <w:szCs w:val="20"/>
    </w:rPr>
  </w:style>
  <w:style w:type="paragraph" w:customStyle="1" w:styleId="25">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6">
    <w:name w:val="正文缩进1"/>
    <w:basedOn w:val="1"/>
    <w:qFormat/>
    <w:uiPriority w:val="0"/>
    <w:pPr>
      <w:widowControl/>
      <w:adjustRightInd w:val="0"/>
      <w:snapToGrid w:val="0"/>
      <w:spacing w:line="520" w:lineRule="exact"/>
      <w:ind w:firstLine="200" w:firstLineChars="200"/>
      <w:jc w:val="left"/>
    </w:pPr>
    <w:rPr>
      <w:rFonts w:ascii="Times New Roman" w:hAnsi="Times New Roman"/>
      <w:kern w:val="0"/>
      <w:sz w:val="28"/>
      <w:szCs w:val="22"/>
    </w:rPr>
  </w:style>
  <w:style w:type="table" w:customStyle="1" w:styleId="27">
    <w:name w:val="网格型3"/>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网格型4"/>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Table Paragraph"/>
    <w:basedOn w:val="1"/>
    <w:qFormat/>
    <w:uiPriority w:val="1"/>
    <w:pPr>
      <w:jc w:val="center"/>
    </w:pPr>
    <w:rPr>
      <w:rFonts w:ascii="宋体" w:hAnsi="宋体" w:eastAsia="宋体" w:cs="宋体"/>
      <w:lang w:val="zh-CN" w:eastAsia="zh-CN" w:bidi="zh-CN"/>
    </w:rPr>
  </w:style>
  <w:style w:type="paragraph" w:customStyle="1" w:styleId="30">
    <w:name w:val="TableStyle10.5"/>
    <w:basedOn w:val="1"/>
    <w:qFormat/>
    <w:uiPriority w:val="0"/>
    <w:pPr>
      <w:jc w:val="center"/>
    </w:pPr>
    <w:rPr>
      <w:sz w:val="21"/>
    </w:rPr>
  </w:style>
  <w:style w:type="character" w:customStyle="1" w:styleId="31">
    <w:name w:val="font61"/>
    <w:basedOn w:val="21"/>
    <w:qFormat/>
    <w:uiPriority w:val="0"/>
    <w:rPr>
      <w:rFonts w:hint="default" w:ascii="Cambria" w:hAnsi="Cambria" w:eastAsia="Cambria" w:cs="Cambria"/>
      <w:color w:val="000000"/>
      <w:sz w:val="20"/>
      <w:szCs w:val="20"/>
      <w:u w:val="none"/>
    </w:rPr>
  </w:style>
  <w:style w:type="character" w:customStyle="1" w:styleId="32">
    <w:name w:val="font12"/>
    <w:basedOn w:val="21"/>
    <w:qFormat/>
    <w:uiPriority w:val="0"/>
    <w:rPr>
      <w:rFonts w:hint="eastAsia" w:ascii="宋体" w:hAnsi="宋体" w:eastAsia="宋体" w:cs="宋体"/>
      <w:color w:val="000000"/>
      <w:sz w:val="18"/>
      <w:szCs w:val="18"/>
      <w:u w:val="none"/>
    </w:rPr>
  </w:style>
  <w:style w:type="character" w:customStyle="1" w:styleId="33">
    <w:name w:val="font91"/>
    <w:basedOn w:val="21"/>
    <w:qFormat/>
    <w:uiPriority w:val="0"/>
    <w:rPr>
      <w:rFonts w:hint="default" w:ascii="Times New Roman" w:hAnsi="Times New Roman" w:cs="Times New Roman"/>
      <w:color w:val="000000"/>
      <w:sz w:val="22"/>
      <w:szCs w:val="22"/>
      <w:u w:val="none"/>
    </w:rPr>
  </w:style>
  <w:style w:type="paragraph" w:customStyle="1" w:styleId="34">
    <w:name w:val="表格"/>
    <w:basedOn w:val="1"/>
    <w:qFormat/>
    <w:uiPriority w:val="0"/>
    <w:pPr>
      <w:keepNext/>
      <w:widowControl w:val="0"/>
      <w:adjustRightInd w:val="0"/>
      <w:spacing w:line="312" w:lineRule="atLeast"/>
      <w:jc w:val="center"/>
      <w:textAlignment w:val="baseline"/>
    </w:pPr>
    <w:rPr>
      <w:sz w:val="21"/>
    </w:rPr>
  </w:style>
  <w:style w:type="character" w:customStyle="1" w:styleId="35">
    <w:name w:val="font51"/>
    <w:basedOn w:val="21"/>
    <w:qFormat/>
    <w:uiPriority w:val="0"/>
    <w:rPr>
      <w:rFonts w:hint="eastAsia" w:ascii="宋体" w:hAnsi="宋体" w:eastAsia="宋体" w:cs="宋体"/>
      <w:color w:val="000000"/>
      <w:sz w:val="20"/>
      <w:szCs w:val="20"/>
      <w:u w:val="none"/>
    </w:rPr>
  </w:style>
  <w:style w:type="character" w:customStyle="1" w:styleId="36">
    <w:name w:val="font41"/>
    <w:qFormat/>
    <w:uiPriority w:val="0"/>
    <w:rPr>
      <w:rFonts w:hint="default" w:ascii="Times New Roman" w:hAnsi="Times New Roman" w:cs="Times New Roman"/>
      <w:color w:val="000000"/>
      <w:sz w:val="22"/>
      <w:szCs w:val="22"/>
      <w:u w:val="none"/>
    </w:rPr>
  </w:style>
  <w:style w:type="character" w:customStyle="1" w:styleId="37">
    <w:name w:val="font21"/>
    <w:basedOn w:val="21"/>
    <w:qFormat/>
    <w:uiPriority w:val="0"/>
    <w:rPr>
      <w:rFonts w:hint="default" w:ascii="Times New Roman" w:hAnsi="Times New Roman" w:cs="Times New Roman"/>
      <w:color w:val="000000"/>
      <w:sz w:val="22"/>
      <w:szCs w:val="22"/>
      <w:u w:val="none"/>
      <w:vertAlign w:val="superscript"/>
    </w:rPr>
  </w:style>
  <w:style w:type="character" w:customStyle="1" w:styleId="38">
    <w:name w:val="font111"/>
    <w:basedOn w:val="21"/>
    <w:qFormat/>
    <w:uiPriority w:val="0"/>
    <w:rPr>
      <w:rFonts w:hint="default" w:ascii="Times New Roman" w:hAnsi="Times New Roman" w:cs="Times New Roman"/>
      <w:color w:val="000000"/>
      <w:sz w:val="22"/>
      <w:szCs w:val="22"/>
      <w:u w:val="none"/>
      <w:vertAlign w:val="subscript"/>
    </w:rPr>
  </w:style>
  <w:style w:type="character" w:customStyle="1" w:styleId="39">
    <w:name w:val="font101"/>
    <w:qFormat/>
    <w:uiPriority w:val="0"/>
    <w:rPr>
      <w:rFonts w:hint="default" w:ascii="Cambria" w:hAnsi="Cambria" w:eastAsia="Cambria" w:cs="Cambria"/>
      <w:color w:val="000000"/>
      <w:sz w:val="20"/>
      <w:szCs w:val="20"/>
      <w:u w:val="none"/>
      <w:vertAlign w:val="superscript"/>
    </w:rPr>
  </w:style>
  <w:style w:type="paragraph" w:styleId="40">
    <w:name w:val="List Paragraph"/>
    <w:basedOn w:val="1"/>
    <w:qFormat/>
    <w:uiPriority w:val="1"/>
    <w:pPr>
      <w:ind w:left="222" w:firstLine="561"/>
    </w:pPr>
    <w:rPr>
      <w:rFonts w:ascii="宋体" w:hAnsi="宋体" w:eastAsia="宋体" w:cs="宋体"/>
      <w:lang w:val="zh-CN" w:eastAsia="zh-CN" w:bidi="zh-CN"/>
    </w:rPr>
  </w:style>
  <w:style w:type="character" w:customStyle="1" w:styleId="41">
    <w:name w:val=" Char Char12"/>
    <w:basedOn w:val="21"/>
    <w:link w:val="8"/>
    <w:qFormat/>
    <w:uiPriority w:val="9"/>
    <w:rPr>
      <w:rFonts w:ascii="Cambria" w:hAnsi="Cambria" w:eastAsiaTheme="minorEastAsia"/>
      <w:b/>
      <w:bCs/>
      <w:sz w:val="28"/>
      <w:szCs w:val="32"/>
    </w:rPr>
  </w:style>
  <w:style w:type="paragraph" w:customStyle="1" w:styleId="4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6.pn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jpeg"/><Relationship Id="rId5" Type="http://schemas.openxmlformats.org/officeDocument/2006/relationships/footer" Target="footer2.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2023-10-28T10:22:00Z</dcterms:created>
  <dc:creator>宁静致远</dc:creator>
  <cp:lastModifiedBy>西瓜</cp:lastModifiedBy>
  <dcterms:modified xsi:type="dcterms:W3CDTF">2023-10-30T08:56:38Z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6384CDBF31FB42C2A4A0130B0BE655A9_11</vt:lpwstr>
  </property>
</Properties>
</file>