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960" w:firstLineChars="700"/>
        <w:jc w:val="left"/>
        <w:rPr>
          <w:rFonts w:hint="eastAsia" w:ascii="宋体" w:hAnsi="宋体" w:eastAsia="宋体" w:cs="宋体"/>
          <w:color w:val="auto"/>
          <w:kern w:val="0"/>
          <w:sz w:val="28"/>
          <w:szCs w:val="28"/>
          <w:highlight w:val="none"/>
          <w:lang w:bidi="ar"/>
        </w:rPr>
      </w:pPr>
    </w:p>
    <w:p>
      <w:pPr>
        <w:pStyle w:val="3"/>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华文中宋" w:hAnsi="华文中宋" w:eastAsia="华文中宋" w:cs="华文中宋"/>
          <w:b/>
          <w:bCs/>
          <w:color w:val="auto"/>
          <w:kern w:val="0"/>
          <w:sz w:val="56"/>
          <w:szCs w:val="56"/>
          <w:highlight w:val="none"/>
          <w:lang w:eastAsia="zh-CN" w:bidi="ar"/>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华文中宋" w:hAnsi="华文中宋" w:eastAsia="华文中宋" w:cs="华文中宋"/>
          <w:b/>
          <w:bCs/>
          <w:color w:val="auto"/>
          <w:sz w:val="52"/>
          <w:szCs w:val="52"/>
          <w:highlight w:val="none"/>
          <w:u w:val="none"/>
          <w:lang w:val="en-US" w:eastAsia="zh-CN"/>
        </w:rPr>
      </w:pPr>
      <w:bookmarkStart w:id="0" w:name="_Toc2657"/>
      <w:bookmarkStart w:id="1" w:name="_Toc31105"/>
      <w:bookmarkStart w:id="2" w:name="_Toc30336"/>
      <w:r>
        <w:rPr>
          <w:rFonts w:hint="eastAsia" w:ascii="华文中宋" w:hAnsi="华文中宋" w:eastAsia="华文中宋" w:cs="华文中宋"/>
          <w:b/>
          <w:bCs/>
          <w:color w:val="auto"/>
          <w:sz w:val="52"/>
          <w:szCs w:val="52"/>
          <w:highlight w:val="none"/>
          <w:u w:val="none"/>
          <w:lang w:val="en-US" w:eastAsia="zh-CN"/>
        </w:rPr>
        <w:t>三门峡鸿腾精细化工有限公司</w:t>
      </w: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56"/>
          <w:szCs w:val="56"/>
          <w:highlight w:val="none"/>
        </w:rPr>
      </w:pPr>
      <w:r>
        <w:rPr>
          <w:rFonts w:hint="eastAsia" w:ascii="华文中宋" w:hAnsi="华文中宋" w:eastAsia="华文中宋" w:cs="华文中宋"/>
          <w:b/>
          <w:color w:val="auto"/>
          <w:kern w:val="0"/>
          <w:sz w:val="56"/>
          <w:szCs w:val="56"/>
          <w:highlight w:val="none"/>
        </w:rPr>
        <w:t>土壤自行监测报告</w:t>
      </w:r>
      <w:bookmarkEnd w:id="0"/>
      <w:bookmarkEnd w:id="1"/>
      <w:bookmarkEnd w:id="2"/>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jc w:val="center"/>
        <w:outlineLvl w:val="9"/>
        <w:rPr>
          <w:rFonts w:hint="eastAsia" w:ascii="宋体" w:hAnsi="宋体" w:eastAsia="宋体" w:cs="宋体"/>
          <w:b/>
          <w:bCs/>
          <w:color w:val="auto"/>
          <w:sz w:val="44"/>
          <w:szCs w:val="44"/>
          <w:highlight w:val="none"/>
        </w:rPr>
      </w:pPr>
    </w:p>
    <w:p>
      <w:pPr>
        <w:pStyle w:val="18"/>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rPr>
      </w:pPr>
    </w:p>
    <w:p>
      <w:pPr>
        <w:ind w:firstLine="964" w:firstLineChars="300"/>
        <w:outlineLvl w:val="9"/>
        <w:rPr>
          <w:rFonts w:hint="eastAsia" w:ascii="宋体" w:hAnsi="宋体" w:eastAsia="宋体" w:cs="宋体"/>
          <w:b/>
          <w:bCs/>
          <w:color w:val="auto"/>
          <w:sz w:val="32"/>
          <w:szCs w:val="32"/>
          <w:highlight w:val="none"/>
          <w:lang w:eastAsia="zh-CN"/>
        </w:rPr>
      </w:pP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呈报单位：</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三门峡鸿腾精细化工有限公司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bookmarkStart w:id="3" w:name="_Toc19383"/>
      <w:bookmarkStart w:id="4" w:name="_Toc3483"/>
      <w:bookmarkStart w:id="5" w:name="_Toc30912"/>
      <w:r>
        <w:rPr>
          <w:rFonts w:hint="eastAsia" w:ascii="宋体" w:hAnsi="宋体" w:eastAsia="宋体" w:cs="宋体"/>
          <w:b/>
          <w:bCs/>
          <w:color w:val="auto"/>
          <w:sz w:val="32"/>
          <w:szCs w:val="32"/>
          <w:highlight w:val="none"/>
        </w:rPr>
        <w:t>编制单位：</w:t>
      </w:r>
      <w:bookmarkEnd w:id="3"/>
      <w:bookmarkEnd w:id="4"/>
      <w:bookmarkEnd w:id="5"/>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三门峡鸿腾精细化工有限公司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编制日期：</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二零二</w:t>
      </w:r>
      <w:r>
        <w:rPr>
          <w:rFonts w:hint="eastAsia" w:ascii="宋体" w:hAnsi="宋体" w:eastAsia="宋体" w:cs="宋体"/>
          <w:b/>
          <w:bCs/>
          <w:color w:val="auto"/>
          <w:sz w:val="32"/>
          <w:szCs w:val="32"/>
          <w:highlight w:val="none"/>
          <w:u w:val="single"/>
          <w:lang w:val="en-US" w:eastAsia="zh-CN"/>
        </w:rPr>
        <w:t>三</w:t>
      </w:r>
      <w:r>
        <w:rPr>
          <w:rFonts w:hint="eastAsia" w:ascii="宋体" w:hAnsi="宋体" w:eastAsia="宋体" w:cs="宋体"/>
          <w:b/>
          <w:bCs/>
          <w:color w:val="auto"/>
          <w:sz w:val="32"/>
          <w:szCs w:val="32"/>
          <w:highlight w:val="none"/>
          <w:u w:val="single"/>
        </w:rPr>
        <w:t>年</w:t>
      </w:r>
      <w:r>
        <w:rPr>
          <w:rFonts w:hint="eastAsia" w:ascii="宋体" w:hAnsi="宋体" w:eastAsia="宋体" w:cs="宋体"/>
          <w:b/>
          <w:bCs/>
          <w:color w:val="auto"/>
          <w:sz w:val="32"/>
          <w:szCs w:val="32"/>
          <w:highlight w:val="none"/>
          <w:u w:val="single"/>
          <w:lang w:val="en-US" w:eastAsia="zh-CN"/>
        </w:rPr>
        <w:t>八</w:t>
      </w:r>
      <w:r>
        <w:rPr>
          <w:rFonts w:hint="eastAsia" w:ascii="宋体" w:hAnsi="宋体" w:eastAsia="宋体" w:cs="宋体"/>
          <w:b/>
          <w:bCs/>
          <w:color w:val="auto"/>
          <w:sz w:val="32"/>
          <w:szCs w:val="32"/>
          <w:highlight w:val="none"/>
          <w:u w:val="single"/>
        </w:rPr>
        <w:t>月</w:t>
      </w:r>
      <w:r>
        <w:rPr>
          <w:rFonts w:hint="eastAsia" w:ascii="宋体" w:hAnsi="宋体" w:eastAsia="宋体" w:cs="宋体"/>
          <w:b/>
          <w:bCs/>
          <w:color w:val="auto"/>
          <w:sz w:val="32"/>
          <w:szCs w:val="32"/>
          <w:highlight w:val="none"/>
          <w:u w:val="single"/>
          <w:lang w:val="en-US" w:eastAsia="zh-CN"/>
        </w:rPr>
        <w:t xml:space="preserve">        </w:t>
      </w:r>
    </w:p>
    <w:p>
      <w:pPr>
        <w:ind w:firstLine="964" w:firstLineChars="300"/>
        <w:rPr>
          <w:rFonts w:hint="eastAsia" w:ascii="宋体" w:hAnsi="宋体" w:eastAsia="宋体" w:cs="宋体"/>
          <w:b/>
          <w:bCs/>
          <w:color w:val="auto"/>
          <w:sz w:val="32"/>
          <w:szCs w:val="32"/>
          <w:highlight w:val="none"/>
          <w:u w:val="single"/>
        </w:rPr>
      </w:pPr>
    </w:p>
    <w:p>
      <w:pPr>
        <w:rPr>
          <w:rFonts w:hint="eastAsia"/>
        </w:rPr>
        <w:sectPr>
          <w:headerReference r:id="rId3" w:type="default"/>
          <w:type w:val="continuous"/>
          <w:pgSz w:w="11906" w:h="16838"/>
          <w:pgMar w:top="1440" w:right="1800" w:bottom="1440" w:left="1800" w:header="851" w:footer="992" w:gutter="0"/>
          <w:pgNumType w:fmt="decimal"/>
          <w:cols w:space="720" w:num="1"/>
          <w:docGrid w:type="lines" w:linePitch="312" w:charSpace="0"/>
        </w:sectPr>
      </w:pPr>
      <w:r>
        <w:rPr>
          <w:rFonts w:hint="eastAsia"/>
        </w:rPr>
        <w:br w:type="textWrapping"/>
      </w:r>
    </w:p>
    <w:sdt>
      <w:sdtPr>
        <w:rPr>
          <w:rFonts w:ascii="宋体" w:hAnsi="宋体" w:eastAsia="宋体" w:cs="Times New Roman"/>
          <w:kern w:val="2"/>
          <w:sz w:val="21"/>
          <w:szCs w:val="24"/>
          <w:lang w:val="en-US" w:eastAsia="zh-CN" w:bidi="ar-SA"/>
        </w:rPr>
        <w:id w:val="14745150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06"/>
            </w:tabs>
          </w:pPr>
          <w:r>
            <w:fldChar w:fldCharType="begin"/>
          </w:r>
          <w:r>
            <w:instrText xml:space="preserve">TOC \o "1-2" \h \u </w:instrText>
          </w:r>
          <w:r>
            <w:fldChar w:fldCharType="separate"/>
          </w:r>
          <w:r>
            <w:fldChar w:fldCharType="begin"/>
          </w:r>
          <w:r>
            <w:instrText xml:space="preserve"> HYPERLINK \l _Toc19224 </w:instrText>
          </w:r>
          <w:r>
            <w:fldChar w:fldCharType="separate"/>
          </w:r>
          <w:r>
            <w:rPr>
              <w:rFonts w:hint="eastAsia" w:ascii="宋体" w:hAnsi="宋体" w:eastAsia="宋体" w:cs="宋体"/>
              <w:bCs/>
              <w:kern w:val="2"/>
              <w:szCs w:val="32"/>
              <w:highlight w:val="none"/>
              <w:lang w:val="en-US" w:eastAsia="zh-CN" w:bidi="zh-CN"/>
            </w:rPr>
            <w:t>1.工作背景</w:t>
          </w:r>
          <w:r>
            <w:tab/>
          </w:r>
          <w:r>
            <w:fldChar w:fldCharType="begin"/>
          </w:r>
          <w:r>
            <w:instrText xml:space="preserve"> PAGEREF _Toc19224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_Toc1917 </w:instrText>
          </w:r>
          <w:r>
            <w:fldChar w:fldCharType="separate"/>
          </w:r>
          <w:r>
            <w:rPr>
              <w:rFonts w:hint="eastAsia" w:ascii="宋体" w:hAnsi="宋体" w:eastAsia="宋体" w:cs="宋体"/>
              <w:highlight w:val="none"/>
            </w:rPr>
            <w:t>1.1编制背景</w:t>
          </w:r>
          <w:r>
            <w:tab/>
          </w:r>
          <w:r>
            <w:fldChar w:fldCharType="begin"/>
          </w:r>
          <w:r>
            <w:instrText xml:space="preserve"> PAGEREF _Toc1917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_Toc8029 </w:instrText>
          </w:r>
          <w:r>
            <w:fldChar w:fldCharType="separate"/>
          </w:r>
          <w:r>
            <w:rPr>
              <w:rFonts w:hint="eastAsia" w:ascii="宋体" w:hAnsi="宋体" w:eastAsia="宋体" w:cs="宋体"/>
              <w:highlight w:val="none"/>
            </w:rPr>
            <w:t>1.2</w:t>
          </w:r>
          <w:r>
            <w:rPr>
              <w:rFonts w:hint="eastAsia" w:ascii="宋体" w:hAnsi="宋体" w:eastAsia="宋体" w:cs="宋体"/>
              <w:highlight w:val="none"/>
              <w:lang w:eastAsia="zh-CN"/>
            </w:rPr>
            <w:t>工作</w:t>
          </w:r>
          <w:r>
            <w:rPr>
              <w:rFonts w:hint="eastAsia" w:ascii="宋体" w:hAnsi="宋体" w:eastAsia="宋体" w:cs="宋体"/>
              <w:highlight w:val="none"/>
            </w:rPr>
            <w:t>依据</w:t>
          </w:r>
          <w:r>
            <w:tab/>
          </w:r>
          <w:r>
            <w:fldChar w:fldCharType="begin"/>
          </w:r>
          <w:r>
            <w:instrText xml:space="preserve"> PAGEREF _Toc8029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_Toc5701 </w:instrText>
          </w:r>
          <w:r>
            <w:fldChar w:fldCharType="separate"/>
          </w:r>
          <w:r>
            <w:rPr>
              <w:rFonts w:hint="eastAsia" w:ascii="宋体" w:hAnsi="宋体" w:eastAsia="宋体" w:cs="宋体"/>
              <w:highlight w:val="none"/>
              <w:lang w:val="en-US" w:eastAsia="zh-CN"/>
            </w:rPr>
            <w:t>1.3工作内容及技术路线</w:t>
          </w:r>
          <w:r>
            <w:tab/>
          </w:r>
          <w:r>
            <w:fldChar w:fldCharType="begin"/>
          </w:r>
          <w:r>
            <w:instrText xml:space="preserve"> PAGEREF _Toc5701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_Toc17640 </w:instrText>
          </w:r>
          <w:r>
            <w:fldChar w:fldCharType="separate"/>
          </w:r>
          <w:r>
            <w:rPr>
              <w:rFonts w:hint="eastAsia" w:ascii="宋体" w:hAnsi="宋体" w:eastAsia="宋体" w:cs="宋体"/>
              <w:highlight w:val="none"/>
              <w:lang w:val="en-US" w:eastAsia="zh-CN"/>
            </w:rPr>
            <w:t>2.企业概况</w:t>
          </w:r>
          <w:r>
            <w:tab/>
          </w:r>
          <w:r>
            <w:fldChar w:fldCharType="begin"/>
          </w:r>
          <w:r>
            <w:instrText xml:space="preserve"> PAGEREF _Toc17640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_Toc21022 </w:instrText>
          </w:r>
          <w:r>
            <w:fldChar w:fldCharType="separate"/>
          </w:r>
          <w:r>
            <w:rPr>
              <w:rFonts w:hint="eastAsia" w:ascii="宋体" w:hAnsi="宋体" w:eastAsia="宋体" w:cs="宋体"/>
              <w:highlight w:val="none"/>
              <w:lang w:val="en-US" w:eastAsia="zh-CN"/>
            </w:rPr>
            <w:t>2.1企业基本情况</w:t>
          </w:r>
          <w:r>
            <w:tab/>
          </w:r>
          <w:r>
            <w:fldChar w:fldCharType="begin"/>
          </w:r>
          <w:r>
            <w:instrText xml:space="preserve"> PAGEREF _Toc21022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_Toc9613 </w:instrText>
          </w:r>
          <w:r>
            <w:fldChar w:fldCharType="separate"/>
          </w:r>
          <w:r>
            <w:rPr>
              <w:rFonts w:hint="eastAsia" w:ascii="宋体" w:hAnsi="宋体" w:eastAsia="宋体" w:cs="宋体"/>
              <w:highlight w:val="none"/>
              <w:lang w:val="en-US" w:eastAsia="zh-CN"/>
            </w:rPr>
            <w:t>2.2企业用地历史沿革</w:t>
          </w:r>
          <w:r>
            <w:tab/>
          </w:r>
          <w:r>
            <w:fldChar w:fldCharType="begin"/>
          </w:r>
          <w:r>
            <w:instrText xml:space="preserve"> PAGEREF _Toc9613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_Toc9911 </w:instrText>
          </w:r>
          <w:r>
            <w:fldChar w:fldCharType="separate"/>
          </w:r>
          <w:r>
            <w:rPr>
              <w:rFonts w:hint="eastAsia" w:ascii="宋体" w:hAnsi="宋体" w:eastAsia="宋体" w:cs="宋体"/>
              <w:bCs/>
              <w:kern w:val="2"/>
              <w:szCs w:val="32"/>
              <w:highlight w:val="none"/>
              <w:lang w:val="en-US" w:eastAsia="zh-CN" w:bidi="ar-SA"/>
            </w:rPr>
            <w:t>2.3企业用地已有的环境调查与监测信息</w:t>
          </w:r>
          <w:r>
            <w:tab/>
          </w:r>
          <w:r>
            <w:fldChar w:fldCharType="begin"/>
          </w:r>
          <w:r>
            <w:instrText xml:space="preserve"> PAGEREF _Toc9911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_Toc10952 </w:instrText>
          </w:r>
          <w:r>
            <w:fldChar w:fldCharType="separate"/>
          </w:r>
          <w:r>
            <w:rPr>
              <w:rFonts w:hint="eastAsia" w:ascii="宋体" w:hAnsi="宋体" w:eastAsia="宋体" w:cs="宋体"/>
              <w:lang w:val="en-US" w:eastAsia="zh-CN"/>
            </w:rPr>
            <w:t>3地勘资料</w:t>
          </w:r>
          <w:r>
            <w:tab/>
          </w:r>
          <w:r>
            <w:fldChar w:fldCharType="begin"/>
          </w:r>
          <w:r>
            <w:instrText xml:space="preserve"> PAGEREF _Toc10952 \h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_Toc23066 </w:instrText>
          </w:r>
          <w:r>
            <w:fldChar w:fldCharType="separate"/>
          </w:r>
          <w:r>
            <w:rPr>
              <w:rFonts w:hint="eastAsia" w:ascii="宋体" w:hAnsi="宋体" w:eastAsia="宋体" w:cs="宋体"/>
              <w:szCs w:val="28"/>
              <w:lang w:val="en-US" w:eastAsia="zh-CN"/>
            </w:rPr>
            <w:t>3.1地质信息</w:t>
          </w:r>
          <w:r>
            <w:tab/>
          </w:r>
          <w:r>
            <w:fldChar w:fldCharType="begin"/>
          </w:r>
          <w:r>
            <w:instrText xml:space="preserve"> PAGEREF _Toc23066 \h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_Toc25352 </w:instrText>
          </w:r>
          <w:r>
            <w:fldChar w:fldCharType="separate"/>
          </w:r>
          <w:r>
            <w:rPr>
              <w:rFonts w:hint="eastAsia" w:ascii="宋体" w:hAnsi="宋体" w:eastAsia="宋体" w:cs="宋体"/>
              <w:bCs/>
              <w:kern w:val="2"/>
              <w:szCs w:val="32"/>
              <w:highlight w:val="none"/>
              <w:lang w:val="en-US" w:eastAsia="zh-CN" w:bidi="ar-SA"/>
            </w:rPr>
            <w:t>3.2水文地质信息</w:t>
          </w:r>
          <w:r>
            <w:tab/>
          </w:r>
          <w:r>
            <w:fldChar w:fldCharType="begin"/>
          </w:r>
          <w:r>
            <w:instrText xml:space="preserve"> PAGEREF _Toc25352 \h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_Toc26429 </w:instrText>
          </w:r>
          <w:r>
            <w:fldChar w:fldCharType="separate"/>
          </w:r>
          <w:r>
            <w:rPr>
              <w:rFonts w:hint="eastAsia" w:ascii="宋体" w:hAnsi="宋体" w:eastAsia="宋体" w:cs="宋体"/>
              <w:lang w:val="en-US" w:eastAsia="zh-CN"/>
            </w:rPr>
            <w:t>4企业生产及污染防治情况</w:t>
          </w:r>
          <w:r>
            <w:tab/>
          </w:r>
          <w:r>
            <w:fldChar w:fldCharType="begin"/>
          </w:r>
          <w:r>
            <w:instrText xml:space="preserve"> PAGEREF _Toc26429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_Toc4748 </w:instrText>
          </w:r>
          <w:r>
            <w:fldChar w:fldCharType="separate"/>
          </w:r>
          <w:r>
            <w:rPr>
              <w:rFonts w:hint="eastAsia" w:ascii="宋体" w:hAnsi="宋体" w:eastAsia="宋体" w:cs="宋体"/>
              <w:bCs/>
              <w:kern w:val="2"/>
              <w:szCs w:val="32"/>
              <w:lang w:val="en-US" w:eastAsia="zh-CN" w:bidi="ar-SA"/>
            </w:rPr>
            <w:t>4.1企业生产概况</w:t>
          </w:r>
          <w:r>
            <w:tab/>
          </w:r>
          <w:r>
            <w:fldChar w:fldCharType="begin"/>
          </w:r>
          <w:r>
            <w:instrText xml:space="preserve"> PAGEREF _Toc4748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_Toc27140 </w:instrText>
          </w:r>
          <w:r>
            <w:fldChar w:fldCharType="separate"/>
          </w:r>
          <w:r>
            <w:rPr>
              <w:rFonts w:hint="eastAsia" w:ascii="宋体" w:hAnsi="宋体" w:eastAsia="宋体" w:cs="宋体"/>
              <w:bCs/>
              <w:kern w:val="2"/>
              <w:szCs w:val="32"/>
              <w:lang w:val="en-US" w:eastAsia="zh-CN" w:bidi="ar-SA"/>
            </w:rPr>
            <w:t>4.2企业生产工艺及产排污环节</w:t>
          </w:r>
          <w:r>
            <w:tab/>
          </w:r>
          <w:r>
            <w:fldChar w:fldCharType="begin"/>
          </w:r>
          <w:r>
            <w:instrText xml:space="preserve"> PAGEREF _Toc27140 \h </w:instrText>
          </w:r>
          <w:r>
            <w:fldChar w:fldCharType="separate"/>
          </w:r>
          <w:r>
            <w:t>16</w:t>
          </w:r>
          <w:r>
            <w:fldChar w:fldCharType="end"/>
          </w:r>
          <w:r>
            <w:fldChar w:fldCharType="end"/>
          </w:r>
        </w:p>
        <w:p>
          <w:pPr>
            <w:pStyle w:val="14"/>
            <w:tabs>
              <w:tab w:val="right" w:leader="dot" w:pos="8306"/>
            </w:tabs>
          </w:pPr>
          <w:r>
            <w:fldChar w:fldCharType="begin"/>
          </w:r>
          <w:r>
            <w:instrText xml:space="preserve"> HYPERLINK \l _Toc5088 </w:instrText>
          </w:r>
          <w:r>
            <w:fldChar w:fldCharType="separate"/>
          </w:r>
          <w:r>
            <w:rPr>
              <w:rFonts w:hint="eastAsia" w:ascii="宋体" w:hAnsi="宋体" w:eastAsia="宋体" w:cs="宋体"/>
              <w:bCs/>
              <w:szCs w:val="28"/>
              <w:highlight w:val="none"/>
              <w:lang w:val="en-US" w:eastAsia="zh-CN"/>
            </w:rPr>
            <w:t>4.3 环境风险防控</w:t>
          </w:r>
          <w:r>
            <w:tab/>
          </w:r>
          <w:r>
            <w:fldChar w:fldCharType="begin"/>
          </w:r>
          <w:r>
            <w:instrText xml:space="preserve"> PAGEREF _Toc5088 \h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_Toc4146 </w:instrText>
          </w:r>
          <w:r>
            <w:fldChar w:fldCharType="separate"/>
          </w:r>
          <w:r>
            <w:rPr>
              <w:rFonts w:hint="eastAsia" w:ascii="宋体" w:hAnsi="宋体" w:eastAsia="宋体" w:cs="宋体"/>
              <w:bCs/>
              <w:kern w:val="2"/>
              <w:szCs w:val="32"/>
              <w:lang w:val="en-US" w:eastAsia="zh-CN" w:bidi="ar-SA"/>
            </w:rPr>
            <w:t>4.4企业总平面布置</w:t>
          </w:r>
          <w:r>
            <w:tab/>
          </w:r>
          <w:r>
            <w:fldChar w:fldCharType="begin"/>
          </w:r>
          <w:r>
            <w:instrText xml:space="preserve"> PAGEREF _Toc4146 \h </w:instrText>
          </w:r>
          <w:r>
            <w:fldChar w:fldCharType="separate"/>
          </w:r>
          <w:r>
            <w:t>24</w:t>
          </w:r>
          <w:r>
            <w:fldChar w:fldCharType="end"/>
          </w:r>
          <w:r>
            <w:fldChar w:fldCharType="end"/>
          </w:r>
        </w:p>
        <w:p>
          <w:pPr>
            <w:pStyle w:val="14"/>
            <w:tabs>
              <w:tab w:val="right" w:leader="dot" w:pos="8306"/>
            </w:tabs>
          </w:pPr>
          <w:r>
            <w:fldChar w:fldCharType="begin"/>
          </w:r>
          <w:r>
            <w:instrText xml:space="preserve"> HYPERLINK \l _Toc19831 </w:instrText>
          </w:r>
          <w:r>
            <w:fldChar w:fldCharType="separate"/>
          </w:r>
          <w:r>
            <w:rPr>
              <w:rFonts w:hint="eastAsia" w:ascii="宋体" w:hAnsi="宋体" w:eastAsia="宋体" w:cs="宋体"/>
              <w:bCs/>
              <w:kern w:val="2"/>
              <w:szCs w:val="32"/>
              <w:lang w:val="en-US" w:eastAsia="zh-CN" w:bidi="ar-SA"/>
            </w:rPr>
            <w:t>4.5各重点场所、重点设施设备情况</w:t>
          </w:r>
          <w:r>
            <w:tab/>
          </w:r>
          <w:r>
            <w:fldChar w:fldCharType="begin"/>
          </w:r>
          <w:r>
            <w:instrText xml:space="preserve"> PAGEREF _Toc19831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_Toc24362 </w:instrText>
          </w:r>
          <w:r>
            <w:fldChar w:fldCharType="separate"/>
          </w:r>
          <w:r>
            <w:rPr>
              <w:rFonts w:hint="eastAsia" w:ascii="宋体" w:hAnsi="宋体" w:eastAsia="宋体" w:cs="宋体"/>
              <w:bCs/>
              <w:kern w:val="2"/>
              <w:szCs w:val="32"/>
              <w:lang w:val="en-US" w:eastAsia="zh-CN" w:bidi="zh-CN"/>
            </w:rPr>
            <w:t>5重点监测单元识别与分类</w:t>
          </w:r>
          <w:r>
            <w:tab/>
          </w:r>
          <w:r>
            <w:fldChar w:fldCharType="begin"/>
          </w:r>
          <w:r>
            <w:instrText xml:space="preserve"> PAGEREF _Toc24362 \h </w:instrText>
          </w:r>
          <w:r>
            <w:fldChar w:fldCharType="separate"/>
          </w:r>
          <w:r>
            <w:t>26</w:t>
          </w:r>
          <w:r>
            <w:fldChar w:fldCharType="end"/>
          </w:r>
          <w:r>
            <w:fldChar w:fldCharType="end"/>
          </w:r>
        </w:p>
        <w:p>
          <w:pPr>
            <w:pStyle w:val="14"/>
            <w:tabs>
              <w:tab w:val="right" w:leader="dot" w:pos="8306"/>
            </w:tabs>
          </w:pPr>
          <w:r>
            <w:fldChar w:fldCharType="begin"/>
          </w:r>
          <w:r>
            <w:instrText xml:space="preserve"> HYPERLINK \l _Toc27902 </w:instrText>
          </w:r>
          <w:r>
            <w:fldChar w:fldCharType="separate"/>
          </w:r>
          <w:r>
            <w:rPr>
              <w:rFonts w:hint="eastAsia" w:ascii="宋体" w:hAnsi="宋体" w:eastAsia="宋体" w:cs="宋体"/>
              <w:bCs/>
              <w:kern w:val="2"/>
              <w:szCs w:val="32"/>
              <w:lang w:val="en-US" w:eastAsia="zh-CN" w:bidi="ar-SA"/>
            </w:rPr>
            <w:t>5.1重点监测单元识别</w:t>
          </w:r>
          <w:r>
            <w:tab/>
          </w:r>
          <w:r>
            <w:fldChar w:fldCharType="begin"/>
          </w:r>
          <w:r>
            <w:instrText xml:space="preserve"> PAGEREF _Toc27902 \h </w:instrText>
          </w:r>
          <w:r>
            <w:fldChar w:fldCharType="separate"/>
          </w:r>
          <w:r>
            <w:t>26</w:t>
          </w:r>
          <w:r>
            <w:fldChar w:fldCharType="end"/>
          </w:r>
          <w:r>
            <w:fldChar w:fldCharType="end"/>
          </w:r>
        </w:p>
        <w:p>
          <w:pPr>
            <w:pStyle w:val="14"/>
            <w:tabs>
              <w:tab w:val="right" w:leader="dot" w:pos="8306"/>
            </w:tabs>
          </w:pPr>
          <w:r>
            <w:fldChar w:fldCharType="begin"/>
          </w:r>
          <w:r>
            <w:instrText xml:space="preserve"> HYPERLINK \l _Toc23658 </w:instrText>
          </w:r>
          <w:r>
            <w:fldChar w:fldCharType="separate"/>
          </w:r>
          <w:r>
            <w:rPr>
              <w:rFonts w:hint="eastAsia" w:ascii="宋体" w:hAnsi="宋体" w:eastAsia="宋体" w:cs="宋体"/>
              <w:bCs/>
              <w:kern w:val="2"/>
              <w:szCs w:val="32"/>
              <w:lang w:val="en-US" w:eastAsia="zh-CN" w:bidi="ar-SA"/>
            </w:rPr>
            <w:t>5.2识别/分类结果及原因</w:t>
          </w:r>
          <w:r>
            <w:tab/>
          </w:r>
          <w:r>
            <w:fldChar w:fldCharType="begin"/>
          </w:r>
          <w:r>
            <w:instrText xml:space="preserve"> PAGEREF _Toc23658 \h </w:instrText>
          </w:r>
          <w:r>
            <w:fldChar w:fldCharType="separate"/>
          </w:r>
          <w:r>
            <w:t>28</w:t>
          </w:r>
          <w:r>
            <w:fldChar w:fldCharType="end"/>
          </w:r>
          <w:r>
            <w:fldChar w:fldCharType="end"/>
          </w:r>
        </w:p>
        <w:p>
          <w:pPr>
            <w:pStyle w:val="14"/>
            <w:tabs>
              <w:tab w:val="right" w:leader="dot" w:pos="8306"/>
            </w:tabs>
          </w:pPr>
          <w:r>
            <w:fldChar w:fldCharType="begin"/>
          </w:r>
          <w:r>
            <w:instrText xml:space="preserve"> HYPERLINK \l _Toc24154 </w:instrText>
          </w:r>
          <w:r>
            <w:fldChar w:fldCharType="separate"/>
          </w:r>
          <w:r>
            <w:rPr>
              <w:rFonts w:hint="eastAsia" w:ascii="宋体" w:hAnsi="宋体" w:eastAsia="宋体" w:cs="宋体"/>
              <w:bCs/>
              <w:kern w:val="2"/>
              <w:szCs w:val="32"/>
              <w:lang w:val="en-US" w:eastAsia="zh-CN" w:bidi="ar-SA"/>
            </w:rPr>
            <w:t>5.3关注污染物</w:t>
          </w:r>
          <w:r>
            <w:tab/>
          </w:r>
          <w:r>
            <w:fldChar w:fldCharType="begin"/>
          </w:r>
          <w:r>
            <w:instrText xml:space="preserve"> PAGEREF _Toc24154 \h </w:instrText>
          </w:r>
          <w:r>
            <w:fldChar w:fldCharType="separate"/>
          </w:r>
          <w:r>
            <w:t>29</w:t>
          </w:r>
          <w:r>
            <w:fldChar w:fldCharType="end"/>
          </w:r>
          <w:r>
            <w:fldChar w:fldCharType="end"/>
          </w:r>
        </w:p>
        <w:p>
          <w:pPr>
            <w:pStyle w:val="13"/>
            <w:tabs>
              <w:tab w:val="right" w:leader="dot" w:pos="8306"/>
            </w:tabs>
          </w:pPr>
          <w:r>
            <w:fldChar w:fldCharType="begin"/>
          </w:r>
          <w:r>
            <w:instrText xml:space="preserve"> HYPERLINK \l _Toc22308 </w:instrText>
          </w:r>
          <w:r>
            <w:fldChar w:fldCharType="separate"/>
          </w:r>
          <w:r>
            <w:rPr>
              <w:rFonts w:hint="eastAsia" w:ascii="宋体" w:hAnsi="宋体" w:eastAsia="宋体" w:cs="宋体"/>
              <w:lang w:val="en-US" w:eastAsia="zh-CN"/>
            </w:rPr>
            <w:t>6监测点位布设方案</w:t>
          </w:r>
          <w:r>
            <w:tab/>
          </w:r>
          <w:r>
            <w:fldChar w:fldCharType="begin"/>
          </w:r>
          <w:r>
            <w:instrText xml:space="preserve"> PAGEREF _Toc22308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_Toc25447 </w:instrText>
          </w:r>
          <w:r>
            <w:fldChar w:fldCharType="separate"/>
          </w:r>
          <w:r>
            <w:rPr>
              <w:rFonts w:hint="eastAsia" w:ascii="宋体" w:hAnsi="宋体" w:eastAsia="宋体" w:cs="宋体"/>
              <w:bCs/>
              <w:kern w:val="2"/>
              <w:szCs w:val="32"/>
              <w:lang w:val="en-US" w:eastAsia="zh-CN" w:bidi="ar-SA"/>
            </w:rPr>
            <w:t>6.1重点单元及相应监测点/监测井的布设位置</w:t>
          </w:r>
          <w:r>
            <w:tab/>
          </w:r>
          <w:r>
            <w:fldChar w:fldCharType="begin"/>
          </w:r>
          <w:r>
            <w:instrText xml:space="preserve"> PAGEREF _Toc25447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_Toc17255 </w:instrText>
          </w:r>
          <w:r>
            <w:fldChar w:fldCharType="separate"/>
          </w:r>
          <w:r>
            <w:rPr>
              <w:rFonts w:hint="eastAsia" w:ascii="宋体" w:hAnsi="宋体" w:eastAsia="宋体" w:cs="宋体"/>
              <w:bCs/>
              <w:kern w:val="2"/>
              <w:szCs w:val="32"/>
              <w:lang w:val="en-US" w:eastAsia="zh-CN" w:bidi="ar-SA"/>
            </w:rPr>
            <w:t>6.2监测点位布设</w:t>
          </w:r>
          <w:r>
            <w:tab/>
          </w:r>
          <w:r>
            <w:fldChar w:fldCharType="begin"/>
          </w:r>
          <w:r>
            <w:instrText xml:space="preserve"> PAGEREF _Toc17255 \h </w:instrText>
          </w:r>
          <w:r>
            <w:fldChar w:fldCharType="separate"/>
          </w:r>
          <w:r>
            <w:t>31</w:t>
          </w:r>
          <w:r>
            <w:fldChar w:fldCharType="end"/>
          </w:r>
          <w:r>
            <w:fldChar w:fldCharType="end"/>
          </w:r>
        </w:p>
        <w:p>
          <w:pPr>
            <w:pStyle w:val="14"/>
            <w:tabs>
              <w:tab w:val="right" w:leader="dot" w:pos="8306"/>
            </w:tabs>
          </w:pPr>
          <w:r>
            <w:fldChar w:fldCharType="begin"/>
          </w:r>
          <w:r>
            <w:instrText xml:space="preserve"> HYPERLINK \l _Toc6908 </w:instrText>
          </w:r>
          <w:r>
            <w:fldChar w:fldCharType="separate"/>
          </w:r>
          <w:r>
            <w:rPr>
              <w:rFonts w:hint="eastAsia" w:ascii="宋体" w:hAnsi="宋体" w:eastAsia="宋体" w:cs="宋体"/>
              <w:bCs/>
              <w:kern w:val="2"/>
              <w:szCs w:val="32"/>
              <w:highlight w:val="none"/>
              <w:lang w:val="en-US" w:eastAsia="zh-CN" w:bidi="ar-SA"/>
            </w:rPr>
            <w:t>6.3各点位监测指标及选取原因</w:t>
          </w:r>
          <w:r>
            <w:tab/>
          </w:r>
          <w:r>
            <w:fldChar w:fldCharType="begin"/>
          </w:r>
          <w:r>
            <w:instrText xml:space="preserve"> PAGEREF _Toc6908 \h </w:instrText>
          </w:r>
          <w:r>
            <w:fldChar w:fldCharType="separate"/>
          </w:r>
          <w:r>
            <w:t>31</w:t>
          </w:r>
          <w:r>
            <w:fldChar w:fldCharType="end"/>
          </w:r>
          <w:r>
            <w:fldChar w:fldCharType="end"/>
          </w:r>
        </w:p>
        <w:p>
          <w:pPr>
            <w:pStyle w:val="14"/>
            <w:tabs>
              <w:tab w:val="right" w:leader="dot" w:pos="8306"/>
            </w:tabs>
          </w:pPr>
          <w:r>
            <w:fldChar w:fldCharType="begin"/>
          </w:r>
          <w:r>
            <w:instrText xml:space="preserve"> HYPERLINK \l _Toc23469 </w:instrText>
          </w:r>
          <w:r>
            <w:fldChar w:fldCharType="separate"/>
          </w:r>
          <w:r>
            <w:rPr>
              <w:rFonts w:hint="eastAsia" w:ascii="宋体" w:hAnsi="宋体" w:eastAsia="宋体" w:cs="宋体"/>
              <w:bCs/>
              <w:kern w:val="2"/>
              <w:szCs w:val="28"/>
              <w:highlight w:val="none"/>
              <w:lang w:val="en-US" w:eastAsia="zh-CN" w:bidi="ar-SA"/>
            </w:rPr>
            <w:t>6.4监测频次</w:t>
          </w:r>
          <w:r>
            <w:tab/>
          </w:r>
          <w:r>
            <w:fldChar w:fldCharType="begin"/>
          </w:r>
          <w:r>
            <w:instrText xml:space="preserve"> PAGEREF _Toc23469 \h </w:instrText>
          </w:r>
          <w:r>
            <w:fldChar w:fldCharType="separate"/>
          </w:r>
          <w:r>
            <w:t>32</w:t>
          </w:r>
          <w:r>
            <w:fldChar w:fldCharType="end"/>
          </w:r>
          <w:r>
            <w:fldChar w:fldCharType="end"/>
          </w:r>
        </w:p>
        <w:p>
          <w:pPr>
            <w:pStyle w:val="13"/>
            <w:tabs>
              <w:tab w:val="right" w:leader="dot" w:pos="8306"/>
            </w:tabs>
          </w:pPr>
          <w:r>
            <w:fldChar w:fldCharType="begin"/>
          </w:r>
          <w:r>
            <w:instrText xml:space="preserve"> HYPERLINK \l _Toc30910 </w:instrText>
          </w:r>
          <w:r>
            <w:fldChar w:fldCharType="separate"/>
          </w:r>
          <w:r>
            <w:rPr>
              <w:rFonts w:hint="eastAsia" w:ascii="宋体" w:hAnsi="宋体" w:eastAsia="宋体" w:cs="宋体"/>
              <w:lang w:val="en-US" w:eastAsia="zh-CN"/>
            </w:rPr>
            <w:t>7样品采集、保存、流转与制备</w:t>
          </w:r>
          <w:r>
            <w:tab/>
          </w:r>
          <w:r>
            <w:fldChar w:fldCharType="begin"/>
          </w:r>
          <w:r>
            <w:instrText xml:space="preserve"> PAGEREF _Toc30910 \h </w:instrText>
          </w:r>
          <w:r>
            <w:fldChar w:fldCharType="separate"/>
          </w:r>
          <w:r>
            <w:t>33</w:t>
          </w:r>
          <w:r>
            <w:fldChar w:fldCharType="end"/>
          </w:r>
          <w:r>
            <w:fldChar w:fldCharType="end"/>
          </w:r>
        </w:p>
        <w:p>
          <w:pPr>
            <w:pStyle w:val="14"/>
            <w:tabs>
              <w:tab w:val="right" w:leader="dot" w:pos="8306"/>
            </w:tabs>
          </w:pPr>
          <w:r>
            <w:fldChar w:fldCharType="begin"/>
          </w:r>
          <w:r>
            <w:instrText xml:space="preserve"> HYPERLINK \l _Toc9168 </w:instrText>
          </w:r>
          <w:r>
            <w:fldChar w:fldCharType="separate"/>
          </w:r>
          <w:r>
            <w:rPr>
              <w:rFonts w:hint="eastAsia" w:ascii="宋体" w:hAnsi="宋体" w:eastAsia="宋体" w:cs="宋体"/>
              <w:bCs/>
              <w:kern w:val="2"/>
              <w:szCs w:val="32"/>
              <w:lang w:val="en-US" w:eastAsia="zh-CN" w:bidi="ar-SA"/>
            </w:rPr>
            <w:t>7.1现场采样位置、数量和深度</w:t>
          </w:r>
          <w:r>
            <w:tab/>
          </w:r>
          <w:r>
            <w:fldChar w:fldCharType="begin"/>
          </w:r>
          <w:r>
            <w:instrText xml:space="preserve"> PAGEREF _Toc9168 \h </w:instrText>
          </w:r>
          <w:r>
            <w:fldChar w:fldCharType="separate"/>
          </w:r>
          <w:r>
            <w:t>33</w:t>
          </w:r>
          <w:r>
            <w:fldChar w:fldCharType="end"/>
          </w:r>
          <w:r>
            <w:fldChar w:fldCharType="end"/>
          </w:r>
        </w:p>
        <w:p>
          <w:pPr>
            <w:pStyle w:val="14"/>
            <w:tabs>
              <w:tab w:val="right" w:leader="dot" w:pos="8306"/>
            </w:tabs>
          </w:pPr>
          <w:r>
            <w:fldChar w:fldCharType="begin"/>
          </w:r>
          <w:r>
            <w:instrText xml:space="preserve"> HYPERLINK \l _Toc31934 </w:instrText>
          </w:r>
          <w:r>
            <w:fldChar w:fldCharType="separate"/>
          </w:r>
          <w:r>
            <w:rPr>
              <w:rFonts w:hint="eastAsia" w:ascii="宋体" w:hAnsi="宋体" w:eastAsia="宋体" w:cs="宋体"/>
              <w:bCs/>
              <w:kern w:val="2"/>
              <w:szCs w:val="32"/>
              <w:lang w:val="en-US" w:eastAsia="zh-CN" w:bidi="ar-SA"/>
            </w:rPr>
            <w:t>7.2现场采样工作流程</w:t>
          </w:r>
          <w:r>
            <w:tab/>
          </w:r>
          <w:r>
            <w:fldChar w:fldCharType="begin"/>
          </w:r>
          <w:r>
            <w:instrText xml:space="preserve"> PAGEREF _Toc31934 \h </w:instrText>
          </w:r>
          <w:r>
            <w:fldChar w:fldCharType="separate"/>
          </w:r>
          <w:r>
            <w:t>33</w:t>
          </w:r>
          <w:r>
            <w:fldChar w:fldCharType="end"/>
          </w:r>
          <w:r>
            <w:fldChar w:fldCharType="end"/>
          </w:r>
        </w:p>
        <w:p>
          <w:pPr>
            <w:pStyle w:val="13"/>
            <w:tabs>
              <w:tab w:val="right" w:leader="dot" w:pos="8306"/>
            </w:tabs>
          </w:pPr>
          <w:r>
            <w:fldChar w:fldCharType="begin"/>
          </w:r>
          <w:r>
            <w:instrText xml:space="preserve"> HYPERLINK \l _Toc178 </w:instrText>
          </w:r>
          <w:r>
            <w:fldChar w:fldCharType="separate"/>
          </w:r>
          <w:r>
            <w:rPr>
              <w:rFonts w:hint="eastAsia" w:ascii="宋体" w:hAnsi="宋体" w:eastAsia="宋体" w:cs="宋体"/>
              <w:lang w:val="en-US" w:eastAsia="zh-CN"/>
            </w:rPr>
            <w:t>8监测结果分析</w:t>
          </w:r>
          <w:r>
            <w:tab/>
          </w:r>
          <w:r>
            <w:fldChar w:fldCharType="begin"/>
          </w:r>
          <w:r>
            <w:instrText xml:space="preserve"> PAGEREF _Toc178 \h </w:instrText>
          </w:r>
          <w:r>
            <w:fldChar w:fldCharType="separate"/>
          </w:r>
          <w:r>
            <w:t>39</w:t>
          </w:r>
          <w:r>
            <w:fldChar w:fldCharType="end"/>
          </w:r>
          <w:r>
            <w:fldChar w:fldCharType="end"/>
          </w:r>
        </w:p>
        <w:p>
          <w:pPr>
            <w:pStyle w:val="14"/>
            <w:tabs>
              <w:tab w:val="right" w:leader="dot" w:pos="8306"/>
            </w:tabs>
          </w:pPr>
          <w:r>
            <w:fldChar w:fldCharType="begin"/>
          </w:r>
          <w:r>
            <w:instrText xml:space="preserve"> HYPERLINK \l _Toc12553 </w:instrText>
          </w:r>
          <w:r>
            <w:fldChar w:fldCharType="separate"/>
          </w:r>
          <w:r>
            <w:rPr>
              <w:rFonts w:hint="eastAsia" w:ascii="宋体" w:hAnsi="宋体" w:eastAsia="宋体" w:cs="宋体"/>
              <w:bCs/>
              <w:kern w:val="2"/>
              <w:szCs w:val="32"/>
              <w:lang w:val="en-US" w:eastAsia="zh-CN" w:bidi="ar-SA"/>
            </w:rPr>
            <w:t>8.1</w:t>
          </w:r>
          <w:r>
            <w:rPr>
              <w:rFonts w:hint="eastAsia" w:ascii="宋体" w:hAnsi="宋体" w:eastAsia="宋体" w:cs="宋体"/>
              <w:bCs/>
              <w:kern w:val="2"/>
              <w:szCs w:val="32"/>
              <w:highlight w:val="none"/>
              <w:lang w:val="en-US" w:eastAsia="zh-CN" w:bidi="ar-SA"/>
            </w:rPr>
            <w:t>执行及参考标准</w:t>
          </w:r>
          <w:r>
            <w:tab/>
          </w:r>
          <w:r>
            <w:fldChar w:fldCharType="begin"/>
          </w:r>
          <w:r>
            <w:instrText xml:space="preserve"> PAGEREF _Toc12553 \h </w:instrText>
          </w:r>
          <w:r>
            <w:fldChar w:fldCharType="separate"/>
          </w:r>
          <w:r>
            <w:t>40</w:t>
          </w:r>
          <w:r>
            <w:fldChar w:fldCharType="end"/>
          </w:r>
          <w:r>
            <w:fldChar w:fldCharType="end"/>
          </w:r>
        </w:p>
        <w:p>
          <w:pPr>
            <w:pStyle w:val="14"/>
            <w:tabs>
              <w:tab w:val="right" w:leader="dot" w:pos="8306"/>
            </w:tabs>
          </w:pPr>
          <w:r>
            <w:fldChar w:fldCharType="begin"/>
          </w:r>
          <w:r>
            <w:instrText xml:space="preserve"> HYPERLINK \l _Toc29214 </w:instrText>
          </w:r>
          <w:r>
            <w:fldChar w:fldCharType="separate"/>
          </w:r>
          <w:r>
            <w:rPr>
              <w:rFonts w:hint="eastAsia" w:ascii="宋体" w:hAnsi="宋体" w:eastAsia="宋体" w:cs="宋体"/>
              <w:bCs/>
              <w:kern w:val="2"/>
              <w:szCs w:val="32"/>
              <w:lang w:val="en-US" w:eastAsia="zh-CN" w:bidi="ar-SA"/>
            </w:rPr>
            <w:t>8.2监测结果</w:t>
          </w:r>
          <w:r>
            <w:tab/>
          </w:r>
          <w:r>
            <w:fldChar w:fldCharType="begin"/>
          </w:r>
          <w:r>
            <w:instrText xml:space="preserve"> PAGEREF _Toc29214 \h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_Toc25727 </w:instrText>
          </w:r>
          <w:r>
            <w:fldChar w:fldCharType="separate"/>
          </w:r>
          <w:r>
            <w:rPr>
              <w:rFonts w:hint="eastAsia" w:ascii="宋体" w:hAnsi="宋体" w:eastAsia="宋体" w:cs="宋体"/>
              <w:lang w:val="en-US" w:eastAsia="zh-CN"/>
            </w:rPr>
            <w:t>9质量保证与质量控制</w:t>
          </w:r>
          <w:r>
            <w:tab/>
          </w:r>
          <w:r>
            <w:fldChar w:fldCharType="begin"/>
          </w:r>
          <w:r>
            <w:instrText xml:space="preserve"> PAGEREF _Toc25727 \h </w:instrText>
          </w:r>
          <w:r>
            <w:fldChar w:fldCharType="separate"/>
          </w:r>
          <w:r>
            <w:t>49</w:t>
          </w:r>
          <w:r>
            <w:fldChar w:fldCharType="end"/>
          </w:r>
          <w:r>
            <w:fldChar w:fldCharType="end"/>
          </w:r>
        </w:p>
        <w:p>
          <w:pPr>
            <w:pStyle w:val="14"/>
            <w:tabs>
              <w:tab w:val="right" w:leader="dot" w:pos="8306"/>
            </w:tabs>
          </w:pPr>
          <w:r>
            <w:fldChar w:fldCharType="begin"/>
          </w:r>
          <w:r>
            <w:instrText xml:space="preserve"> HYPERLINK \l _Toc10409 </w:instrText>
          </w:r>
          <w:r>
            <w:fldChar w:fldCharType="separate"/>
          </w:r>
          <w:r>
            <w:rPr>
              <w:rFonts w:hint="eastAsia" w:ascii="宋体" w:hAnsi="宋体" w:eastAsia="宋体" w:cs="宋体"/>
              <w:bCs/>
              <w:kern w:val="2"/>
              <w:szCs w:val="32"/>
              <w:lang w:val="en-US" w:eastAsia="zh-CN" w:bidi="ar-SA"/>
            </w:rPr>
            <w:t>9.1自行监测质量体系</w:t>
          </w:r>
          <w:r>
            <w:tab/>
          </w:r>
          <w:r>
            <w:fldChar w:fldCharType="begin"/>
          </w:r>
          <w:r>
            <w:instrText xml:space="preserve"> PAGEREF _Toc10409 \h </w:instrText>
          </w:r>
          <w:r>
            <w:fldChar w:fldCharType="separate"/>
          </w:r>
          <w:r>
            <w:t>49</w:t>
          </w:r>
          <w:r>
            <w:fldChar w:fldCharType="end"/>
          </w:r>
          <w:r>
            <w:fldChar w:fldCharType="end"/>
          </w:r>
        </w:p>
        <w:p>
          <w:pPr>
            <w:pStyle w:val="14"/>
            <w:tabs>
              <w:tab w:val="right" w:leader="dot" w:pos="8306"/>
            </w:tabs>
          </w:pPr>
          <w:r>
            <w:fldChar w:fldCharType="begin"/>
          </w:r>
          <w:r>
            <w:instrText xml:space="preserve"> HYPERLINK \l _Toc5560 </w:instrText>
          </w:r>
          <w:r>
            <w:fldChar w:fldCharType="separate"/>
          </w:r>
          <w:r>
            <w:rPr>
              <w:rFonts w:hint="eastAsia" w:ascii="宋体" w:hAnsi="宋体" w:eastAsia="宋体" w:cs="宋体"/>
              <w:bCs/>
              <w:kern w:val="2"/>
              <w:szCs w:val="32"/>
              <w:lang w:val="en-US" w:eastAsia="zh-CN" w:bidi="ar-SA"/>
            </w:rPr>
            <w:t>9.2监测方案制定的质量保证与控制</w:t>
          </w:r>
          <w:r>
            <w:tab/>
          </w:r>
          <w:r>
            <w:fldChar w:fldCharType="begin"/>
          </w:r>
          <w:r>
            <w:instrText xml:space="preserve"> PAGEREF _Toc5560 \h </w:instrText>
          </w:r>
          <w:r>
            <w:fldChar w:fldCharType="separate"/>
          </w:r>
          <w:r>
            <w:t>49</w:t>
          </w:r>
          <w:r>
            <w:fldChar w:fldCharType="end"/>
          </w:r>
          <w:r>
            <w:fldChar w:fldCharType="end"/>
          </w:r>
        </w:p>
        <w:p>
          <w:pPr>
            <w:pStyle w:val="14"/>
            <w:tabs>
              <w:tab w:val="right" w:leader="dot" w:pos="8306"/>
            </w:tabs>
          </w:pPr>
          <w:r>
            <w:fldChar w:fldCharType="begin"/>
          </w:r>
          <w:r>
            <w:instrText xml:space="preserve"> HYPERLINK \l _Toc16281 </w:instrText>
          </w:r>
          <w:r>
            <w:fldChar w:fldCharType="separate"/>
          </w:r>
          <w:r>
            <w:rPr>
              <w:rFonts w:hint="eastAsia" w:ascii="宋体" w:hAnsi="宋体" w:eastAsia="宋体" w:cs="宋体"/>
              <w:bCs/>
              <w:kern w:val="2"/>
              <w:szCs w:val="32"/>
              <w:lang w:val="en-US" w:eastAsia="zh-CN" w:bidi="ar-SA"/>
            </w:rPr>
            <w:t>9.3样品采集、保存、流转、制备与分析的质量保证与控制</w:t>
          </w:r>
          <w:r>
            <w:tab/>
          </w:r>
          <w:r>
            <w:fldChar w:fldCharType="begin"/>
          </w:r>
          <w:r>
            <w:instrText xml:space="preserve"> PAGEREF _Toc16281 \h </w:instrText>
          </w:r>
          <w:r>
            <w:fldChar w:fldCharType="separate"/>
          </w:r>
          <w:r>
            <w:t>50</w:t>
          </w:r>
          <w:r>
            <w:fldChar w:fldCharType="end"/>
          </w:r>
          <w:r>
            <w:fldChar w:fldCharType="end"/>
          </w:r>
        </w:p>
        <w:p>
          <w:pPr>
            <w:pStyle w:val="13"/>
            <w:tabs>
              <w:tab w:val="right" w:leader="dot" w:pos="8306"/>
            </w:tabs>
          </w:pPr>
          <w:r>
            <w:fldChar w:fldCharType="begin"/>
          </w:r>
          <w:r>
            <w:instrText xml:space="preserve"> HYPERLINK \l _Toc21950 </w:instrText>
          </w:r>
          <w:r>
            <w:fldChar w:fldCharType="separate"/>
          </w:r>
          <w:r>
            <w:rPr>
              <w:rFonts w:hint="eastAsia" w:ascii="宋体" w:hAnsi="宋体" w:eastAsia="宋体" w:cs="宋体"/>
              <w:lang w:val="en-US" w:eastAsia="zh-CN"/>
            </w:rPr>
            <w:t>10.结论与措施</w:t>
          </w:r>
          <w:r>
            <w:tab/>
          </w:r>
          <w:r>
            <w:fldChar w:fldCharType="begin"/>
          </w:r>
          <w:r>
            <w:instrText xml:space="preserve"> PAGEREF _Toc21950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_Toc25380 </w:instrText>
          </w:r>
          <w:r>
            <w:fldChar w:fldCharType="separate"/>
          </w:r>
          <w:r>
            <w:rPr>
              <w:rFonts w:hint="eastAsia" w:ascii="宋体" w:hAnsi="宋体" w:eastAsia="宋体" w:cs="宋体"/>
              <w:bCs/>
              <w:kern w:val="2"/>
              <w:szCs w:val="32"/>
              <w:lang w:val="en-US" w:eastAsia="zh-CN" w:bidi="ar-SA"/>
            </w:rPr>
            <w:t>10.1现场采样和监测</w:t>
          </w:r>
          <w:r>
            <w:tab/>
          </w:r>
          <w:r>
            <w:fldChar w:fldCharType="begin"/>
          </w:r>
          <w:r>
            <w:instrText xml:space="preserve"> PAGEREF _Toc25380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_Toc27107 </w:instrText>
          </w:r>
          <w:r>
            <w:fldChar w:fldCharType="separate"/>
          </w:r>
          <w:r>
            <w:rPr>
              <w:rFonts w:hint="eastAsia" w:ascii="宋体" w:hAnsi="宋体" w:eastAsia="宋体" w:cs="宋体"/>
              <w:bCs/>
              <w:kern w:val="2"/>
              <w:szCs w:val="32"/>
              <w:lang w:val="en-US" w:eastAsia="zh-CN" w:bidi="ar-SA"/>
            </w:rPr>
            <w:t>10.2土壤监测结果分析</w:t>
          </w:r>
          <w:r>
            <w:tab/>
          </w:r>
          <w:r>
            <w:fldChar w:fldCharType="begin"/>
          </w:r>
          <w:r>
            <w:instrText xml:space="preserve"> PAGEREF _Toc27107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_Toc11651 </w:instrText>
          </w:r>
          <w:r>
            <w:fldChar w:fldCharType="separate"/>
          </w:r>
          <w:r>
            <w:rPr>
              <w:rFonts w:hint="eastAsia" w:ascii="宋体" w:hAnsi="宋体" w:eastAsia="宋体" w:cs="宋体"/>
              <w:bCs/>
              <w:kern w:val="2"/>
              <w:szCs w:val="32"/>
              <w:lang w:val="en-US" w:eastAsia="zh-CN" w:bidi="ar-SA"/>
            </w:rPr>
            <w:t>10.3自行监测结论</w:t>
          </w:r>
          <w:r>
            <w:tab/>
          </w:r>
          <w:r>
            <w:fldChar w:fldCharType="begin"/>
          </w:r>
          <w:r>
            <w:instrText xml:space="preserve"> PAGEREF _Toc11651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_Toc6566 </w:instrText>
          </w:r>
          <w:r>
            <w:fldChar w:fldCharType="separate"/>
          </w:r>
          <w:r>
            <w:rPr>
              <w:rFonts w:hint="eastAsia" w:ascii="宋体" w:hAnsi="宋体" w:eastAsia="宋体" w:cs="宋体"/>
              <w:bCs/>
              <w:kern w:val="2"/>
              <w:szCs w:val="32"/>
              <w:lang w:val="en-US" w:eastAsia="zh-CN" w:bidi="ar-SA"/>
            </w:rPr>
            <w:t>10.4拟采取的主要措施</w:t>
          </w:r>
          <w:r>
            <w:tab/>
          </w:r>
          <w:r>
            <w:fldChar w:fldCharType="begin"/>
          </w:r>
          <w:r>
            <w:instrText xml:space="preserve"> PAGEREF _Toc6566 \h </w:instrText>
          </w:r>
          <w:r>
            <w:fldChar w:fldCharType="separate"/>
          </w:r>
          <w:r>
            <w:t>56</w:t>
          </w:r>
          <w:r>
            <w:fldChar w:fldCharType="end"/>
          </w:r>
          <w:r>
            <w:fldChar w:fldCharType="end"/>
          </w:r>
        </w:p>
        <w:p>
          <w:pPr>
            <w:pStyle w:val="13"/>
            <w:tabs>
              <w:tab w:val="right" w:leader="dot" w:pos="8306"/>
            </w:tabs>
          </w:pPr>
          <w:r>
            <w:fldChar w:fldCharType="begin"/>
          </w:r>
          <w:r>
            <w:instrText xml:space="preserve"> HYPERLINK \l _Toc29651 </w:instrText>
          </w:r>
          <w:r>
            <w:fldChar w:fldCharType="separate"/>
          </w:r>
          <w:r>
            <w:rPr>
              <w:rFonts w:hint="eastAsia" w:ascii="宋体" w:hAnsi="宋体" w:eastAsia="宋体" w:cs="宋体"/>
              <w:bCs/>
              <w:szCs w:val="32"/>
              <w:highlight w:val="none"/>
              <w:lang w:val="en-US" w:eastAsia="zh-CN"/>
            </w:rPr>
            <w:t>附图1 企业地理位置图</w:t>
          </w:r>
          <w:r>
            <w:tab/>
          </w:r>
          <w:r>
            <w:fldChar w:fldCharType="begin"/>
          </w:r>
          <w:r>
            <w:instrText xml:space="preserve"> PAGEREF _Toc29651 \h </w:instrText>
          </w:r>
          <w:r>
            <w:fldChar w:fldCharType="separate"/>
          </w:r>
          <w:r>
            <w:t>57</w:t>
          </w:r>
          <w:r>
            <w:fldChar w:fldCharType="end"/>
          </w:r>
          <w:r>
            <w:fldChar w:fldCharType="end"/>
          </w:r>
        </w:p>
        <w:p>
          <w:pPr>
            <w:pStyle w:val="13"/>
            <w:tabs>
              <w:tab w:val="right" w:leader="dot" w:pos="8306"/>
            </w:tabs>
          </w:pPr>
          <w:r>
            <w:fldChar w:fldCharType="begin"/>
          </w:r>
          <w:r>
            <w:instrText xml:space="preserve"> HYPERLINK \l _Toc8339 </w:instrText>
          </w:r>
          <w:r>
            <w:fldChar w:fldCharType="separate"/>
          </w:r>
          <w:r>
            <w:rPr>
              <w:rFonts w:hint="eastAsia" w:ascii="宋体" w:hAnsi="宋体" w:eastAsia="宋体" w:cs="宋体"/>
              <w:bCs/>
              <w:szCs w:val="32"/>
              <w:highlight w:val="none"/>
              <w:lang w:val="en-US" w:eastAsia="zh-CN"/>
            </w:rPr>
            <w:t>附图2三门峡市土壤污染类型</w:t>
          </w:r>
          <w:r>
            <w:tab/>
          </w:r>
          <w:r>
            <w:fldChar w:fldCharType="begin"/>
          </w:r>
          <w:r>
            <w:instrText xml:space="preserve"> PAGEREF _Toc8339 \h </w:instrText>
          </w:r>
          <w:r>
            <w:fldChar w:fldCharType="separate"/>
          </w:r>
          <w:r>
            <w:t>58</w:t>
          </w:r>
          <w:r>
            <w:fldChar w:fldCharType="end"/>
          </w:r>
          <w:r>
            <w:fldChar w:fldCharType="end"/>
          </w:r>
        </w:p>
        <w:p>
          <w:pPr>
            <w:pStyle w:val="13"/>
            <w:tabs>
              <w:tab w:val="right" w:leader="dot" w:pos="8306"/>
            </w:tabs>
          </w:pPr>
          <w:r>
            <w:fldChar w:fldCharType="begin"/>
          </w:r>
          <w:r>
            <w:instrText xml:space="preserve"> HYPERLINK \l _Toc5487 </w:instrText>
          </w:r>
          <w:r>
            <w:fldChar w:fldCharType="separate"/>
          </w:r>
          <w:r>
            <w:rPr>
              <w:rFonts w:hint="eastAsia" w:ascii="宋体" w:hAnsi="宋体" w:eastAsia="宋体" w:cs="宋体"/>
              <w:bCs/>
              <w:szCs w:val="32"/>
              <w:highlight w:val="none"/>
              <w:lang w:val="en-US" w:eastAsia="zh-CN"/>
            </w:rPr>
            <w:t>附图3平面布置及监测点位图</w:t>
          </w:r>
          <w:r>
            <w:tab/>
          </w:r>
          <w:r>
            <w:fldChar w:fldCharType="begin"/>
          </w:r>
          <w:r>
            <w:instrText xml:space="preserve"> PAGEREF _Toc5487 \h </w:instrText>
          </w:r>
          <w:r>
            <w:fldChar w:fldCharType="separate"/>
          </w:r>
          <w:r>
            <w:t>59</w:t>
          </w:r>
          <w:r>
            <w:fldChar w:fldCharType="end"/>
          </w:r>
          <w:r>
            <w:fldChar w:fldCharType="end"/>
          </w:r>
        </w:p>
        <w:p>
          <w:pPr>
            <w:pStyle w:val="13"/>
            <w:tabs>
              <w:tab w:val="right" w:leader="dot" w:pos="8306"/>
            </w:tabs>
          </w:pPr>
          <w:r>
            <w:fldChar w:fldCharType="begin"/>
          </w:r>
          <w:r>
            <w:instrText xml:space="preserve"> HYPERLINK \l _Toc32437 </w:instrText>
          </w:r>
          <w:r>
            <w:fldChar w:fldCharType="separate"/>
          </w:r>
          <w:r>
            <w:rPr>
              <w:rFonts w:hint="eastAsia" w:ascii="宋体" w:hAnsi="宋体" w:eastAsia="宋体" w:cs="宋体"/>
              <w:szCs w:val="24"/>
              <w:highlight w:val="none"/>
              <w:lang w:val="zh-CN" w:eastAsia="zh-CN"/>
            </w:rPr>
            <w:t>附图</w:t>
          </w:r>
          <w:r>
            <w:rPr>
              <w:rFonts w:hint="eastAsia" w:ascii="宋体" w:hAnsi="宋体" w:eastAsia="宋体" w:cs="宋体"/>
              <w:szCs w:val="24"/>
              <w:highlight w:val="none"/>
              <w:lang w:val="en-US" w:eastAsia="zh-CN"/>
            </w:rPr>
            <w:t xml:space="preserve">4 </w:t>
          </w:r>
          <w:bookmarkStart w:id="322" w:name="_GoBack"/>
          <w:bookmarkEnd w:id="322"/>
          <w:r>
            <w:rPr>
              <w:rFonts w:hint="eastAsia" w:ascii="宋体" w:hAnsi="宋体" w:eastAsia="宋体" w:cs="宋体"/>
              <w:szCs w:val="24"/>
              <w:highlight w:val="none"/>
              <w:lang w:val="zh-CN" w:eastAsia="zh-CN"/>
            </w:rPr>
            <w:t>现场采样照片</w:t>
          </w:r>
          <w:r>
            <w:tab/>
          </w:r>
          <w:r>
            <w:fldChar w:fldCharType="begin"/>
          </w:r>
          <w:r>
            <w:instrText xml:space="preserve"> PAGEREF _Toc32437 \h </w:instrText>
          </w:r>
          <w:r>
            <w:fldChar w:fldCharType="separate"/>
          </w:r>
          <w:r>
            <w:t>60</w:t>
          </w:r>
          <w:r>
            <w:fldChar w:fldCharType="end"/>
          </w:r>
          <w:r>
            <w:fldChar w:fldCharType="end"/>
          </w:r>
        </w:p>
        <w:p>
          <w:pPr>
            <w:pStyle w:val="13"/>
            <w:tabs>
              <w:tab w:val="right" w:leader="dot" w:pos="8306"/>
            </w:tabs>
          </w:pPr>
          <w:r>
            <w:fldChar w:fldCharType="begin"/>
          </w:r>
          <w:r>
            <w:instrText xml:space="preserve"> HYPERLINK \l _Toc32708 </w:instrText>
          </w:r>
          <w:r>
            <w:fldChar w:fldCharType="separate"/>
          </w:r>
          <w:r>
            <w:rPr>
              <w:rFonts w:hint="eastAsia" w:ascii="宋体" w:hAnsi="宋体" w:eastAsia="宋体" w:cs="宋体"/>
              <w:bCs/>
              <w:szCs w:val="32"/>
              <w:lang w:val="en-US" w:eastAsia="zh-CN"/>
            </w:rPr>
            <w:t>附件1 检测报告</w:t>
          </w:r>
          <w:r>
            <w:tab/>
          </w:r>
          <w:r>
            <w:fldChar w:fldCharType="begin"/>
          </w:r>
          <w:r>
            <w:instrText xml:space="preserve"> PAGEREF _Toc32708 \h </w:instrText>
          </w:r>
          <w:r>
            <w:fldChar w:fldCharType="separate"/>
          </w:r>
          <w:r>
            <w:t>61</w:t>
          </w:r>
          <w:r>
            <w:fldChar w:fldCharType="end"/>
          </w:r>
          <w:r>
            <w:fldChar w:fldCharType="end"/>
          </w:r>
        </w:p>
        <w:p>
          <w:pPr>
            <w:pStyle w:val="13"/>
            <w:tabs>
              <w:tab w:val="right" w:leader="dot" w:pos="8306"/>
            </w:tabs>
          </w:pPr>
          <w:r>
            <w:fldChar w:fldCharType="begin"/>
          </w:r>
          <w:r>
            <w:instrText xml:space="preserve"> HYPERLINK \l _Toc18597 </w:instrText>
          </w:r>
          <w:r>
            <w:fldChar w:fldCharType="separate"/>
          </w:r>
          <w:r>
            <w:rPr>
              <w:rFonts w:hint="eastAsia" w:ascii="宋体" w:hAnsi="宋体" w:eastAsia="宋体" w:cs="宋体"/>
              <w:bCs/>
              <w:szCs w:val="32"/>
              <w:lang w:val="en-US" w:eastAsia="zh-CN"/>
            </w:rPr>
            <w:t>附件2 检测资质证书、附表</w:t>
          </w:r>
          <w:r>
            <w:tab/>
          </w:r>
          <w:r>
            <w:fldChar w:fldCharType="begin"/>
          </w:r>
          <w:r>
            <w:instrText xml:space="preserve"> PAGEREF _Toc18597 \h </w:instrText>
          </w:r>
          <w:r>
            <w:fldChar w:fldCharType="separate"/>
          </w:r>
          <w:r>
            <w:t>72</w:t>
          </w:r>
          <w:r>
            <w:fldChar w:fldCharType="end"/>
          </w:r>
          <w:r>
            <w:fldChar w:fldCharType="end"/>
          </w:r>
        </w:p>
        <w:p>
          <w:pPr>
            <w:pStyle w:val="13"/>
            <w:tabs>
              <w:tab w:val="right" w:leader="dot" w:pos="8306"/>
            </w:tabs>
          </w:pPr>
          <w:r>
            <w:fldChar w:fldCharType="begin"/>
          </w:r>
          <w:r>
            <w:instrText xml:space="preserve"> HYPERLINK \l _Toc16842 </w:instrText>
          </w:r>
          <w:r>
            <w:fldChar w:fldCharType="separate"/>
          </w:r>
          <w:r>
            <w:rPr>
              <w:rFonts w:hint="eastAsia" w:ascii="宋体" w:hAnsi="宋体" w:eastAsia="宋体" w:cs="宋体"/>
              <w:bCs/>
              <w:highlight w:val="none"/>
              <w:lang w:eastAsia="zh-CN"/>
            </w:rPr>
            <w:t>附件</w:t>
          </w:r>
          <w:r>
            <w:rPr>
              <w:rFonts w:hint="eastAsia" w:ascii="宋体" w:hAnsi="宋体" w:eastAsia="宋体" w:cs="宋体"/>
              <w:bCs/>
              <w:highlight w:val="none"/>
              <w:lang w:val="en-US" w:eastAsia="zh-CN"/>
            </w:rPr>
            <w:t>3 岩土工程勘察报告（剖面图、钻孔柱状图）</w:t>
          </w:r>
          <w:r>
            <w:tab/>
          </w:r>
          <w:r>
            <w:fldChar w:fldCharType="begin"/>
          </w:r>
          <w:r>
            <w:instrText xml:space="preserve"> PAGEREF _Toc16842 \h </w:instrText>
          </w:r>
          <w:r>
            <w:fldChar w:fldCharType="separate"/>
          </w:r>
          <w:r>
            <w:t>88</w:t>
          </w:r>
          <w:r>
            <w:fldChar w:fldCharType="end"/>
          </w:r>
          <w:r>
            <w:fldChar w:fldCharType="end"/>
          </w:r>
        </w:p>
        <w:p>
          <w:r>
            <w:fldChar w:fldCharType="end"/>
          </w:r>
        </w:p>
      </w:sdtContent>
    </w:sdt>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sectPr>
          <w:footerReference r:id="rId4" w:type="default"/>
          <w:pgSz w:w="11906" w:h="16838"/>
          <w:pgMar w:top="1440" w:right="1800" w:bottom="1440" w:left="1800" w:header="851" w:footer="992" w:gutter="0"/>
          <w:pgNumType w:fmt="decimal" w:start="1"/>
          <w:cols w:space="720" w:num="1"/>
          <w:docGrid w:type="lines" w:linePitch="312" w:charSpace="0"/>
        </w:sectPr>
      </w:pPr>
    </w:p>
    <w:p>
      <w:pPr>
        <w:keepNext w:val="0"/>
        <w:keepLines w:val="0"/>
        <w:pageBreakBefore w:val="0"/>
        <w:widowControl/>
        <w:tabs>
          <w:tab w:val="left" w:pos="312"/>
        </w:tabs>
        <w:kinsoku/>
        <w:wordWrap/>
        <w:overflowPunct/>
        <w:topLinePunct w:val="0"/>
        <w:autoSpaceDE/>
        <w:autoSpaceDN/>
        <w:bidi w:val="0"/>
        <w:adjustRightInd/>
        <w:snapToGrid w:val="0"/>
        <w:spacing w:line="360" w:lineRule="auto"/>
        <w:ind w:firstLine="0" w:firstLineChars="0"/>
        <w:jc w:val="both"/>
        <w:textAlignment w:val="auto"/>
        <w:outlineLvl w:val="1"/>
        <w:rPr>
          <w:rFonts w:hint="eastAsia" w:ascii="宋体" w:hAnsi="宋体" w:eastAsia="宋体" w:cs="宋体"/>
          <w:b/>
          <w:bCs/>
          <w:color w:val="auto"/>
          <w:kern w:val="2"/>
          <w:sz w:val="28"/>
          <w:szCs w:val="32"/>
          <w:highlight w:val="none"/>
          <w:lang w:val="en-US" w:eastAsia="zh-CN" w:bidi="zh-CN"/>
        </w:rPr>
      </w:pPr>
      <w:bookmarkStart w:id="6" w:name="_Toc19224"/>
      <w:r>
        <w:rPr>
          <w:rFonts w:hint="eastAsia" w:ascii="宋体" w:hAnsi="宋体" w:eastAsia="宋体" w:cs="宋体"/>
          <w:b/>
          <w:bCs/>
          <w:color w:val="auto"/>
          <w:kern w:val="2"/>
          <w:sz w:val="28"/>
          <w:szCs w:val="32"/>
          <w:highlight w:val="none"/>
          <w:lang w:val="en-US" w:eastAsia="zh-CN" w:bidi="zh-CN"/>
        </w:rPr>
        <w:t>1.工作背景</w:t>
      </w:r>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highlight w:val="none"/>
        </w:rPr>
      </w:pPr>
      <w:bookmarkStart w:id="7" w:name="_Toc11735"/>
      <w:bookmarkStart w:id="8" w:name="_Toc17333"/>
      <w:bookmarkStart w:id="9" w:name="_Toc19367"/>
      <w:bookmarkStart w:id="10" w:name="_Toc53736315"/>
      <w:bookmarkStart w:id="11" w:name="_Toc31209"/>
      <w:bookmarkStart w:id="12" w:name="_Toc31920"/>
      <w:bookmarkStart w:id="13" w:name="_Toc5620"/>
      <w:bookmarkStart w:id="14" w:name="_Toc27381"/>
      <w:bookmarkStart w:id="15" w:name="_Toc3420"/>
      <w:bookmarkStart w:id="16" w:name="_Toc27886"/>
      <w:bookmarkStart w:id="17" w:name="_Toc26004755"/>
      <w:bookmarkStart w:id="18" w:name="_Toc12675"/>
      <w:bookmarkStart w:id="19" w:name="_Toc25756_WPSOffice_Level1"/>
      <w:bookmarkStart w:id="20" w:name="_Toc27972_WPSOffice_Level1"/>
      <w:r>
        <w:rPr>
          <w:rFonts w:hint="eastAsia" w:ascii="宋体" w:hAnsi="宋体" w:eastAsia="宋体" w:cs="宋体"/>
          <w:b w:val="0"/>
          <w:bCs w:val="0"/>
          <w:color w:val="auto"/>
          <w:spacing w:val="0"/>
          <w:sz w:val="28"/>
          <w:szCs w:val="28"/>
          <w:highlight w:val="none"/>
          <w:u w:val="none"/>
          <w:lang w:val="en-US" w:eastAsia="zh-CN"/>
        </w:rPr>
        <w:t xml:space="preserve">  </w:t>
      </w:r>
      <w:r>
        <w:rPr>
          <w:rFonts w:hint="eastAsia" w:ascii="宋体" w:hAnsi="宋体" w:eastAsia="宋体" w:cs="宋体"/>
          <w:b w:val="0"/>
          <w:bCs w:val="0"/>
          <w:color w:val="auto"/>
          <w:kern w:val="2"/>
          <w:sz w:val="28"/>
          <w:szCs w:val="28"/>
          <w:highlight w:val="none"/>
          <w:u w:val="none"/>
          <w:shd w:val="clear" w:color="auto" w:fill="auto"/>
          <w:lang w:val="en-US" w:eastAsia="zh-CN" w:bidi="ar-SA"/>
        </w:rPr>
        <w:t xml:space="preserve">  三门峡鸿腾精细化工有限公司位于三门峡陕州区先进制造业开发区（原陕州区产业集聚区），项目分两期建设，一期工程始建于2010年10月，建设规模为年产氯化石蜡2万吨。根据市场需求，2019年5月，三门峡鸿腾精细化工有限公司对一期工程进行扩建，扩建工程建设规模为年产氯化石蜡8700吨。扩建完成后，全厂总产能为年产氯化石蜡28700吨。</w:t>
      </w:r>
    </w:p>
    <w:p>
      <w:pPr>
        <w:pStyle w:val="4"/>
        <w:spacing w:line="360" w:lineRule="auto"/>
        <w:outlineLvl w:val="1"/>
        <w:rPr>
          <w:rFonts w:hint="eastAsia" w:ascii="宋体" w:hAnsi="宋体" w:eastAsia="宋体" w:cs="宋体"/>
          <w:color w:val="auto"/>
          <w:highlight w:val="none"/>
        </w:rPr>
      </w:pPr>
      <w:bookmarkStart w:id="21" w:name="_Toc1917"/>
      <w:r>
        <w:rPr>
          <w:rFonts w:hint="eastAsia" w:ascii="宋体" w:hAnsi="宋体" w:eastAsia="宋体" w:cs="宋体"/>
          <w:color w:val="auto"/>
          <w:highlight w:val="none"/>
        </w:rPr>
        <w:t>1.1编制背景</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2016年5月《土壤污染防治行动计划》中指出：重点行业企业要依据有关规定，向社会公开其产生的污染物名称、排放方式、排放浓度、排放总量，以及污染防治设施建设和运行情况。各地要根据工矿企业分布和污染排放情况，确定土壤环境重点监管企业名单，实行动态更新，并向社会公布。列入名单的企业每年要自行对其用地进行土壤环境监测，结果向社会公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2018年5月《工矿用地土壤环境管理办法》中：重点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2019年1月1日起实施的《中华人民共和国土壤污染防治法》第二十一条：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2021年11月《工业企业土壤和地下水自行监测技术指南（试行）》（HJ1209-2021）规定了企业土壤和地下水自行监测过程中监测方案制定；样品采集、保存、流转及分析测试；监测结果分析；监测报告编制及监测设施维护的基本内容和要求。指导了土壤环境重点监管企业开展土壤和地下水自行监测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根据《关于更新2023年土壤、地下水环境重点监管单位名录的公示》和《三门峡市生态环境局第二分局关于土壤污染重点监管单位切实履行土壤污染防治相关义务的通知》等文件要求，三门峡鸿腾精细化工有限公司被列入</w:t>
      </w:r>
      <w:r>
        <w:rPr>
          <w:rFonts w:hint="eastAsia" w:ascii="宋体" w:hAnsi="宋体" w:eastAsia="宋体" w:cs="宋体"/>
          <w:b w:val="0"/>
          <w:bCs w:val="0"/>
          <w:color w:val="auto"/>
          <w:kern w:val="2"/>
          <w:sz w:val="28"/>
          <w:szCs w:val="28"/>
          <w:highlight w:val="none"/>
          <w:u w:val="none"/>
          <w:shd w:val="clear" w:color="auto" w:fill="auto"/>
          <w:lang w:val="en-US" w:eastAsia="zh-Hans" w:bidi="ar-SA"/>
        </w:rPr>
        <w:t>三门峡市</w:t>
      </w:r>
      <w:r>
        <w:rPr>
          <w:rFonts w:hint="eastAsia" w:ascii="宋体" w:hAnsi="宋体" w:eastAsia="宋体" w:cs="宋体"/>
          <w:b w:val="0"/>
          <w:bCs w:val="0"/>
          <w:color w:val="auto"/>
          <w:kern w:val="2"/>
          <w:sz w:val="28"/>
          <w:szCs w:val="28"/>
          <w:highlight w:val="none"/>
          <w:u w:val="none"/>
          <w:shd w:val="clear" w:color="auto" w:fill="auto"/>
          <w:lang w:val="en-US" w:eastAsia="zh-CN" w:bidi="ar-SA"/>
        </w:rPr>
        <w:t>2023年土壤污染重点监管单位名录。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为完成土壤污染防治工作，洛阳市达峰环境检测有限公司提供技术支持，与三门峡鸿腾精细化工有限公司共同开展企业年度土壤和地下水自行监测工作。经过技术人员到现场对企业现状及周边情况进行了详细调查，收集相关资料，依据《在产企业土壤和地下水自行监测技术指南》及有关标准，结合企业实践，编制了《三门峡鸿腾精细化工有限公司土壤和地下水自行监测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结合资料收集、现场勘查、人员访谈和重点区域及重点设施识别等工作，重点排查对象为三门峡鸿腾精细化工有限公司可能涉及土壤和地下水污染的工业活动或设施，依据国家相关政策、标准、导则等要求，结合企业性质和特征污染物，制定了《三门峡鸿腾精细化工有限公司土壤和地下水监测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本次地下水调查范围包括厂区地下水井；本次土壤调查范围包括但不限于：成品仓库、液氯气化区、应急罐、液氯槽车区、液蜡罐区、盐酸罐区、氯化车间、盐酸吸收区、烧碱、成品次氯酸钠区、消防罐区等为重点区域。</w:t>
      </w:r>
      <w:bookmarkStart w:id="22" w:name="_Toc26300"/>
      <w:bookmarkStart w:id="23" w:name="_Toc26004756"/>
      <w:bookmarkStart w:id="24" w:name="_Toc22163"/>
      <w:bookmarkStart w:id="25" w:name="_Toc20608"/>
      <w:bookmarkStart w:id="26" w:name="_Toc15642"/>
      <w:bookmarkStart w:id="27" w:name="_Toc22199821"/>
      <w:bookmarkStart w:id="28" w:name="_Toc17769"/>
      <w:bookmarkStart w:id="29" w:name="_Toc7590"/>
      <w:bookmarkStart w:id="30" w:name="_Toc15774"/>
      <w:bookmarkStart w:id="31" w:name="_Toc9357"/>
      <w:bookmarkStart w:id="32" w:name="_Toc25635_WPSOffice_Level1"/>
      <w:bookmarkStart w:id="33" w:name="_Toc10378"/>
      <w:bookmarkStart w:id="34" w:name="_Toc758"/>
      <w:bookmarkStart w:id="35" w:name="_Toc53736316"/>
      <w:bookmarkStart w:id="36" w:name="_Toc22773_WPSOffice_Level2"/>
      <w:bookmarkStart w:id="37" w:name="_Toc166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三门峡鸿腾精细化工有限公司厂区内无地下水监测井，公司于2018年8月委托中水电第十一工程局 (郑州) 有限公司编制了《三门峡鸿腾化工有限公司建设项目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鸿腾精细化工有限公司岩土工程勘察报告）。鉴于以上情况，2023年6月18日-6月28日，公司委托洛阳市达峰环境检测有限公司对厂区土壤开展监测。根据2023年6月28日出具的《三门峡鸿腾精细化工有限公司土壤检测报告》（报告编号：DFJC-009-06-2023），结合企业厂区生产设施分布和生产工艺等实际情况，确定土壤监测点位置及数量7个（其中5个监控点，1个背景点），但具备取样条件的土壤监测点位置及数量为5个（其中4个监控点，1个土壤背景监测点）。其他2个点位不具备取样条件的原因为：氯化车间、盐酸吸收区；烧碱、成品次氯酸钠区2个点位地面已硬化无法取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b w:val="0"/>
          <w:bCs w:val="0"/>
          <w:color w:val="auto"/>
          <w:sz w:val="28"/>
          <w:szCs w:val="28"/>
          <w:highlight w:val="none"/>
          <w:u w:val="none"/>
          <w:shd w:val="clear" w:color="auto" w:fill="auto"/>
        </w:rPr>
      </w:pPr>
      <w:r>
        <w:rPr>
          <w:rFonts w:hint="eastAsia" w:ascii="宋体" w:hAnsi="宋体" w:eastAsia="宋体" w:cs="宋体"/>
          <w:b w:val="0"/>
          <w:bCs w:val="0"/>
          <w:color w:val="auto"/>
          <w:sz w:val="28"/>
          <w:szCs w:val="28"/>
          <w:highlight w:val="none"/>
          <w:u w:val="none"/>
          <w:shd w:val="clear" w:color="auto" w:fill="auto"/>
          <w:lang w:val="en-US" w:eastAsia="zh-CN"/>
        </w:rPr>
        <w:t>鉴于三门峡鸿腾精细化工有限公司现场地面已硬化不具备取样条件的实际情况，生态环境部《关于土壤破坏性监测问题的回复》明确，如果项目场地已经做了防腐防渗(包括硬化)处理无法取样，可不取样监测，但需要详细说明无法取样原因。</w:t>
      </w:r>
    </w:p>
    <w:p>
      <w:pPr>
        <w:pStyle w:val="17"/>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539740" cy="3384550"/>
            <wp:effectExtent l="0" t="0" r="10160" b="6350"/>
            <wp:docPr id="1" name="图片 1" descr="c57290342c5073d236d85a008f4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7290342c5073d236d85a008f47f11"/>
                    <pic:cNvPicPr>
                      <a:picLocks noChangeAspect="1"/>
                    </pic:cNvPicPr>
                  </pic:nvPicPr>
                  <pic:blipFill>
                    <a:blip r:embed="rId10"/>
                    <a:stretch>
                      <a:fillRect/>
                    </a:stretch>
                  </pic:blipFill>
                  <pic:spPr>
                    <a:xfrm>
                      <a:off x="0" y="0"/>
                      <a:ext cx="5539740" cy="3384550"/>
                    </a:xfrm>
                    <a:prstGeom prst="rect">
                      <a:avLst/>
                    </a:prstGeom>
                  </pic:spPr>
                </pic:pic>
              </a:graphicData>
            </a:graphic>
          </wp:inline>
        </w:drawing>
      </w:r>
    </w:p>
    <w:p>
      <w:pPr>
        <w:pStyle w:val="18"/>
        <w:ind w:left="0" w:leftChars="0" w:firstLine="0" w:firstLineChars="0"/>
        <w:jc w:val="center"/>
        <w:rPr>
          <w:rFonts w:hint="default" w:eastAsia="宋体"/>
          <w:color w:val="auto"/>
          <w:highlight w:val="none"/>
          <w:lang w:val="en-US" w:eastAsia="zh-CN"/>
        </w:rPr>
      </w:pPr>
      <w:r>
        <w:rPr>
          <w:rFonts w:hint="eastAsia" w:ascii="宋体" w:hAnsi="宋体" w:eastAsia="宋体" w:cs="宋体"/>
          <w:color w:val="auto"/>
          <w:sz w:val="28"/>
          <w:szCs w:val="36"/>
          <w:highlight w:val="none"/>
          <w:lang w:val="en-US" w:eastAsia="zh-CN"/>
        </w:rPr>
        <w:t>生态环境部关于土壤破坏性监测问题的回复</w:t>
      </w:r>
    </w:p>
    <w:p>
      <w:pPr>
        <w:pStyle w:val="4"/>
        <w:spacing w:line="360" w:lineRule="auto"/>
        <w:outlineLvl w:val="1"/>
        <w:rPr>
          <w:rFonts w:hint="eastAsia" w:ascii="宋体" w:hAnsi="宋体" w:eastAsia="宋体" w:cs="宋体"/>
          <w:color w:val="auto"/>
          <w:highlight w:val="none"/>
        </w:rPr>
      </w:pPr>
      <w:bookmarkStart w:id="38" w:name="_Toc8029"/>
      <w:r>
        <w:rPr>
          <w:rFonts w:hint="eastAsia" w:ascii="宋体" w:hAnsi="宋体" w:eastAsia="宋体" w:cs="宋体"/>
          <w:color w:val="auto"/>
          <w:highlight w:val="none"/>
        </w:rPr>
        <w:t>1.2</w:t>
      </w:r>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eastAsia="宋体" w:cs="宋体"/>
          <w:color w:val="auto"/>
          <w:highlight w:val="none"/>
          <w:lang w:eastAsia="zh-CN"/>
        </w:rPr>
        <w:t>工作</w:t>
      </w:r>
      <w:r>
        <w:rPr>
          <w:rFonts w:hint="eastAsia" w:ascii="宋体" w:hAnsi="宋体" w:eastAsia="宋体" w:cs="宋体"/>
          <w:color w:val="auto"/>
          <w:highlight w:val="none"/>
        </w:rPr>
        <w:t>依据</w:t>
      </w:r>
      <w:bookmarkEnd w:id="38"/>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.1法律、法规、</w:t>
      </w:r>
      <w:bookmarkStart w:id="39" w:name="_Toc27394_WPSOffice_Level1"/>
      <w:r>
        <w:rPr>
          <w:rFonts w:hint="eastAsia" w:ascii="宋体" w:hAnsi="宋体" w:eastAsia="宋体" w:cs="宋体"/>
          <w:color w:val="auto"/>
          <w:sz w:val="28"/>
          <w:szCs w:val="28"/>
          <w:highlight w:val="none"/>
          <w:u w:val="none"/>
        </w:rPr>
        <w:t>政策</w:t>
      </w:r>
    </w:p>
    <w:bookmarkEnd w:id="39"/>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（1）《中华人民共和国环境保护法》（2014.4.24）</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）《中华人民共和国水污染防治法》（2017.6.27）</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3</w:t>
      </w:r>
      <w:r>
        <w:rPr>
          <w:rFonts w:hint="eastAsia" w:ascii="宋体" w:hAnsi="宋体" w:eastAsia="宋体" w:cs="宋体"/>
          <w:color w:val="auto"/>
          <w:sz w:val="28"/>
          <w:szCs w:val="28"/>
          <w:highlight w:val="none"/>
          <w:u w:val="none"/>
        </w:rPr>
        <w:t>）《中华人民共和国土壤污染防治法》（2019.1.1）</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4</w:t>
      </w:r>
      <w:r>
        <w:rPr>
          <w:rFonts w:hint="eastAsia" w:ascii="宋体" w:hAnsi="宋体" w:eastAsia="宋体" w:cs="宋体"/>
          <w:color w:val="auto"/>
          <w:sz w:val="28"/>
          <w:szCs w:val="28"/>
          <w:highlight w:val="none"/>
          <w:u w:val="none"/>
        </w:rPr>
        <w:t>）《建设项目环境保护管理条例》（国务院令第682号）</w:t>
      </w:r>
      <w:r>
        <w:rPr>
          <w:rFonts w:hint="eastAsia" w:ascii="宋体" w:hAnsi="宋体" w:eastAsia="宋体" w:cs="宋体"/>
          <w:color w:val="auto"/>
          <w:sz w:val="28"/>
          <w:szCs w:val="28"/>
          <w:highlight w:val="none"/>
          <w:u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1.2.2部门规章及相关规范性文件</w:t>
      </w:r>
      <w:bookmarkEnd w:id="36"/>
      <w:bookmarkEnd w:id="37"/>
      <w:bookmarkStart w:id="40" w:name="_Toc22210"/>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（1）《全国生态环境保护纲要》（国发〔2000〕38号），2000年12月21日；</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（2）《全国地下水污染物防治规划（2011-2020）》（环发〔2011〕128号）；</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（3）《国务院关于落实科学发展观加强环境保护的决定》（国发〔2005〕39号），2005年12月3号；</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（4）《国务院关于加强环境保护重点工作的意见》（国发〔2011〕35号）；</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（5）《水污染防治行动计划》（国发〔2015〕17号）；</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（6）《土壤污染防治行动计划》（国发〔2016〕31号）；</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（7）《工矿用地土壤环境管理办法（试行）》（生态环境部令第3号）；</w:t>
      </w:r>
    </w:p>
    <w:p>
      <w:pPr>
        <w:keepNext w:val="0"/>
        <w:keepLines w:val="0"/>
        <w:pageBreakBefore w:val="0"/>
        <w:kinsoku/>
        <w:wordWrap/>
        <w:overflowPunct/>
        <w:topLinePunct w:val="0"/>
        <w:autoSpaceDE/>
        <w:autoSpaceDN/>
        <w:bidi w:val="0"/>
        <w:adjustRightInd/>
        <w:snapToGrid/>
        <w:spacing w:line="360" w:lineRule="auto"/>
        <w:ind w:left="0" w:leftChars="0" w:right="0" w:firstLine="56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（8）《关于加强涉重金属行业污染防控的意见》（环土壤〔2018〕22号）；</w:t>
      </w:r>
    </w:p>
    <w:p>
      <w:pPr>
        <w:keepNext w:val="0"/>
        <w:keepLines w:val="0"/>
        <w:pageBreakBefore w:val="0"/>
        <w:kinsoku/>
        <w:wordWrap/>
        <w:overflowPunct/>
        <w:topLinePunct w:val="0"/>
        <w:autoSpaceDE/>
        <w:autoSpaceDN/>
        <w:bidi w:val="0"/>
        <w:adjustRightInd/>
        <w:snapToGrid/>
        <w:spacing w:line="360" w:lineRule="auto"/>
        <w:ind w:left="0" w:leftChars="0" w:right="0" w:firstLine="56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《企业突发环境事件隐患排查和治理工作指南》（2016年，生态环境部公告第74号）；</w:t>
      </w:r>
    </w:p>
    <w:p>
      <w:pPr>
        <w:keepNext w:val="0"/>
        <w:keepLines w:val="0"/>
        <w:pageBreakBefore w:val="0"/>
        <w:kinsoku/>
        <w:wordWrap/>
        <w:overflowPunct/>
        <w:topLinePunct w:val="0"/>
        <w:autoSpaceDE/>
        <w:autoSpaceDN/>
        <w:bidi w:val="0"/>
        <w:adjustRightInd/>
        <w:snapToGrid/>
        <w:spacing w:line="360" w:lineRule="auto"/>
        <w:ind w:left="0" w:leftChars="0" w:right="0" w:firstLine="56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10</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重点单位土壤污染隐患排查指南（试行）</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生态环境部2021年第1号</w:t>
      </w:r>
      <w:r>
        <w:rPr>
          <w:rFonts w:hint="eastAsia" w:ascii="宋体" w:hAnsi="宋体" w:eastAsia="宋体" w:cs="宋体"/>
          <w:color w:val="auto"/>
          <w:sz w:val="28"/>
          <w:szCs w:val="28"/>
          <w:highlight w:val="none"/>
          <w:u w:val="none"/>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firstLine="560"/>
        <w:textAlignment w:val="auto"/>
        <w:outlineLvl w:val="3"/>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“十四五”土壤、地下水和农村生态环境保护规划</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.3地方性法规、规章及相关规范文件</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《河南省建设项目环境保护条例》，2016年修订；</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《河南省减少污染物排放条例》，2014年1月1日；</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《河南省水污染防治条例》，2010年3月1日起施行；</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《河南省清洁土壤行动计划》（豫政〔2017〕13号）；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《河南省人民政府关于打好土壤污染防治攻坚战实施意见》（豫政〔2017〕45号）；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《河南省重金属污染防治工作指导意见》（豫环文〔2017〕277号）；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《河南省环境保护厅关于印发河南省涉重金属重点行业污染防控工作方案的通知》（豫环文〔2018〕262号）；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河南省生态环境厅</w:t>
      </w:r>
      <w:r>
        <w:rPr>
          <w:rFonts w:hint="eastAsia" w:ascii="宋体" w:hAnsi="宋体" w:eastAsia="宋体" w:cs="宋体"/>
          <w:color w:val="auto"/>
          <w:sz w:val="28"/>
          <w:szCs w:val="28"/>
          <w:highlight w:val="none"/>
          <w:u w:val="none"/>
        </w:rPr>
        <w:t>关于印发土壤污染重点监管单位隐患排查“回头看”工作方案的通知</w:t>
      </w:r>
      <w:r>
        <w:rPr>
          <w:rFonts w:hint="eastAsia" w:ascii="宋体" w:hAnsi="宋体" w:eastAsia="宋体" w:cs="宋体"/>
          <w:color w:val="auto"/>
          <w:sz w:val="28"/>
          <w:szCs w:val="28"/>
          <w:highlight w:val="none"/>
          <w:u w:val="none"/>
          <w:lang w:eastAsia="zh-CN"/>
        </w:rPr>
        <w:t>》；</w:t>
      </w:r>
    </w:p>
    <w:p>
      <w:pPr>
        <w:pageBreakBefore w:val="0"/>
        <w:numPr>
          <w:ilvl w:val="0"/>
          <w:numId w:val="2"/>
        </w:numPr>
        <w:kinsoku/>
        <w:wordWrap/>
        <w:overflowPunct/>
        <w:topLinePunct w:val="0"/>
        <w:bidi w:val="0"/>
        <w:spacing w:line="360" w:lineRule="auto"/>
        <w:ind w:left="0" w:leftChars="0" w:right="0" w:firstLine="560" w:firstLineChars="20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《关于更新2023年土壤、地下水环境重点监管单位名录的公示》</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bookmarkStart w:id="41" w:name="_Toc20868_WPSOffice_Level2"/>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.4技术规范</w:t>
      </w:r>
      <w:bookmarkEnd w:id="41"/>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（1）《污染场地术语》（HJ682-2014）；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（5）《地下水环境监测技术规范》（HJ164－20</w:t>
      </w:r>
      <w:r>
        <w:rPr>
          <w:rFonts w:hint="eastAsia" w:ascii="宋体" w:hAnsi="宋体" w:eastAsia="宋体" w:cs="宋体"/>
          <w:color w:val="auto"/>
          <w:sz w:val="28"/>
          <w:szCs w:val="28"/>
          <w:highlight w:val="none"/>
          <w:u w:val="none"/>
          <w:lang w:val="en-US" w:eastAsia="zh-CN"/>
        </w:rPr>
        <w:t>20</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（6）《土壤环境监测技术规范》（HJ/T166-2004）；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（7）《排污单位自行监测技术指南总则》（HJ819-2017）；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8</w:t>
      </w:r>
      <w:r>
        <w:rPr>
          <w:rFonts w:hint="eastAsia" w:ascii="宋体" w:hAnsi="宋体" w:eastAsia="宋体" w:cs="宋体"/>
          <w:color w:val="auto"/>
          <w:sz w:val="28"/>
          <w:szCs w:val="28"/>
          <w:highlight w:val="none"/>
          <w:u w:val="none"/>
        </w:rPr>
        <w:t>）《土壤环境质量建设用地土壤污染风险管控标准（试行）》（GB36600-2018）；</w:t>
      </w:r>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）《地下水质量标准》（GB/T</w:t>
      </w:r>
      <w:r>
        <w:rPr>
          <w:rFonts w:hint="eastAsia" w:ascii="宋体" w:hAnsi="宋体" w:eastAsia="宋体" w:cs="宋体"/>
          <w:color w:val="auto"/>
          <w:sz w:val="28"/>
          <w:szCs w:val="28"/>
          <w:highlight w:val="none"/>
          <w:u w:val="none"/>
          <w:lang w:val="en-US" w:eastAsia="zh-CN"/>
        </w:rPr>
        <w:t>1</w:t>
      </w:r>
      <w:r>
        <w:rPr>
          <w:rFonts w:hint="eastAsia" w:ascii="宋体" w:hAnsi="宋体" w:eastAsia="宋体" w:cs="宋体"/>
          <w:color w:val="auto"/>
          <w:sz w:val="28"/>
          <w:szCs w:val="28"/>
          <w:highlight w:val="none"/>
          <w:u w:val="none"/>
        </w:rPr>
        <w:t>4848-2017）；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0</w:t>
      </w:r>
      <w:r>
        <w:rPr>
          <w:rFonts w:hint="eastAsia" w:ascii="宋体" w:hAnsi="宋体" w:eastAsia="宋体" w:cs="宋体"/>
          <w:color w:val="auto"/>
          <w:sz w:val="28"/>
          <w:szCs w:val="28"/>
          <w:highlight w:val="none"/>
          <w:u w:val="none"/>
        </w:rPr>
        <w:t>）《在产企业土壤及地下水自行监测技术指南》（征求意见稿）。</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）《工业企业土壤和地下水自行监测技术指南（试行）》（HJ1209—2021）；</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val="en-US" w:eastAsia="zh-CN"/>
        </w:rPr>
        <w:t>（12）</w:t>
      </w:r>
      <w:r>
        <w:rPr>
          <w:rFonts w:hint="eastAsia" w:ascii="宋体" w:hAnsi="宋体" w:eastAsia="宋体" w:cs="宋体"/>
          <w:color w:val="auto"/>
          <w:sz w:val="28"/>
          <w:szCs w:val="28"/>
          <w:highlight w:val="none"/>
          <w:u w:val="none"/>
        </w:rPr>
        <w:t>《场地环境调查技术指导》（HJ25.1-201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13</w:t>
      </w:r>
      <w:r>
        <w:rPr>
          <w:rFonts w:hint="eastAsia" w:ascii="宋体" w:hAnsi="宋体" w:eastAsia="宋体" w:cs="宋体"/>
          <w:color w:val="auto"/>
          <w:sz w:val="28"/>
          <w:szCs w:val="28"/>
          <w:highlight w:val="none"/>
          <w:u w:val="none"/>
        </w:rPr>
        <w:t>）《场地环境监测技术导则》（HJ25.2-201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highlight w:val="none"/>
          <w:u w:val="none"/>
        </w:rPr>
      </w:pPr>
      <w:r>
        <w:rPr>
          <w:rFonts w:hint="eastAsia" w:ascii="宋体" w:hAnsi="宋体" w:eastAsia="宋体" w:cs="宋体"/>
          <w:color w:val="auto"/>
          <w:sz w:val="28"/>
          <w:highlight w:val="none"/>
          <w:u w:val="none"/>
        </w:rPr>
        <w:t>1.</w:t>
      </w:r>
      <w:r>
        <w:rPr>
          <w:rFonts w:hint="eastAsia" w:ascii="宋体" w:hAnsi="宋体" w:eastAsia="宋体" w:cs="宋体"/>
          <w:color w:val="auto"/>
          <w:sz w:val="28"/>
          <w:highlight w:val="none"/>
          <w:u w:val="none"/>
          <w:lang w:val="en-US" w:eastAsia="zh-CN"/>
        </w:rPr>
        <w:t>2</w:t>
      </w:r>
      <w:r>
        <w:rPr>
          <w:rFonts w:hint="eastAsia" w:ascii="宋体" w:hAnsi="宋体" w:eastAsia="宋体" w:cs="宋体"/>
          <w:color w:val="auto"/>
          <w:sz w:val="28"/>
          <w:highlight w:val="none"/>
          <w:u w:val="none"/>
        </w:rPr>
        <w:t>.5收集资料</w:t>
      </w:r>
    </w:p>
    <w:p>
      <w:pPr>
        <w:autoSpaceDE w:val="0"/>
        <w:autoSpaceDN w:val="0"/>
        <w:spacing w:line="360" w:lineRule="auto"/>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（1）《三门峡鸿腾精细化工有限公司年产2万吨氯化石蜡项目环境影响报告书的审批意见》，三环〔2010〕230号，三门峡市生态环境局，2010年9月27日；</w:t>
      </w:r>
    </w:p>
    <w:p>
      <w:pPr>
        <w:autoSpaceDE w:val="0"/>
        <w:autoSpaceDN w:val="0"/>
        <w:spacing w:line="360" w:lineRule="auto"/>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（2）《三门峡鸿腾精细化工有限公司年产2万吨氯化石蜡项目竣工环境保护验收意见》，三环验〔2011〕28号，三门峡市环境保护局，2011年12月22日；</w:t>
      </w:r>
    </w:p>
    <w:p>
      <w:pPr>
        <w:autoSpaceDE w:val="0"/>
        <w:autoSpaceDN w:val="0"/>
        <w:spacing w:line="360" w:lineRule="auto"/>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（3）《三门峡鸿腾精细化工有限公司年产8700吨氯化石蜡扩建项目环境影响报告书的批复》及验收，三环审〔2019〕11号，三门峡市生态环境局，2019年4月30日；</w:t>
      </w:r>
    </w:p>
    <w:p>
      <w:pPr>
        <w:autoSpaceDE w:val="0"/>
        <w:autoSpaceDN w:val="0"/>
        <w:spacing w:line="360" w:lineRule="auto"/>
        <w:ind w:firstLine="560" w:firstLineChars="200"/>
        <w:jc w:val="left"/>
        <w:rPr>
          <w:rFonts w:hint="eastAsia" w:ascii="宋体" w:hAnsi="宋体" w:eastAsia="宋体" w:cs="宋体"/>
          <w:color w:val="auto"/>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（4） 现场勘查资料及企业</w:t>
      </w:r>
      <w:r>
        <w:rPr>
          <w:rFonts w:hint="eastAsia" w:ascii="宋体" w:hAnsi="宋体" w:eastAsia="宋体" w:cs="宋体"/>
          <w:color w:val="auto"/>
          <w:sz w:val="28"/>
          <w:szCs w:val="28"/>
          <w:highlight w:val="none"/>
          <w:u w:val="none"/>
          <w:lang w:val="en-US" w:eastAsia="zh-CN" w:bidi="ar-SA"/>
        </w:rPr>
        <w:t>提供的其他相关资料。</w:t>
      </w:r>
    </w:p>
    <w:p>
      <w:pPr>
        <w:pStyle w:val="4"/>
        <w:outlineLvl w:val="1"/>
        <w:rPr>
          <w:rFonts w:hint="eastAsia" w:ascii="宋体" w:hAnsi="宋体" w:eastAsia="宋体" w:cs="宋体"/>
          <w:color w:val="auto"/>
          <w:highlight w:val="none"/>
          <w:lang w:val="en-US" w:eastAsia="zh-CN"/>
        </w:rPr>
      </w:pPr>
      <w:bookmarkStart w:id="42" w:name="_Toc5701"/>
      <w:r>
        <w:rPr>
          <w:rFonts w:hint="eastAsia" w:ascii="宋体" w:hAnsi="宋体" w:eastAsia="宋体" w:cs="宋体"/>
          <w:color w:val="auto"/>
          <w:highlight w:val="none"/>
          <w:lang w:val="en-US" w:eastAsia="zh-CN"/>
        </w:rPr>
        <w:t>1.3工作内容及技术路线</w:t>
      </w:r>
      <w:bookmarkEnd w:id="40"/>
      <w:bookmarkEnd w:id="42"/>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43" w:name="_Toc26988"/>
      <w:bookmarkStart w:id="44" w:name="_Toc21910"/>
      <w:bookmarkStart w:id="45" w:name="_Toc28139"/>
      <w:bookmarkStart w:id="46" w:name="_Toc6562"/>
      <w:r>
        <w:rPr>
          <w:rFonts w:hint="eastAsia" w:ascii="宋体" w:hAnsi="宋体" w:eastAsia="宋体" w:cs="宋体"/>
          <w:b w:val="0"/>
          <w:bCs w:val="0"/>
          <w:snapToGrid/>
          <w:spacing w:val="6"/>
          <w:kern w:val="0"/>
          <w:sz w:val="28"/>
          <w:szCs w:val="22"/>
          <w:lang w:val="en-US" w:eastAsia="zh-CN" w:bidi="ar"/>
        </w:rPr>
        <w:t>本次监测范围为企业</w:t>
      </w:r>
      <w:r>
        <w:rPr>
          <w:rFonts w:hint="eastAsia" w:ascii="宋体" w:hAnsi="宋体" w:eastAsia="宋体" w:cs="宋体"/>
          <w:b w:val="0"/>
          <w:bCs w:val="0"/>
          <w:snapToGrid/>
          <w:spacing w:val="6"/>
          <w:kern w:val="0"/>
          <w:sz w:val="28"/>
          <w:szCs w:val="22"/>
          <w:highlight w:val="none"/>
          <w:lang w:val="en-US" w:eastAsia="zh-CN" w:bidi="ar"/>
        </w:rPr>
        <w:t>厂区范围内的土壤。</w:t>
      </w:r>
      <w:r>
        <w:rPr>
          <w:rFonts w:hint="eastAsia" w:ascii="宋体" w:hAnsi="宋体" w:eastAsia="宋体" w:cs="宋体"/>
          <w:b w:val="0"/>
          <w:bCs w:val="0"/>
          <w:snapToGrid/>
          <w:spacing w:val="6"/>
          <w:kern w:val="0"/>
          <w:sz w:val="28"/>
          <w:szCs w:val="22"/>
          <w:lang w:val="en-US" w:eastAsia="zh-CN" w:bidi="ar"/>
        </w:rPr>
        <w:t>主要工作内容如下：场地历史资料收集和初步整理、现场踏勘和人员访谈、工作方案编制、样品采集分析测试、综合研究分析与报告编制。</w:t>
      </w:r>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47" w:name="_Toc18438"/>
      <w:bookmarkStart w:id="48" w:name="_Toc27595"/>
      <w:bookmarkStart w:id="49" w:name="_Toc24316"/>
      <w:bookmarkStart w:id="50" w:name="_Toc26167"/>
      <w:r>
        <w:rPr>
          <w:rFonts w:hint="eastAsia" w:ascii="宋体" w:hAnsi="宋体" w:eastAsia="宋体" w:cs="宋体"/>
          <w:b w:val="0"/>
          <w:bCs w:val="0"/>
          <w:snapToGrid/>
          <w:spacing w:val="6"/>
          <w:kern w:val="0"/>
          <w:sz w:val="28"/>
          <w:szCs w:val="22"/>
          <w:lang w:val="en-US" w:eastAsia="zh-CN" w:bidi="ar"/>
        </w:rPr>
        <w:t>企业资料收集和初步整理：通过多种渠道和方式收集企业资料并整理，根据企业生产经营资料对企业土壤进行初步研判。收集地块周边环境资料，尤其是土壤和周围水环境的历史资料信息，初步判断存在土壤污染隐患重点区域。</w:t>
      </w:r>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51" w:name="_Toc22343"/>
      <w:bookmarkStart w:id="52" w:name="_Toc20285"/>
      <w:bookmarkStart w:id="53" w:name="_Toc15315"/>
      <w:bookmarkStart w:id="54" w:name="_Toc25966"/>
      <w:r>
        <w:rPr>
          <w:rFonts w:hint="eastAsia" w:ascii="宋体" w:hAnsi="宋体" w:eastAsia="宋体" w:cs="宋体"/>
          <w:b w:val="0"/>
          <w:bCs w:val="0"/>
          <w:snapToGrid/>
          <w:spacing w:val="6"/>
          <w:kern w:val="0"/>
          <w:sz w:val="28"/>
          <w:szCs w:val="22"/>
          <w:lang w:val="en-US" w:eastAsia="zh-CN" w:bidi="ar"/>
        </w:rPr>
        <w:t>现场踏勘：实地踏勘场地时，利用激光测距仪测量场地距离，用GPS对企业地块进行精准定位，生产环境进行拍照记录。</w:t>
      </w:r>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55" w:name="_Toc6135"/>
      <w:bookmarkStart w:id="56" w:name="_Toc32054"/>
      <w:bookmarkStart w:id="57" w:name="_Toc9347"/>
      <w:bookmarkStart w:id="58" w:name="_Toc25848"/>
      <w:r>
        <w:rPr>
          <w:rFonts w:hint="eastAsia" w:ascii="宋体" w:hAnsi="宋体" w:eastAsia="宋体" w:cs="宋体"/>
          <w:b w:val="0"/>
          <w:bCs w:val="0"/>
          <w:snapToGrid/>
          <w:spacing w:val="6"/>
          <w:kern w:val="0"/>
          <w:sz w:val="28"/>
          <w:szCs w:val="22"/>
          <w:lang w:val="en-US" w:eastAsia="zh-CN" w:bidi="ar"/>
        </w:rPr>
        <w:t>人员访谈：对企业工作人员和管理领导人员等进行访谈，对资料收集和现场踏勘所涉及的疑问，以及信息补充和已有资料的考证。</w:t>
      </w:r>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59" w:name="_Toc3653"/>
      <w:bookmarkStart w:id="60" w:name="_Toc10334"/>
      <w:bookmarkStart w:id="61" w:name="_Toc31665"/>
      <w:bookmarkStart w:id="62" w:name="_Toc15813"/>
      <w:r>
        <w:rPr>
          <w:rFonts w:hint="eastAsia" w:ascii="宋体" w:hAnsi="宋体" w:eastAsia="宋体" w:cs="宋体"/>
          <w:b w:val="0"/>
          <w:bCs w:val="0"/>
          <w:snapToGrid/>
          <w:spacing w:val="6"/>
          <w:kern w:val="0"/>
          <w:sz w:val="28"/>
          <w:szCs w:val="22"/>
          <w:lang w:val="en-US" w:eastAsia="zh-CN" w:bidi="ar"/>
        </w:rPr>
        <w:t>排查重点场所及重点设施设备：对收集的资料以及现场踏勘，识别可能存在土壤和地下水环境污染隐患的场所、设施及设备。</w:t>
      </w:r>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63" w:name="_Toc19730"/>
      <w:bookmarkStart w:id="64" w:name="_Toc4500"/>
      <w:bookmarkStart w:id="65" w:name="_Toc30496"/>
      <w:r>
        <w:rPr>
          <w:rFonts w:hint="eastAsia" w:ascii="宋体" w:hAnsi="宋体" w:eastAsia="宋体" w:cs="宋体"/>
          <w:b w:val="0"/>
          <w:bCs w:val="0"/>
          <w:snapToGrid/>
          <w:spacing w:val="6"/>
          <w:kern w:val="0"/>
          <w:sz w:val="28"/>
          <w:szCs w:val="22"/>
          <w:lang w:val="en-US" w:eastAsia="zh-CN" w:bidi="ar"/>
        </w:rPr>
        <w:t>确定重点监测单元：根据调查结果进行分析、评价和总结，参考《重点监管单位土壤污染隐患排查指南（试行）》确定重点场所和设备，并根据《工业企业土壤和地下水自行监测技术指南（试行）》HJ1209-2021。划分重点监测单元风险级别。现场工作方案编制：依据重点监测单元风险级别、场地历史资料、现场踏勘及人员访谈成果，编制自行监测工作方案。</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outlineLvl w:val="9"/>
        <w:rPr>
          <w:rFonts w:hint="eastAsia" w:ascii="宋体" w:hAnsi="宋体" w:eastAsia="宋体" w:cs="宋体"/>
          <w:b w:val="0"/>
          <w:bCs w:val="0"/>
          <w:snapToGrid/>
          <w:spacing w:val="6"/>
          <w:kern w:val="0"/>
          <w:sz w:val="28"/>
          <w:szCs w:val="22"/>
          <w:lang w:val="en-US" w:eastAsia="zh-CN" w:bidi="ar"/>
        </w:rPr>
      </w:pPr>
      <w:bookmarkStart w:id="66" w:name="_Toc13667"/>
      <w:bookmarkStart w:id="67" w:name="_Toc6668"/>
      <w:bookmarkStart w:id="68" w:name="_Toc2370"/>
      <w:bookmarkStart w:id="69" w:name="_Toc32666"/>
      <w:r>
        <w:rPr>
          <w:rFonts w:hint="eastAsia" w:ascii="宋体" w:hAnsi="宋体" w:eastAsia="宋体" w:cs="宋体"/>
          <w:b w:val="0"/>
          <w:bCs w:val="0"/>
          <w:snapToGrid/>
          <w:spacing w:val="6"/>
          <w:kern w:val="0"/>
          <w:sz w:val="28"/>
          <w:szCs w:val="22"/>
          <w:lang w:val="en-US" w:eastAsia="zh-CN" w:bidi="ar"/>
        </w:rPr>
        <w:t>现场采样和实验室分析：现场采样前如缺少土壤和地下水监测设施，需按相关技术标准提前进行建设，满足现场监测或采样条件后方可开始进行样品的采集。样品的采集和实验室检测分析，整理调查信息和检测结果，评估检测数据的质量，分析数据的有效性和充分性。根据土壤检测结果进行统计分析，确定地块关注污染物种类、浓度水平和空间分布，确认所监测重点设施或重点区域是否超过国家规定的限值标准。</w:t>
      </w:r>
      <w:bookmarkEnd w:id="66"/>
      <w:bookmarkEnd w:id="67"/>
      <w:bookmarkEnd w:id="68"/>
      <w:bookmarkEnd w:id="69"/>
    </w:p>
    <w:p>
      <w:pPr>
        <w:bidi w:val="0"/>
        <w:spacing w:line="360" w:lineRule="auto"/>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70" w:name="_Toc27666"/>
      <w:bookmarkStart w:id="71" w:name="_Toc12503"/>
      <w:bookmarkStart w:id="72" w:name="_Toc24444"/>
      <w:bookmarkStart w:id="73" w:name="_Toc6043"/>
      <w:r>
        <w:rPr>
          <w:rFonts w:hint="eastAsia" w:ascii="宋体" w:hAnsi="宋体" w:eastAsia="宋体" w:cs="宋体"/>
          <w:b w:val="0"/>
          <w:bCs w:val="0"/>
          <w:snapToGrid/>
          <w:spacing w:val="6"/>
          <w:kern w:val="0"/>
          <w:sz w:val="28"/>
          <w:szCs w:val="22"/>
          <w:lang w:val="en-US" w:eastAsia="zh-CN" w:bidi="ar"/>
        </w:rPr>
        <w:t>报告编制：编写本次自行监测方案，包括描述任务来源及依据、现场工作情况、企业污染源概况、监测布点情况、样品采集分析测试要求等内容。</w:t>
      </w:r>
      <w:bookmarkEnd w:id="70"/>
      <w:bookmarkEnd w:id="71"/>
      <w:bookmarkEnd w:id="72"/>
      <w:bookmarkEnd w:id="73"/>
    </w:p>
    <w:p>
      <w:pPr>
        <w:bidi w:val="0"/>
        <w:spacing w:line="360" w:lineRule="auto"/>
        <w:ind w:firstLine="584" w:firstLineChars="200"/>
        <w:outlineLvl w:val="9"/>
        <w:rPr>
          <w:rFonts w:hint="eastAsia" w:ascii="宋体" w:hAnsi="宋体" w:eastAsia="宋体" w:cs="宋体"/>
          <w:b w:val="0"/>
          <w:bCs w:val="0"/>
          <w:snapToGrid/>
          <w:spacing w:val="6"/>
          <w:kern w:val="0"/>
          <w:sz w:val="28"/>
          <w:szCs w:val="22"/>
          <w:lang w:val="en-US" w:eastAsia="zh-CN" w:bidi="ar"/>
        </w:rPr>
      </w:pPr>
      <w:bookmarkStart w:id="74" w:name="_Toc3794"/>
      <w:bookmarkStart w:id="75" w:name="_Toc5079"/>
      <w:bookmarkStart w:id="76" w:name="_Toc3675"/>
      <w:bookmarkStart w:id="77" w:name="_Toc19514"/>
      <w:r>
        <w:rPr>
          <w:rFonts w:hint="eastAsia" w:ascii="宋体" w:hAnsi="宋体" w:eastAsia="宋体" w:cs="宋体"/>
          <w:b w:val="0"/>
          <w:bCs w:val="0"/>
          <w:snapToGrid/>
          <w:spacing w:val="6"/>
          <w:kern w:val="0"/>
          <w:sz w:val="28"/>
          <w:szCs w:val="22"/>
          <w:lang w:val="en-US" w:eastAsia="zh-CN" w:bidi="ar"/>
        </w:rPr>
        <w:t>自行监测技术路线序流程图如下图1-1。</w:t>
      </w:r>
      <w:bookmarkEnd w:id="74"/>
      <w:bookmarkEnd w:id="75"/>
      <w:bookmarkEnd w:id="76"/>
      <w:bookmarkEnd w:id="77"/>
    </w:p>
    <w:p>
      <w:pPr>
        <w:bidi w:val="0"/>
        <w:spacing w:line="240" w:lineRule="auto"/>
        <w:jc w:val="both"/>
        <w:outlineLvl w:val="9"/>
        <w:rPr>
          <w:rFonts w:hint="eastAsia" w:ascii="宋体" w:hAnsi="宋体" w:eastAsia="宋体" w:cs="宋体"/>
          <w:b w:val="0"/>
          <w:bCs w:val="0"/>
          <w:color w:val="auto"/>
          <w:kern w:val="2"/>
          <w:sz w:val="28"/>
          <w:szCs w:val="24"/>
          <w:highlight w:val="none"/>
          <w:lang w:val="en-US" w:eastAsia="zh-CN" w:bidi="ar-SA"/>
        </w:rPr>
      </w:pPr>
      <w:bookmarkStart w:id="78" w:name="_Toc17410"/>
      <w:bookmarkStart w:id="79" w:name="_Toc14701"/>
      <w:bookmarkStart w:id="80" w:name="_Toc11213"/>
      <w:r>
        <w:rPr>
          <w:rFonts w:hint="eastAsia" w:ascii="宋体" w:hAnsi="宋体" w:eastAsia="宋体" w:cs="宋体"/>
          <w:b w:val="0"/>
          <w:bCs w:val="0"/>
          <w:color w:val="auto"/>
          <w:kern w:val="2"/>
          <w:sz w:val="28"/>
          <w:szCs w:val="24"/>
          <w:highlight w:val="none"/>
          <w:lang w:val="en-US" w:eastAsia="zh-CN" w:bidi="ar-SA"/>
        </w:rPr>
        <w:drawing>
          <wp:inline distT="0" distB="0" distL="114300" distR="114300">
            <wp:extent cx="5272405" cy="6204585"/>
            <wp:effectExtent l="0" t="0" r="10795" b="5715"/>
            <wp:docPr id="97" name="图片 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1"/>
                    <pic:cNvPicPr>
                      <a:picLocks noChangeAspect="1"/>
                    </pic:cNvPicPr>
                  </pic:nvPicPr>
                  <pic:blipFill>
                    <a:blip r:embed="rId11"/>
                    <a:stretch>
                      <a:fillRect/>
                    </a:stretch>
                  </pic:blipFill>
                  <pic:spPr>
                    <a:xfrm>
                      <a:off x="0" y="0"/>
                      <a:ext cx="5272405" cy="6204585"/>
                    </a:xfrm>
                    <a:prstGeom prst="rect">
                      <a:avLst/>
                    </a:prstGeom>
                  </pic:spPr>
                </pic:pic>
              </a:graphicData>
            </a:graphic>
          </wp:inline>
        </w:drawing>
      </w:r>
    </w:p>
    <w:p>
      <w:pPr>
        <w:bidi w:val="0"/>
        <w:jc w:val="center"/>
        <w:outlineLvl w:val="9"/>
        <w:rPr>
          <w:rFonts w:hint="eastAsia" w:ascii="宋体" w:hAnsi="宋体" w:eastAsia="宋体" w:cs="宋体"/>
          <w:b w:val="0"/>
          <w:bCs w:val="0"/>
          <w:color w:val="auto"/>
          <w:kern w:val="2"/>
          <w:sz w:val="28"/>
          <w:szCs w:val="24"/>
          <w:highlight w:val="none"/>
          <w:lang w:val="en-US" w:eastAsia="zh-CN" w:bidi="ar-SA"/>
        </w:rPr>
      </w:pPr>
      <w:bookmarkStart w:id="81" w:name="_Toc17832"/>
      <w:r>
        <w:rPr>
          <w:rFonts w:hint="eastAsia" w:ascii="宋体" w:hAnsi="宋体" w:eastAsia="宋体" w:cs="宋体"/>
          <w:b w:val="0"/>
          <w:bCs w:val="0"/>
          <w:color w:val="auto"/>
          <w:kern w:val="2"/>
          <w:sz w:val="28"/>
          <w:szCs w:val="24"/>
          <w:highlight w:val="none"/>
          <w:lang w:val="en-US" w:eastAsia="zh-CN" w:bidi="ar-SA"/>
        </w:rPr>
        <w:t>图1-1 自行监测工作步骤</w:t>
      </w:r>
      <w:bookmarkEnd w:id="78"/>
      <w:bookmarkEnd w:id="79"/>
      <w:bookmarkEnd w:id="80"/>
      <w:bookmarkEnd w:id="81"/>
    </w:p>
    <w:p>
      <w:pPr>
        <w:pStyle w:val="3"/>
        <w:bidi w:val="0"/>
        <w:rPr>
          <w:rFonts w:hint="eastAsia" w:ascii="宋体" w:hAnsi="宋体" w:eastAsia="宋体" w:cs="宋体"/>
          <w:color w:val="auto"/>
          <w:highlight w:val="none"/>
          <w:lang w:val="en-US" w:eastAsia="zh-CN"/>
        </w:rPr>
      </w:pPr>
      <w:bookmarkStart w:id="82" w:name="_Toc7883"/>
      <w:bookmarkStart w:id="83" w:name="_Toc17640"/>
      <w:r>
        <w:rPr>
          <w:rFonts w:hint="eastAsia" w:ascii="宋体" w:hAnsi="宋体" w:eastAsia="宋体" w:cs="宋体"/>
          <w:color w:val="auto"/>
          <w:highlight w:val="none"/>
          <w:lang w:val="en-US" w:eastAsia="zh-CN"/>
        </w:rPr>
        <w:t>2.企业概况</w:t>
      </w:r>
      <w:bookmarkEnd w:id="82"/>
      <w:bookmarkEnd w:id="83"/>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根据收集到的资料，企业情况概括如下：</w:t>
      </w:r>
    </w:p>
    <w:p>
      <w:pPr>
        <w:pStyle w:val="4"/>
        <w:bidi w:val="0"/>
        <w:rPr>
          <w:rFonts w:hint="eastAsia" w:ascii="宋体" w:hAnsi="宋体" w:eastAsia="宋体" w:cs="宋体"/>
          <w:color w:val="auto"/>
          <w:highlight w:val="none"/>
          <w:lang w:val="en-US" w:eastAsia="zh-CN"/>
        </w:rPr>
      </w:pPr>
      <w:bookmarkStart w:id="84" w:name="_Toc2834"/>
      <w:bookmarkStart w:id="85" w:name="_Toc21022"/>
      <w:r>
        <w:rPr>
          <w:rFonts w:hint="eastAsia" w:ascii="宋体" w:hAnsi="宋体" w:eastAsia="宋体" w:cs="宋体"/>
          <w:color w:val="auto"/>
          <w:highlight w:val="none"/>
          <w:lang w:val="en-US" w:eastAsia="zh-CN"/>
        </w:rPr>
        <w:t>2.1企业基本情况</w:t>
      </w:r>
      <w:bookmarkEnd w:id="84"/>
      <w:bookmarkEnd w:id="85"/>
    </w:p>
    <w:p>
      <w:pPr>
        <w:pageBreakBefore w:val="0"/>
        <w:kinsoku/>
        <w:wordWrap/>
        <w:overflowPunct/>
        <w:topLinePunct w:val="0"/>
        <w:bidi w:val="0"/>
        <w:spacing w:line="360" w:lineRule="auto"/>
        <w:ind w:left="0" w:leftChars="0" w:right="0" w:firstLine="483"/>
        <w:rPr>
          <w:rFonts w:hint="eastAsia" w:ascii="宋体" w:hAnsi="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三门峡鸿腾精细化工有限公司位于三门峡陕州区先进制造业开发区（原陕州区产业集聚区），项目分两期建设，一期工程始建于2010年10月，建设规模为年产氯化石蜡2万吨。根据市场需求，2019年5月，三门峡鸿腾精细化工有限公司对一期工程进行扩建，扩建工程建设规模为年产氯化石蜡8700吨。扩建完成后，全厂总产能为年产氯化石蜡28700吨。</w:t>
      </w:r>
    </w:p>
    <w:p>
      <w:pPr>
        <w:autoSpaceDE w:val="0"/>
        <w:adjustRightInd w:val="0"/>
        <w:snapToGrid w:val="0"/>
        <w:ind w:firstLine="560" w:firstLineChars="200"/>
        <w:jc w:val="both"/>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企业基本信息见表2-1。</w:t>
      </w:r>
    </w:p>
    <w:p>
      <w:pPr>
        <w:widowControl/>
        <w:tabs>
          <w:tab w:val="left" w:pos="2278"/>
        </w:tabs>
        <w:spacing w:line="540" w:lineRule="exact"/>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表2-1企业基本信息表</w:t>
      </w:r>
    </w:p>
    <w:tbl>
      <w:tblPr>
        <w:tblStyle w:val="19"/>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116"/>
        <w:gridCol w:w="195"/>
        <w:gridCol w:w="1763"/>
        <w:gridCol w:w="473"/>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rPr>
            </w:pPr>
            <w:bookmarkStart w:id="86" w:name="_Toc5896"/>
            <w:r>
              <w:rPr>
                <w:rFonts w:hint="eastAsia" w:ascii="宋体" w:hAnsi="宋体" w:eastAsia="宋体" w:cs="宋体"/>
                <w:color w:val="auto"/>
                <w:kern w:val="0"/>
                <w:sz w:val="24"/>
                <w:szCs w:val="24"/>
                <w:highlight w:val="none"/>
                <w:u w:val="none" w:color="auto"/>
              </w:rPr>
              <w:t>企业名称</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lang w:eastAsia="zh-CN"/>
              </w:rPr>
              <w:t>三门峡鸿腾精细化工有限公司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rPr>
            </w:pPr>
            <w:r>
              <w:rPr>
                <w:rFonts w:hint="eastAsia" w:ascii="宋体" w:hAnsi="宋体" w:eastAsia="宋体" w:cs="宋体"/>
                <w:color w:val="auto"/>
                <w:kern w:val="0"/>
                <w:sz w:val="24"/>
                <w:szCs w:val="24"/>
                <w:highlight w:val="none"/>
                <w:u w:val="none" w:color="auto"/>
              </w:rPr>
              <w:t>建设地点</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lang w:val="en-US" w:eastAsia="zh-CN"/>
              </w:rPr>
              <w:t>三门峡陕州区先进制造业开发区（原</w:t>
            </w:r>
            <w:r>
              <w:rPr>
                <w:rFonts w:hint="eastAsia" w:ascii="宋体" w:hAnsi="宋体" w:eastAsia="宋体" w:cs="宋体"/>
                <w:color w:val="auto"/>
                <w:kern w:val="0"/>
                <w:sz w:val="24"/>
                <w:szCs w:val="24"/>
                <w:highlight w:val="none"/>
                <w:u w:val="none" w:color="auto"/>
                <w:lang w:eastAsia="zh-CN"/>
              </w:rPr>
              <w:t>陕州区产业集聚区</w:t>
            </w:r>
            <w:r>
              <w:rPr>
                <w:rFonts w:hint="eastAsia" w:ascii="宋体" w:hAnsi="宋体" w:eastAsia="宋体" w:cs="宋体"/>
                <w:color w:val="auto"/>
                <w:kern w:val="0"/>
                <w:sz w:val="24"/>
                <w:szCs w:val="24"/>
                <w:highlight w:val="none"/>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lang w:eastAsia="zh-CN"/>
              </w:rPr>
              <w:t>建设规模</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lang w:eastAsia="zh-CN"/>
              </w:rPr>
              <w:t>年产氯化石蜡28700吨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rPr>
            </w:pPr>
            <w:r>
              <w:rPr>
                <w:rFonts w:hint="eastAsia" w:ascii="宋体" w:hAnsi="宋体" w:eastAsia="宋体" w:cs="宋体"/>
                <w:color w:val="auto"/>
                <w:kern w:val="0"/>
                <w:sz w:val="24"/>
                <w:szCs w:val="24"/>
                <w:highlight w:val="none"/>
                <w:u w:val="none" w:color="auto"/>
              </w:rPr>
              <w:t>中心经度、纬度</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rPr>
              <w:t>111°34'10.45"东</w:t>
            </w:r>
            <w:r>
              <w:rPr>
                <w:rFonts w:hint="eastAsia" w:ascii="宋体" w:hAnsi="宋体" w:eastAsia="宋体" w:cs="宋体"/>
                <w:color w:val="auto"/>
                <w:kern w:val="0"/>
                <w:sz w:val="24"/>
                <w:szCs w:val="24"/>
                <w:highlight w:val="none"/>
                <w:u w:val="none" w:color="auto"/>
                <w:lang w:eastAsia="zh-CN"/>
              </w:rPr>
              <w:t>，34°41'27.59"北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u w:val="none" w:color="auto"/>
              </w:rPr>
              <w:t>组织机构代码</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u w:val="none" w:color="auto"/>
              </w:rPr>
              <w:t>914112225531625447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u w:val="none" w:color="auto"/>
              </w:rPr>
              <w:t>所属行业类别</w:t>
            </w:r>
          </w:p>
        </w:tc>
        <w:tc>
          <w:tcPr>
            <w:tcW w:w="669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u w:val="none" w:color="auto"/>
              </w:rPr>
              <w:t xml:space="preserve">C制造业2662 专项化学用品制造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rPr>
              <w:t>法人代表</w:t>
            </w:r>
          </w:p>
        </w:tc>
        <w:tc>
          <w:tcPr>
            <w:tcW w:w="23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lang w:eastAsia="zh-CN"/>
              </w:rPr>
              <w:t>乔万超</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rPr>
            </w:pPr>
            <w:r>
              <w:rPr>
                <w:rFonts w:hint="eastAsia" w:ascii="宋体" w:hAnsi="宋体" w:eastAsia="宋体" w:cs="宋体"/>
                <w:color w:val="auto"/>
                <w:kern w:val="0"/>
                <w:sz w:val="24"/>
                <w:szCs w:val="24"/>
                <w:highlight w:val="none"/>
                <w:u w:val="none" w:color="auto"/>
              </w:rPr>
              <w:t>邮政编码</w:t>
            </w:r>
          </w:p>
        </w:tc>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lang w:val="en-US" w:eastAsia="zh-CN"/>
              </w:rPr>
              <w:t>472001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rPr>
              <w:t>主要联系方式</w:t>
            </w:r>
          </w:p>
        </w:tc>
        <w:tc>
          <w:tcPr>
            <w:tcW w:w="23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lang w:eastAsia="zh-CN"/>
              </w:rPr>
              <w:t>13938103817</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rPr>
              <w:t>从业人数</w:t>
            </w:r>
          </w:p>
        </w:tc>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lang w:val="en-US" w:eastAsia="zh-CN"/>
              </w:rPr>
              <w:t>47人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rPr>
              <w:t>建设年月</w:t>
            </w:r>
          </w:p>
        </w:tc>
        <w:tc>
          <w:tcPr>
            <w:tcW w:w="23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rPr>
              <w:t>201</w:t>
            </w:r>
            <w:r>
              <w:rPr>
                <w:rFonts w:hint="eastAsia" w:ascii="宋体" w:hAnsi="宋体" w:eastAsia="宋体" w:cs="宋体"/>
                <w:color w:val="auto"/>
                <w:kern w:val="0"/>
                <w:sz w:val="24"/>
                <w:szCs w:val="24"/>
                <w:highlight w:val="none"/>
                <w:u w:val="none" w:color="auto"/>
                <w:lang w:val="en-US" w:eastAsia="zh-CN"/>
              </w:rPr>
              <w:t>0</w:t>
            </w:r>
            <w:r>
              <w:rPr>
                <w:rFonts w:hint="eastAsia" w:ascii="宋体" w:hAnsi="宋体" w:eastAsia="宋体" w:cs="宋体"/>
                <w:color w:val="auto"/>
                <w:kern w:val="0"/>
                <w:sz w:val="24"/>
                <w:szCs w:val="24"/>
                <w:highlight w:val="none"/>
                <w:u w:val="none" w:color="auto"/>
              </w:rPr>
              <w:t>年</w:t>
            </w:r>
            <w:r>
              <w:rPr>
                <w:rFonts w:hint="eastAsia" w:ascii="宋体" w:hAnsi="宋体" w:eastAsia="宋体" w:cs="宋体"/>
                <w:color w:val="auto"/>
                <w:kern w:val="0"/>
                <w:sz w:val="24"/>
                <w:szCs w:val="24"/>
                <w:highlight w:val="none"/>
                <w:u w:val="none" w:color="auto"/>
                <w:lang w:val="en-US" w:eastAsia="zh-CN"/>
              </w:rPr>
              <w:t>10</w:t>
            </w:r>
            <w:r>
              <w:rPr>
                <w:rFonts w:hint="eastAsia" w:ascii="宋体" w:hAnsi="宋体" w:eastAsia="宋体" w:cs="宋体"/>
                <w:color w:val="auto"/>
                <w:kern w:val="0"/>
                <w:sz w:val="24"/>
                <w:szCs w:val="24"/>
                <w:highlight w:val="none"/>
                <w:u w:val="none" w:color="auto"/>
              </w:rPr>
              <w:t>月</w:t>
            </w:r>
          </w:p>
        </w:tc>
        <w:tc>
          <w:tcPr>
            <w:tcW w:w="1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eastAsia="zh-CN"/>
              </w:rPr>
            </w:pPr>
            <w:r>
              <w:rPr>
                <w:rFonts w:hint="eastAsia" w:ascii="宋体" w:hAnsi="宋体" w:eastAsia="宋体" w:cs="宋体"/>
                <w:color w:val="auto"/>
                <w:kern w:val="0"/>
                <w:sz w:val="24"/>
                <w:szCs w:val="24"/>
                <w:highlight w:val="none"/>
                <w:u w:val="none" w:color="auto"/>
                <w:lang w:val="en-US" w:eastAsia="zh-CN"/>
              </w:rPr>
              <w:t>最新改扩建年月</w:t>
            </w:r>
          </w:p>
        </w:tc>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4"/>
                <w:szCs w:val="24"/>
                <w:highlight w:val="none"/>
                <w:u w:val="none" w:color="auto"/>
                <w:lang w:val="en-US" w:eastAsia="zh-CN"/>
              </w:rPr>
            </w:pPr>
            <w:r>
              <w:rPr>
                <w:rFonts w:hint="eastAsia" w:ascii="宋体" w:hAnsi="宋体" w:eastAsia="宋体" w:cs="宋体"/>
                <w:color w:val="auto"/>
                <w:kern w:val="0"/>
                <w:sz w:val="24"/>
                <w:szCs w:val="24"/>
                <w:highlight w:val="none"/>
                <w:u w:val="none" w:color="auto"/>
                <w:lang w:val="en-US" w:eastAsia="zh-CN"/>
              </w:rPr>
              <w:t>2019</w:t>
            </w:r>
            <w:r>
              <w:rPr>
                <w:rFonts w:hint="eastAsia" w:ascii="宋体" w:hAnsi="宋体" w:eastAsia="宋体" w:cs="宋体"/>
                <w:color w:val="auto"/>
                <w:kern w:val="0"/>
                <w:sz w:val="24"/>
                <w:szCs w:val="24"/>
                <w:highlight w:val="none"/>
                <w:u w:val="none" w:color="auto"/>
              </w:rPr>
              <w:t>年</w:t>
            </w:r>
            <w:r>
              <w:rPr>
                <w:rFonts w:hint="eastAsia" w:ascii="宋体" w:hAnsi="宋体" w:eastAsia="宋体" w:cs="宋体"/>
                <w:color w:val="auto"/>
                <w:kern w:val="0"/>
                <w:sz w:val="24"/>
                <w:szCs w:val="24"/>
                <w:highlight w:val="none"/>
                <w:u w:val="none" w:color="auto"/>
                <w:lang w:val="en-US" w:eastAsia="zh-CN"/>
              </w:rPr>
              <w:t>5</w:t>
            </w:r>
            <w:r>
              <w:rPr>
                <w:rFonts w:hint="eastAsia" w:ascii="宋体" w:hAnsi="宋体" w:eastAsia="宋体" w:cs="宋体"/>
                <w:color w:val="auto"/>
                <w:kern w:val="0"/>
                <w:sz w:val="24"/>
                <w:szCs w:val="24"/>
                <w:highlight w:val="none"/>
                <w:u w:val="none" w:color="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kern w:val="2"/>
                <w:sz w:val="24"/>
                <w:szCs w:val="32"/>
                <w:highlight w:val="none"/>
                <w:u w:val="none" w:color="auto"/>
                <w:lang w:val="en-US" w:eastAsia="zh-CN" w:bidi="zh-CN"/>
              </w:rPr>
            </w:pPr>
            <w:r>
              <w:rPr>
                <w:rFonts w:hint="eastAsia" w:ascii="宋体" w:hAnsi="宋体" w:eastAsia="宋体" w:cs="宋体"/>
                <w:b w:val="0"/>
                <w:bCs/>
                <w:color w:val="auto"/>
                <w:sz w:val="24"/>
                <w:szCs w:val="32"/>
                <w:highlight w:val="none"/>
                <w:u w:val="none" w:color="auto"/>
                <w:lang w:val="en-US" w:eastAsia="zh-CN"/>
              </w:rPr>
              <w:t>排污许可证编号</w:t>
            </w:r>
          </w:p>
        </w:tc>
        <w:tc>
          <w:tcPr>
            <w:tcW w:w="6694" w:type="dxa"/>
            <w:gridSpan w:val="5"/>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914112225531625447001V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kern w:val="2"/>
                <w:sz w:val="24"/>
                <w:szCs w:val="32"/>
                <w:highlight w:val="none"/>
                <w:u w:val="none" w:color="auto"/>
                <w:lang w:val="en-US" w:eastAsia="zh-CN" w:bidi="zh-CN"/>
              </w:rPr>
            </w:pPr>
            <w:r>
              <w:rPr>
                <w:rFonts w:hint="eastAsia" w:ascii="宋体" w:hAnsi="宋体" w:eastAsia="宋体" w:cs="宋体"/>
                <w:b w:val="0"/>
                <w:bCs/>
                <w:color w:val="auto"/>
                <w:sz w:val="24"/>
                <w:szCs w:val="32"/>
                <w:highlight w:val="none"/>
                <w:u w:val="none" w:color="auto"/>
                <w:lang w:val="en-US" w:eastAsia="zh-CN"/>
              </w:rPr>
              <w:t>一期环评批复文号</w:t>
            </w:r>
          </w:p>
        </w:tc>
        <w:tc>
          <w:tcPr>
            <w:tcW w:w="2116"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三环〔2010〕229号</w:t>
            </w:r>
          </w:p>
        </w:tc>
        <w:tc>
          <w:tcPr>
            <w:tcW w:w="2431"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kern w:val="2"/>
                <w:sz w:val="24"/>
                <w:szCs w:val="32"/>
                <w:highlight w:val="none"/>
                <w:u w:val="none" w:color="auto"/>
                <w:lang w:val="en-US" w:eastAsia="zh-CN" w:bidi="zh-CN"/>
              </w:rPr>
            </w:pPr>
            <w:r>
              <w:rPr>
                <w:rFonts w:hint="eastAsia" w:ascii="宋体" w:hAnsi="宋体" w:eastAsia="宋体" w:cs="宋体"/>
                <w:b w:val="0"/>
                <w:bCs/>
                <w:color w:val="auto"/>
                <w:sz w:val="24"/>
                <w:szCs w:val="32"/>
                <w:highlight w:val="none"/>
                <w:u w:val="none" w:color="auto"/>
                <w:lang w:val="en-US" w:eastAsia="zh-CN"/>
              </w:rPr>
              <w:t>一期验收批复文号</w:t>
            </w:r>
          </w:p>
        </w:tc>
        <w:tc>
          <w:tcPr>
            <w:tcW w:w="2147"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kern w:val="2"/>
                <w:sz w:val="24"/>
                <w:szCs w:val="32"/>
                <w:highlight w:val="none"/>
                <w:u w:val="none" w:color="auto"/>
                <w:lang w:val="en-US" w:eastAsia="zh-CN" w:bidi="zh-CN"/>
              </w:rPr>
            </w:pPr>
            <w:r>
              <w:rPr>
                <w:rFonts w:hint="eastAsia" w:ascii="宋体" w:hAnsi="宋体" w:eastAsia="宋体" w:cs="宋体"/>
                <w:b w:val="0"/>
                <w:bCs/>
                <w:color w:val="auto"/>
                <w:sz w:val="24"/>
                <w:szCs w:val="32"/>
                <w:highlight w:val="none"/>
                <w:u w:val="none" w:color="auto"/>
                <w:lang w:val="en-US" w:eastAsia="zh-CN"/>
              </w:rPr>
              <w:t>三环验〔2012〕12号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40"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扩建环评批复文号</w:t>
            </w:r>
          </w:p>
        </w:tc>
        <w:tc>
          <w:tcPr>
            <w:tcW w:w="2116"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三环审〔2019〕11号</w:t>
            </w:r>
          </w:p>
        </w:tc>
        <w:tc>
          <w:tcPr>
            <w:tcW w:w="2431"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扩建项目自主验收时间</w:t>
            </w:r>
          </w:p>
        </w:tc>
        <w:tc>
          <w:tcPr>
            <w:tcW w:w="2147" w:type="dxa"/>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2020年7月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056" w:type="dxa"/>
            <w:gridSpan w:val="2"/>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生产安全事故应急预案备案编号</w:t>
            </w:r>
          </w:p>
        </w:tc>
        <w:tc>
          <w:tcPr>
            <w:tcW w:w="4578" w:type="dxa"/>
            <w:gridSpan w:val="4"/>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4112222022002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056" w:type="dxa"/>
            <w:gridSpan w:val="2"/>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危险化学品重大危险源备案编号</w:t>
            </w:r>
          </w:p>
        </w:tc>
        <w:tc>
          <w:tcPr>
            <w:tcW w:w="4578" w:type="dxa"/>
            <w:gridSpan w:val="4"/>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color w:val="auto"/>
                <w:sz w:val="24"/>
                <w:szCs w:val="32"/>
                <w:highlight w:val="none"/>
                <w:u w:val="none" w:color="auto"/>
                <w:lang w:val="en-US" w:eastAsia="zh-CN"/>
              </w:rPr>
            </w:pPr>
            <w:r>
              <w:rPr>
                <w:rFonts w:hint="eastAsia" w:ascii="宋体" w:hAnsi="宋体" w:eastAsia="宋体" w:cs="宋体"/>
                <w:b w:val="0"/>
                <w:bCs/>
                <w:color w:val="auto"/>
                <w:sz w:val="24"/>
                <w:szCs w:val="32"/>
                <w:highlight w:val="none"/>
                <w:u w:val="none" w:color="auto"/>
                <w:lang w:val="en-US" w:eastAsia="zh-CN"/>
              </w:rPr>
              <w:t>BA豫411222（2020）001</w:t>
            </w:r>
          </w:p>
        </w:tc>
      </w:tr>
    </w:tbl>
    <w:p>
      <w:pPr>
        <w:pStyle w:val="4"/>
        <w:bidi w:val="0"/>
        <w:rPr>
          <w:rFonts w:hint="eastAsia" w:ascii="宋体" w:hAnsi="宋体" w:eastAsia="宋体" w:cs="宋体"/>
          <w:color w:val="auto"/>
          <w:highlight w:val="none"/>
          <w:lang w:val="en-US" w:eastAsia="zh-CN"/>
        </w:rPr>
      </w:pPr>
      <w:bookmarkStart w:id="87" w:name="_Toc9613"/>
      <w:r>
        <w:rPr>
          <w:rFonts w:hint="eastAsia" w:ascii="宋体" w:hAnsi="宋体" w:eastAsia="宋体" w:cs="宋体"/>
          <w:color w:val="auto"/>
          <w:highlight w:val="none"/>
          <w:lang w:val="en-US" w:eastAsia="zh-CN"/>
        </w:rPr>
        <w:t>2.2企业用地历史沿革</w:t>
      </w:r>
      <w:bookmarkEnd w:id="86"/>
      <w:bookmarkEnd w:id="87"/>
    </w:p>
    <w:p>
      <w:pPr>
        <w:adjustRightInd w:val="0"/>
        <w:snapToGrid w:val="0"/>
        <w:spacing w:line="520" w:lineRule="exact"/>
        <w:ind w:firstLine="560" w:firstLineChars="200"/>
        <w:rPr>
          <w:rFonts w:hint="eastAsia" w:ascii="宋体" w:hAnsi="宋体" w:eastAsia="宋体" w:cs="宋体"/>
          <w:sz w:val="28"/>
          <w:szCs w:val="28"/>
          <w:highlight w:val="green"/>
          <w:lang w:eastAsia="zh-CN"/>
        </w:rPr>
      </w:pPr>
      <w:r>
        <w:rPr>
          <w:rFonts w:hint="eastAsia" w:ascii="宋体" w:hAnsi="宋体" w:eastAsia="宋体" w:cs="宋体"/>
          <w:color w:val="auto"/>
          <w:sz w:val="28"/>
          <w:highlight w:val="none"/>
          <w:lang w:val="en-US" w:eastAsia="zh-CN"/>
        </w:rPr>
        <w:t>根据企业提供相关资料，建厂前，2010年10月前企业所在地块用地情况为空地。</w:t>
      </w:r>
      <w:r>
        <w:rPr>
          <w:rFonts w:hint="eastAsia" w:ascii="宋体" w:hAnsi="宋体" w:eastAsia="宋体" w:cs="宋体"/>
          <w:sz w:val="28"/>
          <w:szCs w:val="28"/>
          <w:highlight w:val="none"/>
          <w:lang w:eastAsia="zh-CN"/>
        </w:rPr>
        <w:t>环评手续情况如下：</w:t>
      </w:r>
    </w:p>
    <w:p>
      <w:pPr>
        <w:spacing w:line="360" w:lineRule="auto"/>
        <w:ind w:firstLine="560" w:firstLineChars="200"/>
        <w:rPr>
          <w:rFonts w:hint="eastAsia" w:ascii="宋体" w:hAnsi="宋体" w:eastAsia="宋体" w:cs="宋体"/>
          <w:color w:val="auto"/>
          <w:sz w:val="28"/>
          <w:szCs w:val="28"/>
          <w:highlight w:val="none"/>
          <w:u w:val="none" w:color="auto"/>
          <w:lang w:val="en-US" w:eastAsia="zh-CN"/>
        </w:rPr>
      </w:pPr>
      <w:r>
        <w:rPr>
          <w:rFonts w:hint="eastAsia" w:ascii="宋体" w:hAnsi="宋体" w:eastAsia="宋体" w:cs="宋体"/>
          <w:color w:val="auto"/>
          <w:sz w:val="28"/>
          <w:szCs w:val="28"/>
          <w:highlight w:val="none"/>
          <w:u w:val="none" w:color="auto"/>
          <w:lang w:val="en-US" w:eastAsia="zh-CN"/>
        </w:rPr>
        <w:t>三门峡鸿腾精细化工有限公司年产2万吨氯化石蜡项目环境影响评价报告书于2010年9月27日通过三门峡市环保局环评批复，批复文号：三环〔2010〕230号。于2011年12月22日取得了三门峡市生态环境局竣工环保验收批复，批复文号：三环验〔2011〕28号。</w:t>
      </w:r>
    </w:p>
    <w:p>
      <w:pPr>
        <w:spacing w:line="360" w:lineRule="auto"/>
        <w:ind w:firstLine="560" w:firstLineChars="200"/>
        <w:rPr>
          <w:rFonts w:hint="eastAsia" w:ascii="宋体" w:hAnsi="宋体" w:eastAsia="宋体" w:cs="宋体"/>
          <w:color w:val="auto"/>
          <w:sz w:val="28"/>
          <w:szCs w:val="28"/>
          <w:highlight w:val="none"/>
          <w:u w:val="none" w:color="auto"/>
          <w:lang w:val="en-US" w:eastAsia="zh-CN"/>
        </w:rPr>
      </w:pPr>
      <w:r>
        <w:rPr>
          <w:rFonts w:hint="eastAsia" w:ascii="宋体" w:hAnsi="宋体" w:eastAsia="宋体" w:cs="宋体"/>
          <w:color w:val="auto"/>
          <w:sz w:val="28"/>
          <w:szCs w:val="28"/>
          <w:highlight w:val="none"/>
          <w:u w:val="none" w:color="auto"/>
          <w:lang w:val="en-US" w:eastAsia="zh-CN"/>
        </w:rPr>
        <w:t>三门峡鸿腾精细化工有限公司年产8700吨氯化石蜡扩建项目环境影响评价报告书于2019年4月30日由三门峡市生态环境局批复，批复文号：三环审〔2019〕11号。并于2020年7月自主完成了竣工环保验收。</w:t>
      </w:r>
    </w:p>
    <w:p>
      <w:pPr>
        <w:spacing w:line="360" w:lineRule="auto"/>
        <w:ind w:firstLine="560" w:firstLineChars="200"/>
        <w:rPr>
          <w:rFonts w:hint="eastAsia" w:ascii="宋体" w:hAnsi="宋体" w:eastAsia="宋体" w:cs="宋体"/>
          <w:color w:val="auto"/>
          <w:sz w:val="28"/>
          <w:szCs w:val="28"/>
          <w:highlight w:val="none"/>
          <w:u w:val="none" w:color="auto"/>
          <w:lang w:val="zh-CN" w:eastAsia="zh-CN"/>
        </w:rPr>
      </w:pPr>
      <w:r>
        <w:rPr>
          <w:rFonts w:hint="eastAsia" w:ascii="宋体" w:hAnsi="宋体" w:eastAsia="宋体" w:cs="宋体"/>
          <w:color w:val="auto"/>
          <w:sz w:val="28"/>
          <w:szCs w:val="28"/>
          <w:highlight w:val="none"/>
          <w:u w:val="none" w:color="auto"/>
          <w:lang w:val="en-US" w:eastAsia="zh-CN"/>
        </w:rPr>
        <w:t>2020年8月19日申领了排污许可证，2023年8月18日延续了排污许可证，证书编号914112225531625447001V，取证后公司严格按照排污许可证自行监测要求开展自行监测工作，填报执行报告，并上传至全国排污许可证管理信息平台，污染物达标排放。</w:t>
      </w:r>
      <w:r>
        <w:rPr>
          <w:rFonts w:hint="eastAsia" w:ascii="宋体" w:hAnsi="宋体" w:eastAsia="宋体" w:cs="宋体"/>
          <w:color w:val="auto"/>
          <w:sz w:val="28"/>
          <w:szCs w:val="28"/>
          <w:highlight w:val="none"/>
          <w:u w:val="none" w:color="auto"/>
          <w:lang w:val="zh-CN" w:eastAsia="zh-CN"/>
        </w:rPr>
        <w:t>公司严格按照排污许可证执行标准进行每年两次的有组织、无组织废气检测，</w:t>
      </w:r>
      <w:r>
        <w:rPr>
          <w:rFonts w:hint="eastAsia" w:ascii="宋体" w:hAnsi="宋体" w:eastAsia="宋体" w:cs="宋体"/>
          <w:color w:val="auto"/>
          <w:sz w:val="28"/>
          <w:szCs w:val="28"/>
          <w:highlight w:val="none"/>
          <w:u w:val="none" w:color="auto"/>
          <w:lang w:val="en-US" w:eastAsia="zh-CN"/>
        </w:rPr>
        <w:t>污染物达标排放，</w:t>
      </w:r>
      <w:r>
        <w:rPr>
          <w:rFonts w:hint="eastAsia" w:ascii="宋体" w:hAnsi="宋体" w:eastAsia="宋体" w:cs="宋体"/>
          <w:color w:val="auto"/>
          <w:sz w:val="28"/>
          <w:szCs w:val="28"/>
          <w:highlight w:val="none"/>
          <w:u w:val="none" w:color="auto"/>
          <w:lang w:val="zh-CN" w:eastAsia="zh-CN"/>
        </w:rPr>
        <w:t>并上传至各相关平台。</w:t>
      </w:r>
    </w:p>
    <w:p>
      <w:pPr>
        <w:pStyle w:val="18"/>
        <w:ind w:left="0" w:leftChars="0" w:firstLine="0" w:firstLineChars="0"/>
        <w:outlineLvl w:val="1"/>
        <w:rPr>
          <w:rFonts w:hint="eastAsia" w:ascii="宋体" w:hAnsi="宋体" w:eastAsia="宋体" w:cs="宋体"/>
          <w:b/>
          <w:bCs/>
          <w:color w:val="auto"/>
          <w:kern w:val="2"/>
          <w:sz w:val="28"/>
          <w:szCs w:val="32"/>
          <w:highlight w:val="none"/>
          <w:lang w:val="en-US" w:eastAsia="zh-CN" w:bidi="ar-SA"/>
        </w:rPr>
      </w:pPr>
      <w:bookmarkStart w:id="88" w:name="_Toc27832"/>
      <w:bookmarkStart w:id="89" w:name="_Toc9911"/>
      <w:r>
        <w:rPr>
          <w:rFonts w:hint="eastAsia" w:ascii="宋体" w:hAnsi="宋体" w:eastAsia="宋体" w:cs="宋体"/>
          <w:b/>
          <w:bCs/>
          <w:color w:val="auto"/>
          <w:kern w:val="2"/>
          <w:sz w:val="28"/>
          <w:szCs w:val="32"/>
          <w:highlight w:val="none"/>
          <w:lang w:val="en-US" w:eastAsia="zh-CN" w:bidi="ar-SA"/>
        </w:rPr>
        <w:t>2.3企业用地已有的环境调查与监测信息</w:t>
      </w:r>
      <w:bookmarkEnd w:id="88"/>
      <w:bookmarkEnd w:id="8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《关于更新2023年土壤、地下水环境重点监管单位名录的公示》</w:t>
      </w:r>
      <w:r>
        <w:rPr>
          <w:rFonts w:hint="eastAsia" w:ascii="宋体" w:hAnsi="宋体" w:eastAsia="宋体" w:cs="宋体"/>
          <w:color w:val="auto"/>
          <w:sz w:val="28"/>
          <w:szCs w:val="28"/>
          <w:highlight w:val="none"/>
        </w:rPr>
        <w:t>文件要求，</w:t>
      </w:r>
      <w:r>
        <w:rPr>
          <w:rFonts w:hint="eastAsia" w:ascii="宋体" w:hAnsi="宋体" w:eastAsia="宋体" w:cs="宋体"/>
          <w:color w:val="auto"/>
          <w:kern w:val="0"/>
          <w:sz w:val="28"/>
          <w:szCs w:val="28"/>
          <w:highlight w:val="none"/>
          <w:lang w:eastAsia="zh-CN" w:bidi="ar"/>
        </w:rPr>
        <w:t>三门峡鸿腾精细化工有限公司</w:t>
      </w:r>
      <w:r>
        <w:rPr>
          <w:rFonts w:hint="eastAsia" w:ascii="宋体" w:hAnsi="宋体" w:eastAsia="宋体" w:cs="宋体"/>
          <w:color w:val="auto"/>
          <w:kern w:val="0"/>
          <w:sz w:val="28"/>
          <w:szCs w:val="28"/>
          <w:highlight w:val="none"/>
          <w:lang w:bidi="ar"/>
        </w:rPr>
        <w:t>被列入</w:t>
      </w:r>
      <w:r>
        <w:rPr>
          <w:rFonts w:hint="eastAsia" w:ascii="宋体" w:hAnsi="宋体" w:eastAsia="宋体" w:cs="宋体"/>
          <w:color w:val="auto"/>
          <w:kern w:val="0"/>
          <w:sz w:val="28"/>
          <w:szCs w:val="28"/>
          <w:highlight w:val="none"/>
          <w:lang w:val="en-US" w:eastAsia="zh-Hans" w:bidi="ar"/>
        </w:rPr>
        <w:t>三门峡</w:t>
      </w:r>
      <w:r>
        <w:rPr>
          <w:rFonts w:hint="eastAsia" w:ascii="宋体" w:hAnsi="宋体" w:eastAsia="宋体" w:cs="宋体"/>
          <w:color w:val="auto"/>
          <w:kern w:val="0"/>
          <w:sz w:val="28"/>
          <w:szCs w:val="28"/>
          <w:highlight w:val="none"/>
          <w:lang w:bidi="ar"/>
        </w:rPr>
        <w:t>市</w:t>
      </w:r>
      <w:r>
        <w:rPr>
          <w:rFonts w:hint="eastAsia" w:ascii="宋体" w:hAnsi="宋体" w:eastAsia="宋体" w:cs="宋体"/>
          <w:color w:val="auto"/>
          <w:kern w:val="0"/>
          <w:sz w:val="28"/>
          <w:szCs w:val="28"/>
          <w:highlight w:val="none"/>
          <w:lang w:val="en-US" w:eastAsia="zh-CN" w:bidi="ar"/>
        </w:rPr>
        <w:t>2023</w:t>
      </w:r>
      <w:r>
        <w:rPr>
          <w:rFonts w:hint="eastAsia" w:ascii="宋体" w:hAnsi="宋体" w:eastAsia="宋体" w:cs="宋体"/>
          <w:color w:val="auto"/>
          <w:kern w:val="0"/>
          <w:sz w:val="28"/>
          <w:szCs w:val="28"/>
          <w:highlight w:val="none"/>
          <w:lang w:bidi="ar"/>
        </w:rPr>
        <w:t>土壤污染重点监管单位名录。</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ascii="宋体" w:hAnsi="宋体" w:eastAsia="宋体" w:cs="宋体"/>
          <w:color w:val="auto"/>
          <w:kern w:val="2"/>
          <w:sz w:val="28"/>
          <w:szCs w:val="28"/>
          <w:highlight w:val="none"/>
          <w:u w:val="none" w:color="auto"/>
          <w:lang w:val="en-US" w:eastAsia="zh-CN" w:bidi="ar-SA"/>
        </w:rPr>
      </w:pPr>
      <w:r>
        <w:rPr>
          <w:rFonts w:hint="eastAsia" w:ascii="宋体" w:hAnsi="宋体" w:eastAsia="宋体" w:cs="宋体"/>
          <w:color w:val="auto"/>
          <w:kern w:val="2"/>
          <w:sz w:val="28"/>
          <w:szCs w:val="28"/>
          <w:highlight w:val="none"/>
          <w:u w:val="none" w:color="auto"/>
          <w:lang w:val="en-US" w:eastAsia="zh-CN" w:bidi="ar-SA"/>
        </w:rPr>
        <w:t>为完成土壤污染防治工作，三门峡鸿腾精细化工有限公司委托洛阳市达峰环境检测有限公司提供技术支持，与三门峡鸿腾精细化工有限公司共同开展企业土壤自行监测工作。经过技术人员到现场对企业现状及周边情况进行了详细调查，收集相关资料，依据《在产企业土壤和地下水自行监测技术指南》及有关标准，结合企业实践，编制了《三门峡鸿腾精细化工有限公司自行监测方案》及《三门峡鸿腾精细化工有限公司土壤污染隐患排查报告》</w:t>
      </w:r>
      <w:r>
        <w:rPr>
          <w:rFonts w:hint="eastAsia" w:ascii="宋体" w:hAnsi="宋体" w:eastAsia="宋体" w:cs="宋体"/>
          <w:color w:val="auto"/>
          <w:kern w:val="2"/>
          <w:sz w:val="28"/>
          <w:szCs w:val="28"/>
          <w:highlight w:val="none"/>
          <w:u w:val="none" w:color="auto"/>
          <w:lang w:val="en-US" w:eastAsia="zh-Hans" w:bidi="ar-SA"/>
        </w:rPr>
        <w:t>等</w:t>
      </w:r>
      <w:r>
        <w:rPr>
          <w:rFonts w:hint="eastAsia" w:ascii="宋体" w:hAnsi="宋体" w:eastAsia="宋体" w:cs="宋体"/>
          <w:color w:val="auto"/>
          <w:kern w:val="2"/>
          <w:sz w:val="28"/>
          <w:szCs w:val="28"/>
          <w:highlight w:val="none"/>
          <w:u w:val="none" w:color="auto"/>
          <w:lang w:val="en-US" w:eastAsia="zh-CN" w:bidi="ar-SA"/>
        </w:rPr>
        <w:t>。根据监测方案，企业于2023年开展土壤检测工作，并编制了自行监测报告。</w:t>
      </w:r>
    </w:p>
    <w:p>
      <w:pPr>
        <w:pStyle w:val="3"/>
        <w:bidi w:val="0"/>
        <w:ind w:firstLineChars="0"/>
        <w:jc w:val="left"/>
        <w:rPr>
          <w:rFonts w:hint="eastAsia" w:ascii="宋体" w:hAnsi="宋体" w:eastAsia="宋体" w:cs="宋体"/>
          <w:sz w:val="28"/>
          <w:lang w:val="en-US" w:eastAsia="zh-CN"/>
        </w:rPr>
      </w:pPr>
      <w:bookmarkStart w:id="90" w:name="_Toc10952"/>
      <w:r>
        <w:rPr>
          <w:rFonts w:hint="eastAsia" w:ascii="宋体" w:hAnsi="宋体" w:eastAsia="宋体" w:cs="宋体"/>
          <w:sz w:val="28"/>
          <w:lang w:val="en-US" w:eastAsia="zh-CN"/>
        </w:rPr>
        <w:t>3地勘资料</w:t>
      </w:r>
      <w:bookmarkEnd w:id="90"/>
    </w:p>
    <w:p>
      <w:pPr>
        <w:pStyle w:val="4"/>
        <w:numPr>
          <w:ilvl w:val="1"/>
          <w:numId w:val="0"/>
        </w:numPr>
        <w:bidi w:val="0"/>
        <w:spacing w:before="0" w:after="0"/>
        <w:ind w:firstLine="562" w:firstLineChars="200"/>
        <w:jc w:val="left"/>
        <w:rPr>
          <w:rFonts w:hint="eastAsia" w:ascii="宋体" w:hAnsi="宋体" w:eastAsia="宋体" w:cs="宋体"/>
          <w:sz w:val="28"/>
          <w:szCs w:val="28"/>
          <w:lang w:val="en-US" w:eastAsia="zh-CN"/>
        </w:rPr>
      </w:pPr>
      <w:bookmarkStart w:id="91" w:name="_Toc27868"/>
      <w:bookmarkStart w:id="92" w:name="_Toc107924565"/>
      <w:bookmarkStart w:id="93" w:name="_Toc23066"/>
      <w:r>
        <w:rPr>
          <w:rFonts w:hint="eastAsia" w:ascii="宋体" w:hAnsi="宋体" w:eastAsia="宋体" w:cs="宋体"/>
          <w:sz w:val="28"/>
          <w:szCs w:val="28"/>
          <w:lang w:val="en-US" w:eastAsia="zh-CN"/>
        </w:rPr>
        <w:t>3.1地质信息</w:t>
      </w:r>
      <w:bookmarkEnd w:id="91"/>
      <w:bookmarkEnd w:id="92"/>
      <w:bookmarkEnd w:id="93"/>
    </w:p>
    <w:p>
      <w:pPr>
        <w:keepNext/>
        <w:keepLines/>
        <w:widowControl w:val="0"/>
        <w:spacing w:line="520" w:lineRule="exact"/>
        <w:ind w:firstLine="562" w:firstLineChars="200"/>
        <w:jc w:val="both"/>
        <w:outlineLvl w:val="2"/>
        <w:rPr>
          <w:rFonts w:hint="eastAsia" w:ascii="宋体" w:hAnsi="宋体" w:eastAsia="宋体" w:cs="宋体"/>
          <w:b/>
          <w:bCs/>
          <w:kern w:val="2"/>
          <w:sz w:val="28"/>
          <w:szCs w:val="28"/>
          <w:lang w:val="en-US" w:eastAsia="zh-CN" w:bidi="ar-SA"/>
        </w:rPr>
      </w:pPr>
      <w:bookmarkStart w:id="94" w:name="_Toc7792"/>
      <w:bookmarkStart w:id="95" w:name="_Toc9481"/>
      <w:bookmarkStart w:id="96" w:name="_Toc20169"/>
      <w:bookmarkStart w:id="97" w:name="_Toc107924566"/>
      <w:bookmarkStart w:id="98" w:name="_Toc30130"/>
      <w:r>
        <w:rPr>
          <w:rFonts w:hint="eastAsia" w:ascii="宋体" w:hAnsi="宋体" w:eastAsia="宋体" w:cs="宋体"/>
          <w:b/>
          <w:bCs/>
          <w:kern w:val="2"/>
          <w:sz w:val="28"/>
          <w:szCs w:val="28"/>
          <w:lang w:val="en-US" w:eastAsia="zh-CN" w:bidi="ar-SA"/>
        </w:rPr>
        <w:t>3.1.1场地地质及地形地貌</w:t>
      </w:r>
      <w:bookmarkEnd w:id="94"/>
      <w:bookmarkEnd w:id="95"/>
      <w:bookmarkEnd w:id="96"/>
      <w:bookmarkEnd w:id="97"/>
      <w:bookmarkEnd w:id="98"/>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处于秦岭山脉东延与伏牛山、熊耳山、崤山交汇地带，地势西南高，东北低。从陕西省入境的秦岭身东延伸止于黄河谷地，海拔高度由2000米以上递降为低于200米。地貌特征复杂，有山地、丘陵、河谷、平原等多种类型，其中以山地、丘陵和川塬地貌为主。</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地质构造复杂，活动剧烈，对本市地形、矿藏、地质产生了重要影响，成为有色金属矿藏资源和沉积变质矿产资源极大蕴藏量的富积地。在地质构造上，位于华北地台西南隅和昆仑——秦岭地槽东延部分的接合部位。在构造体系上，属于昆仑——秦岭纬向构造带和新华夏系的华北沉降带、太行山隆起带的交接复合、联合部位的一部分。基地构造以紧密褶皱为主，岩层遭受区域变质作用和混合岩化作用。区内断裂发育，规模较大，纵横交错，尤以中新生代的断裂活动最强。</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项目所在地三门峡陕州区先进制造业开发区地貌单元为低山丘陵地区，场地内未发现有影响场地地基稳定性的不良地质作用。</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根据河南省地质志，工程区域在地质构造单元上位于华北地台华熊台缘坳陷，工程区域附近未发现断裂构造，场地是稳定的。</w:t>
      </w:r>
    </w:p>
    <w:p>
      <w:pPr>
        <w:ind w:firstLine="562" w:firstLineChars="200"/>
        <w:outlineLvl w:val="2"/>
        <w:rPr>
          <w:rFonts w:hint="eastAsia" w:ascii="宋体" w:hAnsi="宋体" w:eastAsia="宋体" w:cs="宋体"/>
          <w:b/>
          <w:bCs/>
          <w:kern w:val="2"/>
          <w:sz w:val="28"/>
          <w:szCs w:val="36"/>
          <w:lang w:val="en-US" w:eastAsia="zh-CN" w:bidi="ar-SA"/>
        </w:rPr>
      </w:pPr>
      <w:bookmarkStart w:id="99" w:name="_Toc107924567"/>
      <w:bookmarkStart w:id="100" w:name="_Toc23136"/>
    </w:p>
    <w:p>
      <w:pPr>
        <w:ind w:firstLine="562" w:firstLineChars="200"/>
        <w:outlineLvl w:val="2"/>
        <w:rPr>
          <w:rFonts w:hint="eastAsia" w:ascii="宋体" w:hAnsi="宋体" w:eastAsia="宋体" w:cs="宋体"/>
          <w:b/>
          <w:bCs/>
          <w:kern w:val="2"/>
          <w:sz w:val="28"/>
          <w:szCs w:val="36"/>
          <w:lang w:val="en-US" w:eastAsia="zh-CN" w:bidi="ar-SA"/>
        </w:rPr>
      </w:pPr>
      <w:r>
        <w:rPr>
          <w:rFonts w:hint="eastAsia" w:ascii="宋体" w:hAnsi="宋体" w:eastAsia="宋体" w:cs="宋体"/>
          <w:b/>
          <w:bCs/>
          <w:kern w:val="2"/>
          <w:sz w:val="28"/>
          <w:szCs w:val="36"/>
          <w:lang w:val="en-US" w:eastAsia="zh-CN" w:bidi="ar-SA"/>
        </w:rPr>
        <w:t>3.1.2厂区地层及岩土特性</w:t>
      </w:r>
      <w:bookmarkEnd w:id="99"/>
      <w:bookmarkEnd w:id="100"/>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依据岩土工程勘察获取的资料及室内土工试验成果，场地地层主要由填土和第四纪全新世Q</w:t>
      </w:r>
      <w:r>
        <w:rPr>
          <w:rFonts w:hint="eastAsia" w:ascii="宋体" w:hAnsi="宋体" w:eastAsia="宋体" w:cs="宋体"/>
          <w:color w:val="auto"/>
          <w:sz w:val="28"/>
          <w:szCs w:val="28"/>
          <w:highlight w:val="none"/>
          <w:vertAlign w:val="subscript"/>
          <w:lang w:val="en-US" w:eastAsia="zh-CN"/>
        </w:rPr>
        <w:t>4</w:t>
      </w:r>
      <w:r>
        <w:rPr>
          <w:rFonts w:hint="eastAsia" w:ascii="宋体" w:hAnsi="宋体" w:eastAsia="宋体" w:cs="宋体"/>
          <w:color w:val="auto"/>
          <w:sz w:val="28"/>
          <w:szCs w:val="28"/>
          <w:highlight w:val="none"/>
          <w:lang w:val="en-US" w:eastAsia="zh-CN"/>
        </w:rPr>
        <w:t>冲积成因类型的粉质粘土层及强风化砂岩构成。场地地层的岩土特征自上而下分别描述如下：</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填土：以素填土为主，颜色以红褐色为主。厚为0.80-5.80米，层底高程为640.60-647.20米，位于场地西部及南部靠近谷地南岸勘探点该层厚度较小，位于场地中部以北的勘探点该层厚度较大。物质成分以粉质粘土为主，含有少量植物根系；在场地北部及东部部分勘探点内含有少量炉渣、砖块等建筑垃圾。该层堆积年代较短，密实度不均一，物理力学性质较差，稍密状态。</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粉质粘土层(Q):红褐色至灰褐色。本次勘察未揭穿，已揭露最大厚度为厚度为7.70米。该层在场地西部及北部勘探点内厚度较大，在场地南部缺失。大孔不发育，土质较均匀。土体中含有大量黑色斑点，含大量姜石，局部成层。该层硬塑状态；天然含水率w=19.9-25.8%,平均值为22.7%,稍湿至湿，该层底部含水率较大；天然孔隙比e=0.826-0.951,平均值为0.879,中密至密实；压缩系数a₁.0-2o=0.094-0.383MPa',平均值为0.190MPa-1中低压缩性；湿陷系数δ=0.0002-0.009,无湿陷性。稍有光泽，摇震反应中等，韧性中等，干强度中等。</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强风化砂岩：灰褐色为主。本次勘察未揭穿，已揭露最大厚度为4.6米。该层风化较严重，以强风化为主，结构大部分已破坏，风化裂隙发育，锹镐可挖掘。锤击声哑，无回弹，较易击碎；岩芯呈碎块状，采取率低。</w:t>
      </w:r>
      <w:r>
        <w:rPr>
          <w:rFonts w:hint="eastAsia" w:ascii="宋体" w:hAnsi="宋体" w:eastAsia="宋体" w:cs="宋体"/>
          <w:color w:val="auto"/>
          <w:kern w:val="2"/>
          <w:sz w:val="28"/>
          <w:szCs w:val="28"/>
          <w:highlight w:val="none"/>
          <w:lang w:val="en-US" w:eastAsia="zh-CN" w:bidi="ar-SA"/>
        </w:rPr>
        <w:t>强风化层厚度不一</w:t>
      </w:r>
      <w:r>
        <w:rPr>
          <w:rFonts w:hint="eastAsia" w:ascii="宋体" w:hAnsi="宋体" w:eastAsia="宋体" w:cs="宋体"/>
          <w:color w:val="auto"/>
          <w:sz w:val="28"/>
          <w:szCs w:val="28"/>
          <w:highlight w:val="none"/>
          <w:lang w:val="en-US" w:eastAsia="zh-CN"/>
        </w:rPr>
        <w:t>致。</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kern w:val="2"/>
          <w:sz w:val="28"/>
          <w:szCs w:val="32"/>
          <w:highlight w:val="none"/>
          <w:lang w:val="en-US" w:eastAsia="zh-CN" w:bidi="ar-SA"/>
        </w:rPr>
      </w:pPr>
      <w:bookmarkStart w:id="101" w:name="_Toc25352"/>
      <w:bookmarkStart w:id="102" w:name="_Toc107924568"/>
      <w:bookmarkStart w:id="103" w:name="_Toc7276"/>
      <w:r>
        <w:rPr>
          <w:rFonts w:hint="eastAsia" w:ascii="宋体" w:hAnsi="宋体" w:eastAsia="宋体" w:cs="宋体"/>
          <w:b/>
          <w:bCs/>
          <w:kern w:val="2"/>
          <w:sz w:val="28"/>
          <w:szCs w:val="32"/>
          <w:highlight w:val="none"/>
          <w:lang w:val="en-US" w:eastAsia="zh-CN" w:bidi="ar-SA"/>
        </w:rPr>
        <w:t>3.2水文地质信息</w:t>
      </w:r>
      <w:bookmarkEnd w:id="101"/>
      <w:bookmarkEnd w:id="102"/>
      <w:bookmarkEnd w:id="103"/>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left"/>
        <w:textAlignment w:val="auto"/>
        <w:rPr>
          <w:rFonts w:hint="eastAsia" w:ascii="宋体" w:hAnsi="宋体" w:eastAsia="宋体" w:cs="宋体"/>
          <w:color w:val="auto"/>
          <w:kern w:val="2"/>
          <w:sz w:val="28"/>
          <w:szCs w:val="28"/>
          <w:highlight w:val="none"/>
          <w:lang w:val="en-US" w:eastAsia="zh-CN" w:bidi="ar-SA"/>
        </w:rPr>
      </w:pPr>
      <w:bookmarkStart w:id="104" w:name="_Toc107924569"/>
      <w:bookmarkStart w:id="105" w:name="_Toc13693"/>
      <w:r>
        <w:rPr>
          <w:rFonts w:hint="eastAsia" w:ascii="宋体" w:hAnsi="宋体" w:eastAsia="宋体" w:cs="宋体"/>
          <w:color w:val="auto"/>
          <w:kern w:val="2"/>
          <w:sz w:val="28"/>
          <w:szCs w:val="28"/>
          <w:highlight w:val="none"/>
          <w:lang w:val="en-US" w:eastAsia="zh-CN" w:bidi="ar-SA"/>
        </w:rPr>
        <w:t>三门峡鸿腾精细化工有限公司厂区内无地下水监测井，公司于2018年8月委托中水电第十一工程局 (郑州) 有限公司编制了《三门峡鸿腾化工有限公司建设项目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鸿腾精细化工有限公司岩土工程勘察报告（剖面图、钻孔柱状图）。</w:t>
      </w:r>
    </w:p>
    <w:p>
      <w:pPr>
        <w:pStyle w:val="3"/>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bookmarkStart w:id="106" w:name="_Toc26429"/>
      <w:r>
        <w:rPr>
          <w:rFonts w:hint="eastAsia" w:ascii="宋体" w:hAnsi="宋体" w:eastAsia="宋体" w:cs="宋体"/>
          <w:lang w:val="en-US" w:eastAsia="zh-CN"/>
        </w:rPr>
        <w:t>4企业生产及污染防治情况</w:t>
      </w:r>
      <w:bookmarkEnd w:id="104"/>
      <w:bookmarkEnd w:id="105"/>
      <w:bookmarkEnd w:id="106"/>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07" w:name="_Toc4748"/>
      <w:bookmarkStart w:id="108" w:name="_Toc107924570"/>
      <w:bookmarkStart w:id="109" w:name="_Toc4011"/>
      <w:r>
        <w:rPr>
          <w:rFonts w:hint="eastAsia" w:ascii="宋体" w:hAnsi="宋体" w:eastAsia="宋体" w:cs="宋体"/>
          <w:b/>
          <w:bCs/>
          <w:kern w:val="2"/>
          <w:sz w:val="28"/>
          <w:szCs w:val="32"/>
          <w:lang w:val="en-US" w:eastAsia="zh-CN" w:bidi="ar-SA"/>
        </w:rPr>
        <w:t>4.1企业生产概况</w:t>
      </w:r>
      <w:bookmarkEnd w:id="107"/>
      <w:bookmarkEnd w:id="108"/>
      <w:bookmarkEnd w:id="109"/>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宋体" w:hAnsi="宋体" w:eastAsia="宋体" w:cs="宋体"/>
          <w:b/>
          <w:bCs/>
          <w:kern w:val="2"/>
          <w:sz w:val="28"/>
          <w:szCs w:val="36"/>
          <w:lang w:val="en-US" w:eastAsia="zh-CN" w:bidi="ar-SA"/>
        </w:rPr>
      </w:pPr>
      <w:bookmarkStart w:id="110" w:name="_Toc107924571"/>
      <w:r>
        <w:rPr>
          <w:rFonts w:hint="eastAsia" w:ascii="宋体" w:hAnsi="宋体" w:eastAsia="宋体" w:cs="宋体"/>
          <w:b/>
          <w:bCs/>
          <w:spacing w:val="6"/>
          <w:kern w:val="2"/>
          <w:sz w:val="28"/>
          <w:szCs w:val="36"/>
          <w:lang w:val="en-US" w:eastAsia="zh-CN" w:bidi="ar-SA"/>
        </w:rPr>
        <w:t>4</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kern w:val="2"/>
          <w:sz w:val="28"/>
          <w:szCs w:val="36"/>
          <w:lang w:val="en-US" w:eastAsia="zh-CN" w:bidi="ar-SA"/>
        </w:rPr>
        <w:t>基本生产概况</w:t>
      </w:r>
      <w:bookmarkEnd w:id="110"/>
    </w:p>
    <w:p>
      <w:pPr>
        <w:widowControl/>
        <w:tabs>
          <w:tab w:val="left" w:pos="2278"/>
        </w:tabs>
        <w:spacing w:line="360" w:lineRule="auto"/>
        <w:ind w:firstLine="560" w:firstLineChars="200"/>
        <w:outlineLvl w:val="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三门峡鸿腾精细化工有限公司位于三门峡陕州区先进制造业开发区（原陕州区产业集聚区），项目分两期建设，一期工程始建于2010年10月，建设规模为年产氯化石蜡2万吨。根据市场需求，2019年5月，三门峡鸿腾精细化工有限公司对一期工程进行扩建，扩建工程建设规模为年产氯化石蜡8700吨。扩建完成后，全厂总产能为年产氯化石蜡28700吨。</w:t>
      </w:r>
    </w:p>
    <w:p>
      <w:pPr>
        <w:widowControl/>
        <w:tabs>
          <w:tab w:val="left" w:pos="2278"/>
        </w:tabs>
        <w:spacing w:line="540" w:lineRule="exact"/>
        <w:ind w:firstLine="560" w:firstLineChars="200"/>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（1）主要生产设备</w:t>
      </w:r>
    </w:p>
    <w:p>
      <w:pPr>
        <w:ind w:firstLine="482" w:firstLineChars="200"/>
        <w:jc w:val="center"/>
        <w:rPr>
          <w:rFonts w:hint="eastAsia" w:ascii="宋体" w:hAnsi="宋体" w:eastAsia="宋体" w:cs="宋体"/>
          <w:b/>
          <w:bCs w:val="0"/>
          <w:sz w:val="24"/>
          <w:szCs w:val="22"/>
        </w:rPr>
      </w:pPr>
      <w:r>
        <w:rPr>
          <w:rFonts w:hint="eastAsia" w:ascii="宋体" w:hAnsi="宋体" w:eastAsia="宋体" w:cs="宋体"/>
          <w:b/>
          <w:bCs w:val="0"/>
          <w:sz w:val="24"/>
          <w:szCs w:val="22"/>
        </w:rPr>
        <w:t>表4</w:t>
      </w:r>
      <w:r>
        <w:rPr>
          <w:rFonts w:hint="eastAsia" w:ascii="宋体" w:hAnsi="宋体" w:eastAsia="宋体" w:cs="宋体"/>
          <w:b/>
          <w:bCs w:val="0"/>
          <w:sz w:val="24"/>
          <w:szCs w:val="22"/>
          <w:lang w:val="en-US" w:eastAsia="zh-CN"/>
        </w:rPr>
        <w:t>-1</w:t>
      </w:r>
      <w:r>
        <w:rPr>
          <w:rFonts w:hint="eastAsia" w:ascii="宋体" w:hAnsi="宋体" w:eastAsia="宋体" w:cs="宋体"/>
          <w:b/>
          <w:bCs w:val="0"/>
          <w:color w:val="auto"/>
          <w:kern w:val="0"/>
          <w:sz w:val="28"/>
          <w:szCs w:val="28"/>
          <w:highlight w:val="none"/>
          <w:u w:val="none"/>
          <w:lang w:bidi="ar"/>
        </w:rPr>
        <w:t>企业主要设备及重点设施</w:t>
      </w:r>
      <w:r>
        <w:rPr>
          <w:rFonts w:hint="eastAsia" w:ascii="宋体" w:hAnsi="宋体" w:eastAsia="宋体" w:cs="宋体"/>
          <w:b/>
          <w:bCs w:val="0"/>
          <w:color w:val="auto"/>
          <w:kern w:val="0"/>
          <w:sz w:val="28"/>
          <w:szCs w:val="28"/>
          <w:highlight w:val="none"/>
          <w:u w:val="none"/>
        </w:rPr>
        <w:t>一览表</w:t>
      </w:r>
    </w:p>
    <w:tbl>
      <w:tblPr>
        <w:tblStyle w:val="19"/>
        <w:tblW w:w="8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8"/>
        <w:gridCol w:w="1553"/>
        <w:gridCol w:w="2576"/>
        <w:gridCol w:w="1113"/>
        <w:gridCol w:w="1531"/>
        <w:gridCol w:w="9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序号</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设备名称</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规格</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数量（台）</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材质</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1</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液蜡储罐</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Φ5740×6000，150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6</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液氯</w:t>
            </w:r>
            <w:r>
              <w:rPr>
                <w:rFonts w:hint="eastAsia" w:ascii="宋体" w:hAnsi="宋体" w:eastAsia="宋体" w:cs="宋体"/>
                <w:color w:val="auto"/>
                <w:spacing w:val="0"/>
                <w:sz w:val="24"/>
                <w:szCs w:val="24"/>
                <w:highlight w:val="none"/>
                <w:u w:val="none" w:color="auto"/>
                <w:lang w:eastAsia="zh-CN"/>
              </w:rPr>
              <w:t>槽车</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val="en-US" w:eastAsia="zh-CN"/>
              </w:rPr>
            </w:pPr>
            <w:r>
              <w:rPr>
                <w:rFonts w:hint="eastAsia" w:ascii="宋体" w:hAnsi="宋体" w:eastAsia="宋体" w:cs="宋体"/>
                <w:color w:val="auto"/>
                <w:spacing w:val="0"/>
                <w:sz w:val="24"/>
                <w:szCs w:val="24"/>
                <w:highlight w:val="none"/>
                <w:u w:val="none" w:color="auto"/>
                <w:lang w:val="en-US" w:eastAsia="zh-CN"/>
              </w:rPr>
              <w:t>1</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3</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液氯汽化器</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Φ1200×1800</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4</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氯气缓冲器</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Φ800×1500</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特种设备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氯化反应釜</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30</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6</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一氯釜</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Φ1300×4000，3</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7</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二氯釜</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Φ1300×4000，3</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8</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二氯釜</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9</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脱气釜</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半成品罐</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w w:val="99"/>
                <w:sz w:val="24"/>
                <w:szCs w:val="24"/>
                <w:highlight w:val="none"/>
                <w:u w:val="none" w:color="auto"/>
                <w:lang w:val="en-US" w:eastAsia="zh-CN"/>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11</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盐酸池</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10000×16000×5000</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水泥衬玻璃钢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12</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循环水池</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540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水泥</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13</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冷却塔</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100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14</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萃净塔</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Φ500×6000，2</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15</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蜡水分离器</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Φ450×4500</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16</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石墨吸收塔</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Φ450×4500，20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val="en-US" w:eastAsia="zh-CN"/>
              </w:rPr>
            </w:pPr>
            <w:r>
              <w:rPr>
                <w:rFonts w:hint="eastAsia" w:ascii="宋体" w:hAnsi="宋体" w:eastAsia="宋体" w:cs="宋体"/>
                <w:color w:val="auto"/>
                <w:spacing w:val="0"/>
                <w:sz w:val="24"/>
                <w:szCs w:val="24"/>
                <w:highlight w:val="none"/>
                <w:u w:val="none" w:color="auto"/>
                <w:lang w:val="en-US" w:eastAsia="zh-CN"/>
              </w:rPr>
              <w:t>10</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17</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循环酸罐</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Φ1000×1500，4</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18</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循环酸罐</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Φ1000×1500，2</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19</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空压机</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WF1/8，0.9</w:t>
            </w:r>
            <w:r>
              <w:rPr>
                <w:rFonts w:hint="eastAsia" w:ascii="宋体" w:hAnsi="宋体" w:eastAsia="宋体" w:cs="宋体"/>
                <w:color w:val="auto"/>
                <w:spacing w:val="0"/>
                <w:sz w:val="24"/>
                <w:szCs w:val="24"/>
                <w:highlight w:val="none"/>
                <w:u w:val="none" w:color="auto"/>
                <w:lang w:eastAsia="zh-CN"/>
              </w:rPr>
              <w:t>m³</w:t>
            </w:r>
            <w:r>
              <w:rPr>
                <w:rFonts w:hint="eastAsia" w:ascii="宋体" w:hAnsi="宋体" w:eastAsia="宋体" w:cs="宋体"/>
                <w:color w:val="auto"/>
                <w:spacing w:val="0"/>
                <w:sz w:val="24"/>
                <w:szCs w:val="24"/>
                <w:highlight w:val="none"/>
                <w:u w:val="none" w:color="auto"/>
              </w:rPr>
              <w:t>/h</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20</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喷淋塔</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Φ450×4500，30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15</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jc w:val="center"/>
        </w:trPr>
        <w:tc>
          <w:tcPr>
            <w:tcW w:w="788"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21</w:t>
            </w:r>
          </w:p>
        </w:tc>
        <w:tc>
          <w:tcPr>
            <w:tcW w:w="155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冷却器</w:t>
            </w:r>
          </w:p>
        </w:tc>
        <w:tc>
          <w:tcPr>
            <w:tcW w:w="2576"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Φ400×1500，15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30</w:t>
            </w:r>
          </w:p>
        </w:tc>
        <w:tc>
          <w:tcPr>
            <w:tcW w:w="1531"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w:t>
            </w:r>
          </w:p>
        </w:tc>
        <w:tc>
          <w:tcPr>
            <w:tcW w:w="982" w:type="dxa"/>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bl>
    <w:p>
      <w:pPr>
        <w:numPr>
          <w:ilvl w:val="0"/>
          <w:numId w:val="0"/>
        </w:numPr>
        <w:spacing w:line="520" w:lineRule="exact"/>
        <w:ind w:firstLine="560" w:firstLineChars="200"/>
        <w:jc w:val="both"/>
        <w:outlineLvl w:val="3"/>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（2）主要原辅材料消耗</w:t>
      </w:r>
    </w:p>
    <w:p>
      <w:pPr>
        <w:pStyle w:val="11"/>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bookmarkStart w:id="111" w:name="_Toc161"/>
      <w:bookmarkStart w:id="112" w:name="_Toc19828"/>
      <w:bookmarkStart w:id="113" w:name="_Toc107924572"/>
      <w:r>
        <w:rPr>
          <w:rFonts w:hint="eastAsia" w:ascii="宋体" w:hAnsi="宋体" w:eastAsia="宋体" w:cs="宋体"/>
          <w:b/>
          <w:bCs/>
          <w:color w:val="auto"/>
          <w:sz w:val="28"/>
          <w:szCs w:val="21"/>
          <w:highlight w:val="none"/>
          <w:lang w:val="en-US" w:eastAsia="zh-CN"/>
        </w:rPr>
        <w:t>表4-2</w:t>
      </w:r>
      <w:r>
        <w:rPr>
          <w:rFonts w:hint="eastAsia" w:ascii="宋体" w:hAnsi="宋体" w:eastAsia="宋体" w:cs="宋体"/>
          <w:b/>
          <w:bCs/>
          <w:color w:val="auto"/>
          <w:sz w:val="28"/>
          <w:szCs w:val="21"/>
          <w:highlight w:val="none"/>
        </w:rPr>
        <w:t>原辅材料、中间产品、产品中涉及</w:t>
      </w:r>
      <w:r>
        <w:rPr>
          <w:rFonts w:hint="eastAsia" w:hAnsi="宋体" w:eastAsia="宋体" w:cs="宋体"/>
          <w:b/>
          <w:bCs/>
          <w:color w:val="auto"/>
          <w:sz w:val="28"/>
          <w:szCs w:val="21"/>
          <w:highlight w:val="none"/>
          <w:lang w:val="en-US" w:eastAsia="zh-CN"/>
        </w:rPr>
        <w:t>能源消耗</w:t>
      </w:r>
      <w:r>
        <w:rPr>
          <w:rFonts w:hint="eastAsia" w:ascii="宋体" w:hAnsi="宋体" w:eastAsia="宋体" w:cs="宋体"/>
          <w:b/>
          <w:bCs/>
          <w:color w:val="auto"/>
          <w:sz w:val="28"/>
          <w:szCs w:val="21"/>
          <w:highlight w:val="none"/>
        </w:rPr>
        <w:t>情况一览表</w:t>
      </w:r>
    </w:p>
    <w:tbl>
      <w:tblPr>
        <w:tblStyle w:val="20"/>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962"/>
        <w:gridCol w:w="1053"/>
        <w:gridCol w:w="1721"/>
        <w:gridCol w:w="1764"/>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9"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序号</w:t>
            </w:r>
          </w:p>
        </w:tc>
        <w:tc>
          <w:tcPr>
            <w:tcW w:w="1962"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原料名称</w:t>
            </w:r>
          </w:p>
        </w:tc>
        <w:tc>
          <w:tcPr>
            <w:tcW w:w="1053"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形态</w:t>
            </w:r>
          </w:p>
        </w:tc>
        <w:tc>
          <w:tcPr>
            <w:tcW w:w="1721"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单位耗量</w:t>
            </w:r>
          </w:p>
        </w:tc>
        <w:tc>
          <w:tcPr>
            <w:tcW w:w="1764"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年用量</w:t>
            </w:r>
          </w:p>
        </w:tc>
        <w:tc>
          <w:tcPr>
            <w:tcW w:w="1938" w:type="dxa"/>
            <w:vAlign w:val="center"/>
          </w:tcPr>
          <w:p>
            <w:pPr>
              <w:spacing w:line="360" w:lineRule="auto"/>
              <w:ind w:firstLine="0" w:firstLineChars="0"/>
              <w:jc w:val="center"/>
              <w:rPr>
                <w:rFonts w:hint="eastAsia" w:ascii="宋体" w:hAnsi="宋体" w:eastAsia="宋体" w:cs="楷体"/>
                <w:b/>
                <w:sz w:val="24"/>
                <w:szCs w:val="24"/>
                <w:lang w:eastAsia="zh-CN"/>
              </w:rPr>
            </w:pPr>
            <w:r>
              <w:rPr>
                <w:rFonts w:hint="eastAsia" w:ascii="宋体" w:hAnsi="宋体" w:eastAsia="宋体" w:cs="楷体"/>
                <w:b/>
                <w:sz w:val="24"/>
                <w:szCs w:val="24"/>
                <w:lang w:eastAsia="zh-CN"/>
              </w:rPr>
              <w:t>储运装卸方式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1</w:t>
            </w:r>
          </w:p>
        </w:tc>
        <w:tc>
          <w:tcPr>
            <w:tcW w:w="1962"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液蜡</w:t>
            </w:r>
          </w:p>
        </w:tc>
        <w:tc>
          <w:tcPr>
            <w:tcW w:w="1053"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液体</w:t>
            </w:r>
          </w:p>
        </w:tc>
        <w:tc>
          <w:tcPr>
            <w:tcW w:w="1721"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0.493t/t</w:t>
            </w:r>
          </w:p>
        </w:tc>
        <w:tc>
          <w:tcPr>
            <w:tcW w:w="1764" w:type="dxa"/>
            <w:vAlign w:val="center"/>
          </w:tcPr>
          <w:p>
            <w:pPr>
              <w:spacing w:line="360" w:lineRule="auto"/>
              <w:ind w:firstLine="0" w:firstLineChars="0"/>
              <w:jc w:val="center"/>
              <w:rPr>
                <w:rFonts w:hint="eastAsia" w:ascii="宋体" w:hAnsi="宋体" w:eastAsia="宋体" w:cs="楷体"/>
                <w:bCs/>
                <w:sz w:val="24"/>
                <w:szCs w:val="24"/>
                <w:lang w:val="en-US"/>
              </w:rPr>
            </w:pPr>
            <w:r>
              <w:rPr>
                <w:rFonts w:hint="eastAsia" w:ascii="宋体" w:hAnsi="宋体" w:eastAsia="宋体" w:cs="楷体"/>
                <w:bCs/>
                <w:sz w:val="24"/>
                <w:szCs w:val="24"/>
                <w:lang w:val="en-US" w:eastAsia="zh-CN"/>
              </w:rPr>
              <w:t>14148t/a</w:t>
            </w:r>
          </w:p>
        </w:tc>
        <w:tc>
          <w:tcPr>
            <w:tcW w:w="1938"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2</w:t>
            </w:r>
          </w:p>
        </w:tc>
        <w:tc>
          <w:tcPr>
            <w:tcW w:w="1962"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液氯</w:t>
            </w:r>
          </w:p>
        </w:tc>
        <w:tc>
          <w:tcPr>
            <w:tcW w:w="1053"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eastAsia="zh-CN"/>
              </w:rPr>
              <w:t>液体</w:t>
            </w:r>
          </w:p>
        </w:tc>
        <w:tc>
          <w:tcPr>
            <w:tcW w:w="1721"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val="en-US" w:eastAsia="zh-CN"/>
              </w:rPr>
              <w:t>1.084t/t</w:t>
            </w:r>
          </w:p>
        </w:tc>
        <w:tc>
          <w:tcPr>
            <w:tcW w:w="1764" w:type="dxa"/>
            <w:vAlign w:val="center"/>
          </w:tcPr>
          <w:p>
            <w:pPr>
              <w:spacing w:line="360" w:lineRule="auto"/>
              <w:ind w:firstLine="0" w:firstLineChars="0"/>
              <w:jc w:val="center"/>
              <w:rPr>
                <w:rFonts w:hint="eastAsia" w:ascii="宋体" w:hAnsi="宋体" w:eastAsia="宋体" w:cs="楷体"/>
                <w:bCs/>
                <w:sz w:val="24"/>
                <w:szCs w:val="24"/>
                <w:lang w:val="en-US"/>
              </w:rPr>
            </w:pPr>
            <w:r>
              <w:rPr>
                <w:rFonts w:hint="eastAsia" w:ascii="宋体" w:hAnsi="宋体" w:eastAsia="宋体" w:cs="楷体"/>
                <w:bCs/>
                <w:sz w:val="24"/>
                <w:szCs w:val="24"/>
                <w:lang w:val="en-US" w:eastAsia="zh-CN"/>
              </w:rPr>
              <w:t>30073t/a</w:t>
            </w:r>
          </w:p>
        </w:tc>
        <w:tc>
          <w:tcPr>
            <w:tcW w:w="1938"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瓶装、槽车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3</w:t>
            </w:r>
          </w:p>
        </w:tc>
        <w:tc>
          <w:tcPr>
            <w:tcW w:w="1962"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稳定剂</w:t>
            </w:r>
          </w:p>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(三乙醇胺）</w:t>
            </w:r>
          </w:p>
        </w:tc>
        <w:tc>
          <w:tcPr>
            <w:tcW w:w="1053"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eastAsia="zh-CN"/>
              </w:rPr>
              <w:t>液体</w:t>
            </w:r>
          </w:p>
        </w:tc>
        <w:tc>
          <w:tcPr>
            <w:tcW w:w="1721"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val="en-US" w:eastAsia="zh-CN"/>
              </w:rPr>
              <w:t>0.003t/t</w:t>
            </w:r>
          </w:p>
        </w:tc>
        <w:tc>
          <w:tcPr>
            <w:tcW w:w="1764" w:type="dxa"/>
            <w:vAlign w:val="center"/>
          </w:tcPr>
          <w:p>
            <w:pPr>
              <w:spacing w:line="360" w:lineRule="auto"/>
              <w:ind w:firstLine="0" w:firstLineChars="0"/>
              <w:jc w:val="center"/>
              <w:rPr>
                <w:rFonts w:hint="eastAsia" w:ascii="宋体" w:hAnsi="宋体" w:eastAsia="宋体" w:cs="楷体"/>
                <w:bCs/>
                <w:sz w:val="24"/>
                <w:szCs w:val="24"/>
                <w:lang w:val="en-US"/>
              </w:rPr>
            </w:pPr>
            <w:r>
              <w:rPr>
                <w:rFonts w:hint="eastAsia" w:ascii="宋体" w:hAnsi="宋体" w:eastAsia="宋体" w:cs="楷体"/>
                <w:bCs/>
                <w:sz w:val="24"/>
                <w:szCs w:val="24"/>
                <w:lang w:val="en-US" w:eastAsia="zh-CN"/>
              </w:rPr>
              <w:t>86t/a</w:t>
            </w:r>
          </w:p>
        </w:tc>
        <w:tc>
          <w:tcPr>
            <w:tcW w:w="1938"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4</w:t>
            </w:r>
          </w:p>
        </w:tc>
        <w:tc>
          <w:tcPr>
            <w:tcW w:w="1962"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eastAsia="zh-CN"/>
              </w:rPr>
              <w:t>液碱（浓度</w:t>
            </w:r>
            <w:r>
              <w:rPr>
                <w:rFonts w:hint="eastAsia" w:ascii="宋体" w:hAnsi="宋体" w:eastAsia="宋体" w:cs="楷体"/>
                <w:bCs/>
                <w:sz w:val="24"/>
                <w:szCs w:val="24"/>
                <w:lang w:val="en-US" w:eastAsia="zh-CN"/>
              </w:rPr>
              <w:t>30%</w:t>
            </w:r>
            <w:r>
              <w:rPr>
                <w:rFonts w:hint="eastAsia" w:ascii="宋体" w:hAnsi="宋体" w:eastAsia="宋体" w:cs="楷体"/>
                <w:bCs/>
                <w:sz w:val="24"/>
                <w:szCs w:val="24"/>
                <w:lang w:eastAsia="zh-CN"/>
              </w:rPr>
              <w:t>）</w:t>
            </w:r>
          </w:p>
        </w:tc>
        <w:tc>
          <w:tcPr>
            <w:tcW w:w="1053"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eastAsia="zh-CN"/>
              </w:rPr>
              <w:t>液体</w:t>
            </w:r>
          </w:p>
        </w:tc>
        <w:tc>
          <w:tcPr>
            <w:tcW w:w="1721"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val="en-US" w:eastAsia="zh-CN"/>
              </w:rPr>
              <w:t>0.047t/t</w:t>
            </w:r>
          </w:p>
        </w:tc>
        <w:tc>
          <w:tcPr>
            <w:tcW w:w="1764" w:type="dxa"/>
            <w:vAlign w:val="center"/>
          </w:tcPr>
          <w:p>
            <w:pPr>
              <w:spacing w:line="360" w:lineRule="auto"/>
              <w:ind w:firstLine="0" w:firstLineChars="0"/>
              <w:jc w:val="center"/>
              <w:rPr>
                <w:rFonts w:hint="eastAsia" w:ascii="宋体" w:hAnsi="宋体" w:eastAsia="宋体" w:cs="楷体"/>
                <w:bCs/>
                <w:sz w:val="24"/>
                <w:szCs w:val="24"/>
                <w:lang w:val="en-US"/>
              </w:rPr>
            </w:pPr>
            <w:r>
              <w:rPr>
                <w:rFonts w:hint="eastAsia" w:ascii="宋体" w:hAnsi="宋体" w:eastAsia="宋体" w:cs="楷体"/>
                <w:bCs/>
                <w:sz w:val="24"/>
                <w:szCs w:val="24"/>
                <w:lang w:val="en-US" w:eastAsia="zh-CN"/>
              </w:rPr>
              <w:t>1323t/a</w:t>
            </w:r>
          </w:p>
        </w:tc>
        <w:tc>
          <w:tcPr>
            <w:tcW w:w="1938"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5</w:t>
            </w:r>
          </w:p>
        </w:tc>
        <w:tc>
          <w:tcPr>
            <w:tcW w:w="1962"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新鲜水</w:t>
            </w:r>
          </w:p>
        </w:tc>
        <w:tc>
          <w:tcPr>
            <w:tcW w:w="1053"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w:t>
            </w:r>
          </w:p>
        </w:tc>
        <w:tc>
          <w:tcPr>
            <w:tcW w:w="1721"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val="en-US" w:eastAsia="zh-CN"/>
              </w:rPr>
              <w:t>2.lm³/t</w:t>
            </w:r>
          </w:p>
        </w:tc>
        <w:tc>
          <w:tcPr>
            <w:tcW w:w="1764" w:type="dxa"/>
            <w:vAlign w:val="center"/>
          </w:tcPr>
          <w:p>
            <w:pPr>
              <w:spacing w:line="360" w:lineRule="auto"/>
              <w:ind w:firstLine="0" w:firstLineChars="0"/>
              <w:jc w:val="center"/>
              <w:rPr>
                <w:rFonts w:hint="eastAsia" w:ascii="宋体" w:hAnsi="宋体" w:eastAsia="宋体" w:cs="楷体"/>
                <w:bCs/>
                <w:sz w:val="24"/>
                <w:szCs w:val="24"/>
              </w:rPr>
            </w:pPr>
            <w:r>
              <w:rPr>
                <w:rFonts w:hint="eastAsia" w:ascii="宋体" w:hAnsi="宋体" w:eastAsia="宋体" w:cs="楷体"/>
                <w:bCs/>
                <w:sz w:val="24"/>
                <w:szCs w:val="24"/>
                <w:lang w:val="en-US" w:eastAsia="zh-CN"/>
              </w:rPr>
              <w:t>57492m³/t</w:t>
            </w:r>
          </w:p>
        </w:tc>
        <w:tc>
          <w:tcPr>
            <w:tcW w:w="1938" w:type="dxa"/>
            <w:vAlign w:val="center"/>
          </w:tcPr>
          <w:p>
            <w:pPr>
              <w:spacing w:line="360" w:lineRule="auto"/>
              <w:ind w:firstLine="0" w:firstLineChars="0"/>
              <w:jc w:val="center"/>
              <w:rPr>
                <w:rFonts w:hint="eastAsia" w:ascii="宋体" w:hAnsi="宋体" w:eastAsia="宋体" w:cs="楷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9"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6</w:t>
            </w:r>
          </w:p>
        </w:tc>
        <w:tc>
          <w:tcPr>
            <w:tcW w:w="1962" w:type="dxa"/>
            <w:vAlign w:val="center"/>
          </w:tcPr>
          <w:p>
            <w:pPr>
              <w:spacing w:line="360" w:lineRule="auto"/>
              <w:ind w:firstLine="0" w:firstLineChars="0"/>
              <w:jc w:val="center"/>
              <w:rPr>
                <w:rFonts w:hint="eastAsia" w:ascii="宋体" w:hAnsi="宋体" w:eastAsia="宋体" w:cs="楷体"/>
                <w:bCs/>
                <w:sz w:val="24"/>
                <w:szCs w:val="24"/>
                <w:lang w:eastAsia="zh-CN"/>
              </w:rPr>
            </w:pPr>
            <w:r>
              <w:rPr>
                <w:rFonts w:hint="eastAsia" w:ascii="宋体" w:hAnsi="宋体" w:eastAsia="宋体" w:cs="楷体"/>
                <w:bCs/>
                <w:sz w:val="24"/>
                <w:szCs w:val="24"/>
                <w:lang w:eastAsia="zh-CN"/>
              </w:rPr>
              <w:t>电</w:t>
            </w:r>
          </w:p>
        </w:tc>
        <w:tc>
          <w:tcPr>
            <w:tcW w:w="1053"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w:t>
            </w:r>
          </w:p>
        </w:tc>
        <w:tc>
          <w:tcPr>
            <w:tcW w:w="1721"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30度/t</w:t>
            </w:r>
          </w:p>
        </w:tc>
        <w:tc>
          <w:tcPr>
            <w:tcW w:w="1764" w:type="dxa"/>
            <w:vAlign w:val="center"/>
          </w:tcPr>
          <w:p>
            <w:pPr>
              <w:spacing w:line="360" w:lineRule="auto"/>
              <w:ind w:firstLine="0" w:firstLineChars="0"/>
              <w:jc w:val="center"/>
              <w:rPr>
                <w:rFonts w:hint="eastAsia" w:ascii="宋体" w:hAnsi="宋体" w:eastAsia="宋体" w:cs="楷体"/>
                <w:bCs/>
                <w:sz w:val="24"/>
                <w:szCs w:val="24"/>
                <w:lang w:val="en-US" w:eastAsia="zh-CN"/>
              </w:rPr>
            </w:pPr>
            <w:r>
              <w:rPr>
                <w:rFonts w:hint="eastAsia" w:ascii="宋体" w:hAnsi="宋体" w:eastAsia="宋体" w:cs="楷体"/>
                <w:bCs/>
                <w:sz w:val="24"/>
                <w:szCs w:val="24"/>
                <w:lang w:val="en-US" w:eastAsia="zh-CN"/>
              </w:rPr>
              <w:t>86.1万度/a</w:t>
            </w:r>
          </w:p>
        </w:tc>
        <w:tc>
          <w:tcPr>
            <w:tcW w:w="1938" w:type="dxa"/>
            <w:vAlign w:val="center"/>
          </w:tcPr>
          <w:p>
            <w:pPr>
              <w:spacing w:line="360" w:lineRule="auto"/>
              <w:ind w:firstLine="0" w:firstLineChars="0"/>
              <w:jc w:val="center"/>
              <w:rPr>
                <w:rFonts w:hint="eastAsia" w:ascii="宋体" w:hAnsi="宋体" w:eastAsia="宋体" w:cs="楷体"/>
                <w:bCs/>
                <w:sz w:val="24"/>
                <w:szCs w:val="24"/>
              </w:rPr>
            </w:pPr>
          </w:p>
        </w:tc>
      </w:tr>
    </w:tbl>
    <w:p>
      <w:pPr>
        <w:pStyle w:val="11"/>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14" w:name="_Toc27140"/>
      <w:r>
        <w:rPr>
          <w:rFonts w:hint="eastAsia" w:ascii="宋体" w:hAnsi="宋体" w:eastAsia="宋体" w:cs="宋体"/>
          <w:b/>
          <w:bCs/>
          <w:kern w:val="2"/>
          <w:sz w:val="28"/>
          <w:szCs w:val="32"/>
          <w:lang w:val="en-US" w:eastAsia="zh-CN" w:bidi="ar-SA"/>
        </w:rPr>
        <w:t>4.2企业生产工艺</w:t>
      </w:r>
      <w:bookmarkEnd w:id="111"/>
      <w:bookmarkEnd w:id="112"/>
      <w:bookmarkEnd w:id="113"/>
      <w:r>
        <w:rPr>
          <w:rFonts w:hint="eastAsia" w:ascii="宋体" w:hAnsi="宋体" w:eastAsia="宋体" w:cs="宋体"/>
          <w:b/>
          <w:bCs/>
          <w:kern w:val="2"/>
          <w:sz w:val="28"/>
          <w:szCs w:val="32"/>
          <w:lang w:val="en-US" w:eastAsia="zh-CN" w:bidi="ar-SA"/>
        </w:rPr>
        <w:t>及产排污环节</w:t>
      </w:r>
      <w:bookmarkEnd w:id="114"/>
    </w:p>
    <w:p>
      <w:pPr>
        <w:keepNext w:val="0"/>
        <w:keepLines w:val="0"/>
        <w:pageBreakBefore w:val="0"/>
        <w:kinsoku/>
        <w:wordWrap w:val="0"/>
        <w:overflowPunct/>
        <w:topLinePunct w:val="0"/>
        <w:autoSpaceDE/>
        <w:autoSpaceDN/>
        <w:bidi w:val="0"/>
        <w:spacing w:beforeAutospacing="0" w:afterAutospacing="0" w:line="360" w:lineRule="auto"/>
        <w:ind w:firstLine="560" w:firstLineChars="200"/>
        <w:jc w:val="left"/>
        <w:textAlignment w:val="auto"/>
        <w:rPr>
          <w:rFonts w:hint="eastAsia" w:ascii="宋体" w:hAnsi="宋体" w:eastAsia="宋体" w:cs="宋体"/>
          <w:color w:val="auto"/>
          <w:kern w:val="0"/>
          <w:sz w:val="28"/>
          <w:szCs w:val="28"/>
          <w:highlight w:val="none"/>
          <w:lang w:val="en-US" w:eastAsia="zh-CN" w:bidi="ar"/>
        </w:rPr>
      </w:pPr>
      <w:bookmarkStart w:id="115" w:name="_Toc26004772"/>
      <w:bookmarkStart w:id="116" w:name="_Toc25394_WPSOffice_Level1"/>
      <w:bookmarkStart w:id="117" w:name="_Toc32045"/>
      <w:bookmarkStart w:id="118" w:name="_Toc25354_WPSOffice_Level1"/>
      <w:bookmarkStart w:id="119" w:name="_Toc17786"/>
      <w:bookmarkStart w:id="120" w:name="_Toc30707"/>
      <w:bookmarkStart w:id="121" w:name="_Toc29313_WPSOffice_Level1"/>
      <w:bookmarkStart w:id="122" w:name="_Toc29431"/>
      <w:bookmarkStart w:id="123" w:name="_Toc19398"/>
      <w:bookmarkStart w:id="124" w:name="_Toc5120"/>
      <w:bookmarkStart w:id="125" w:name="_Toc22983"/>
      <w:bookmarkStart w:id="126" w:name="_Toc11417"/>
      <w:bookmarkStart w:id="127" w:name="_Toc19887_WPSOffice_Level1"/>
      <w:bookmarkStart w:id="128" w:name="_Toc14776"/>
      <w:bookmarkStart w:id="129" w:name="_Toc53736354"/>
      <w:bookmarkStart w:id="130" w:name="_Toc12454"/>
      <w:bookmarkStart w:id="131" w:name="_Toc26004781"/>
      <w:bookmarkStart w:id="132" w:name="_Toc15291"/>
      <w:bookmarkStart w:id="133" w:name="_Toc22500"/>
      <w:r>
        <w:rPr>
          <w:rFonts w:hint="eastAsia" w:ascii="宋体" w:hAnsi="宋体" w:eastAsia="宋体" w:cs="宋体"/>
          <w:color w:val="auto"/>
          <w:kern w:val="0"/>
          <w:sz w:val="28"/>
          <w:szCs w:val="28"/>
          <w:highlight w:val="none"/>
          <w:lang w:val="en-US" w:eastAsia="zh-CN" w:bidi="ar"/>
        </w:rPr>
        <w:t>公司液氯共有5套液氯汽化系统，1#汽化系统供1,9线；2#汽化系统供3，10线；3#汽化系统供5，8线；4#汽化系统供6，7线；5#汽化系统供2，4线。</w:t>
      </w:r>
    </w:p>
    <w:p>
      <w:pPr>
        <w:keepNext w:val="0"/>
        <w:keepLines w:val="0"/>
        <w:pageBreakBefore w:val="0"/>
        <w:kinsoku/>
        <w:wordWrap w:val="0"/>
        <w:overflowPunct/>
        <w:topLinePunct w:val="0"/>
        <w:autoSpaceDE/>
        <w:autoSpaceDN/>
        <w:bidi w:val="0"/>
        <w:spacing w:beforeAutospacing="0" w:afterAutospacing="0"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eastAsia="zh-CN" w:bidi="ar"/>
        </w:rPr>
        <w:t>公司</w:t>
      </w:r>
      <w:r>
        <w:rPr>
          <w:rFonts w:hint="eastAsia" w:ascii="宋体" w:hAnsi="宋体" w:eastAsia="宋体" w:cs="宋体"/>
          <w:color w:val="auto"/>
          <w:kern w:val="0"/>
          <w:sz w:val="28"/>
          <w:szCs w:val="28"/>
          <w:highlight w:val="none"/>
          <w:lang w:bidi="ar"/>
        </w:rPr>
        <w:t>采用热氯化法和光氯化法相结合的连续釜式氯化生产工艺方案，共有10条生产线，各生产线的生产工艺和主要设备基本相同，</w:t>
      </w:r>
      <w:r>
        <w:rPr>
          <w:rFonts w:hint="eastAsia" w:ascii="宋体" w:hAnsi="宋体" w:eastAsia="宋体" w:cs="宋体"/>
          <w:color w:val="auto"/>
          <w:kern w:val="0"/>
          <w:sz w:val="28"/>
          <w:szCs w:val="28"/>
          <w:highlight w:val="none"/>
          <w:lang w:val="en-US" w:eastAsia="zh-CN" w:bidi="ar"/>
        </w:rPr>
        <w:t>主要由主反应釜（</w:t>
      </w:r>
      <w:r>
        <w:rPr>
          <w:rFonts w:hint="eastAsia" w:ascii="宋体" w:hAnsi="宋体" w:eastAsia="宋体" w:cs="宋体"/>
          <w:color w:val="auto"/>
          <w:kern w:val="0"/>
          <w:sz w:val="28"/>
          <w:szCs w:val="28"/>
          <w:highlight w:val="none"/>
          <w:lang w:bidi="ar"/>
        </w:rPr>
        <w:t>2，4，5，7线为</w:t>
      </w:r>
      <w:r>
        <w:rPr>
          <w:rFonts w:hint="eastAsia" w:ascii="宋体" w:hAnsi="宋体" w:eastAsia="宋体" w:cs="宋体"/>
          <w:color w:val="auto"/>
          <w:kern w:val="0"/>
          <w:sz w:val="28"/>
          <w:szCs w:val="28"/>
          <w:highlight w:val="none"/>
          <w:lang w:eastAsia="zh-CN" w:bidi="ar"/>
        </w:rPr>
        <w:t>5个</w:t>
      </w:r>
      <w:r>
        <w:rPr>
          <w:rFonts w:hint="eastAsia" w:ascii="宋体" w:hAnsi="宋体" w:eastAsia="宋体" w:cs="宋体"/>
          <w:color w:val="auto"/>
          <w:kern w:val="0"/>
          <w:sz w:val="28"/>
          <w:szCs w:val="28"/>
          <w:highlight w:val="none"/>
          <w:lang w:val="en-US" w:eastAsia="zh-CN" w:bidi="ar"/>
        </w:rPr>
        <w:t>主反应</w:t>
      </w:r>
      <w:r>
        <w:rPr>
          <w:rFonts w:hint="eastAsia" w:ascii="宋体" w:hAnsi="宋体" w:eastAsia="宋体" w:cs="宋体"/>
          <w:color w:val="auto"/>
          <w:kern w:val="0"/>
          <w:sz w:val="28"/>
          <w:szCs w:val="28"/>
          <w:highlight w:val="none"/>
          <w:lang w:bidi="ar"/>
        </w:rPr>
        <w:t>釜</w:t>
      </w:r>
      <w:r>
        <w:rPr>
          <w:rFonts w:hint="eastAsia" w:ascii="宋体" w:hAnsi="宋体" w:eastAsia="宋体" w:cs="宋体"/>
          <w:color w:val="auto"/>
          <w:kern w:val="0"/>
          <w:sz w:val="28"/>
          <w:szCs w:val="28"/>
          <w:highlight w:val="none"/>
          <w:lang w:eastAsia="zh-CN" w:bidi="ar"/>
        </w:rPr>
        <w:t>；</w:t>
      </w:r>
      <w:r>
        <w:rPr>
          <w:rFonts w:hint="eastAsia" w:ascii="宋体" w:hAnsi="宋体" w:eastAsia="宋体" w:cs="宋体"/>
          <w:color w:val="auto"/>
          <w:kern w:val="0"/>
          <w:sz w:val="28"/>
          <w:szCs w:val="28"/>
          <w:highlight w:val="none"/>
          <w:lang w:bidi="ar"/>
        </w:rPr>
        <w:t xml:space="preserve">1、3、6、8、9、10线为12个主反应釜）、1个计量釜、1个脱气釜、3个尾气吸收釜（一氯釜、二氯釜和三氯釜）串联设置，可使氯气的转化率达到98%以上，氯化石蜡主要反应式如下： </w:t>
      </w:r>
    </w:p>
    <w:p>
      <w:pPr>
        <w:keepNext w:val="0"/>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kern w:val="0"/>
          <w:sz w:val="28"/>
          <w:szCs w:val="28"/>
          <w:highlight w:val="none"/>
          <w:lang w:bidi="ar"/>
        </w:rPr>
        <w:t>C</w:t>
      </w:r>
      <w:r>
        <w:rPr>
          <w:rFonts w:hint="eastAsia" w:ascii="宋体" w:hAnsi="宋体" w:eastAsia="宋体" w:cs="宋体"/>
          <w:color w:val="auto"/>
          <w:kern w:val="0"/>
          <w:sz w:val="28"/>
          <w:szCs w:val="28"/>
          <w:highlight w:val="none"/>
          <w:vertAlign w:val="subscript"/>
          <w:lang w:bidi="ar"/>
        </w:rPr>
        <w:t>15</w:t>
      </w:r>
      <w:r>
        <w:rPr>
          <w:rFonts w:hint="eastAsia" w:ascii="宋体" w:hAnsi="宋体" w:eastAsia="宋体" w:cs="宋体"/>
          <w:color w:val="auto"/>
          <w:kern w:val="0"/>
          <w:sz w:val="28"/>
          <w:szCs w:val="28"/>
          <w:highlight w:val="none"/>
          <w:lang w:bidi="ar"/>
        </w:rPr>
        <w:t>H</w:t>
      </w:r>
      <w:r>
        <w:rPr>
          <w:rFonts w:hint="eastAsia" w:ascii="宋体" w:hAnsi="宋体" w:eastAsia="宋体" w:cs="宋体"/>
          <w:color w:val="auto"/>
          <w:kern w:val="0"/>
          <w:sz w:val="28"/>
          <w:szCs w:val="28"/>
          <w:highlight w:val="none"/>
          <w:vertAlign w:val="subscript"/>
          <w:lang w:bidi="ar"/>
        </w:rPr>
        <w:t>32</w:t>
      </w:r>
      <w:r>
        <w:rPr>
          <w:rFonts w:hint="eastAsia" w:ascii="宋体" w:hAnsi="宋体" w:eastAsia="宋体" w:cs="宋体"/>
          <w:color w:val="auto"/>
          <w:kern w:val="0"/>
          <w:sz w:val="28"/>
          <w:szCs w:val="28"/>
          <w:highlight w:val="none"/>
          <w:lang w:bidi="ar"/>
        </w:rPr>
        <w:t>+7Cl</w:t>
      </w:r>
      <w:r>
        <w:rPr>
          <w:rFonts w:hint="eastAsia" w:ascii="宋体" w:hAnsi="宋体" w:eastAsia="宋体" w:cs="宋体"/>
          <w:color w:val="auto"/>
          <w:kern w:val="0"/>
          <w:sz w:val="28"/>
          <w:szCs w:val="28"/>
          <w:highlight w:val="none"/>
          <w:vertAlign w:val="subscript"/>
          <w:lang w:bidi="ar"/>
        </w:rPr>
        <w:t>2</w:t>
      </w:r>
      <w:r>
        <w:rPr>
          <w:rFonts w:hint="eastAsia" w:ascii="宋体" w:hAnsi="宋体" w:eastAsia="宋体" w:cs="宋体"/>
          <w:color w:val="auto"/>
          <w:kern w:val="0"/>
          <w:sz w:val="28"/>
          <w:szCs w:val="28"/>
          <w:highlight w:val="none"/>
          <w:lang w:bidi="ar"/>
        </w:rPr>
        <w:t>——C</w:t>
      </w:r>
      <w:r>
        <w:rPr>
          <w:rFonts w:hint="eastAsia" w:ascii="宋体" w:hAnsi="宋体" w:eastAsia="宋体" w:cs="宋体"/>
          <w:color w:val="auto"/>
          <w:kern w:val="0"/>
          <w:sz w:val="28"/>
          <w:szCs w:val="28"/>
          <w:highlight w:val="none"/>
          <w:vertAlign w:val="subscript"/>
          <w:lang w:bidi="ar"/>
        </w:rPr>
        <w:t>15</w:t>
      </w:r>
      <w:r>
        <w:rPr>
          <w:rFonts w:hint="eastAsia" w:ascii="宋体" w:hAnsi="宋体" w:eastAsia="宋体" w:cs="宋体"/>
          <w:color w:val="auto"/>
          <w:kern w:val="0"/>
          <w:sz w:val="28"/>
          <w:szCs w:val="28"/>
          <w:highlight w:val="none"/>
          <w:lang w:bidi="ar"/>
        </w:rPr>
        <w:t>H</w:t>
      </w:r>
      <w:r>
        <w:rPr>
          <w:rFonts w:hint="eastAsia" w:ascii="宋体" w:hAnsi="宋体" w:eastAsia="宋体" w:cs="宋体"/>
          <w:color w:val="auto"/>
          <w:kern w:val="0"/>
          <w:sz w:val="28"/>
          <w:szCs w:val="28"/>
          <w:highlight w:val="none"/>
          <w:vertAlign w:val="subscript"/>
          <w:lang w:bidi="ar"/>
        </w:rPr>
        <w:t>25</w:t>
      </w:r>
      <w:r>
        <w:rPr>
          <w:rFonts w:hint="eastAsia" w:ascii="宋体" w:hAnsi="宋体" w:eastAsia="宋体" w:cs="宋体"/>
          <w:color w:val="auto"/>
          <w:kern w:val="0"/>
          <w:sz w:val="28"/>
          <w:szCs w:val="28"/>
          <w:highlight w:val="none"/>
          <w:lang w:bidi="ar"/>
        </w:rPr>
        <w:t>Cl</w:t>
      </w:r>
      <w:r>
        <w:rPr>
          <w:rFonts w:hint="eastAsia" w:ascii="宋体" w:hAnsi="宋体" w:eastAsia="宋体" w:cs="宋体"/>
          <w:color w:val="auto"/>
          <w:kern w:val="0"/>
          <w:sz w:val="28"/>
          <w:szCs w:val="28"/>
          <w:highlight w:val="none"/>
          <w:vertAlign w:val="subscript"/>
          <w:lang w:bidi="ar"/>
        </w:rPr>
        <w:t>7</w:t>
      </w:r>
      <w:r>
        <w:rPr>
          <w:rFonts w:hint="eastAsia" w:ascii="宋体" w:hAnsi="宋体" w:eastAsia="宋体" w:cs="宋体"/>
          <w:color w:val="auto"/>
          <w:kern w:val="0"/>
          <w:sz w:val="28"/>
          <w:szCs w:val="28"/>
          <w:highlight w:val="none"/>
          <w:lang w:bidi="ar"/>
        </w:rPr>
        <w:t>+7HCl↑+Q</w:t>
      </w:r>
    </w:p>
    <w:p>
      <w:pPr>
        <w:pStyle w:val="7"/>
        <w:keepNext w:val="0"/>
        <w:keepLines w:val="0"/>
        <w:pageBreakBefore w:val="0"/>
        <w:kinsoku/>
        <w:overflowPunct/>
        <w:topLinePunct w:val="0"/>
        <w:autoSpaceDE/>
        <w:autoSpaceDN/>
        <w:bidi w:val="0"/>
        <w:spacing w:before="0" w:beforeAutospacing="0" w:after="0" w:afterAutospacing="0" w:line="360" w:lineRule="auto"/>
        <w:textAlignment w:val="auto"/>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 xml:space="preserve">  </w:t>
      </w:r>
    </w:p>
    <w:p>
      <w:pPr>
        <w:pStyle w:val="7"/>
        <w:keepNext w:val="0"/>
        <w:keepLines w:val="0"/>
        <w:pageBreakBefore w:val="0"/>
        <w:kinsoku/>
        <w:overflowPunct/>
        <w:topLinePunct w:val="0"/>
        <w:autoSpaceDE/>
        <w:autoSpaceDN/>
        <w:bidi w:val="0"/>
        <w:spacing w:before="0" w:beforeAutospacing="0" w:after="0" w:afterAutospacing="0"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kern w:val="0"/>
          <w:sz w:val="28"/>
          <w:szCs w:val="28"/>
          <w:highlight w:val="none"/>
          <w:lang w:val="en-US" w:eastAsia="zh-CN" w:bidi="ar"/>
        </w:rPr>
        <w:t>现有工程生产工艺流程图详见下图。</w:t>
      </w:r>
    </w:p>
    <w:p>
      <w:pPr>
        <w:keepNext w:val="0"/>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sz w:val="28"/>
          <w:szCs w:val="28"/>
          <w:highlight w:val="none"/>
          <w:lang w:eastAsia="zh-CN"/>
        </w:rPr>
        <w:drawing>
          <wp:inline distT="0" distB="0" distL="114300" distR="114300">
            <wp:extent cx="6171565" cy="8357870"/>
            <wp:effectExtent l="0" t="0" r="635" b="11430"/>
            <wp:docPr id="2" name="图片 2" descr="图3-2现有工程工艺流程图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3-2现有工程工艺流程图_01(1)"/>
                    <pic:cNvPicPr>
                      <a:picLocks noChangeAspect="1"/>
                    </pic:cNvPicPr>
                  </pic:nvPicPr>
                  <pic:blipFill>
                    <a:blip r:embed="rId12"/>
                    <a:stretch>
                      <a:fillRect/>
                    </a:stretch>
                  </pic:blipFill>
                  <pic:spPr>
                    <a:xfrm>
                      <a:off x="0" y="0"/>
                      <a:ext cx="6171565" cy="8357870"/>
                    </a:xfrm>
                    <a:prstGeom prst="rect">
                      <a:avLst/>
                    </a:prstGeom>
                  </pic:spPr>
                </pic:pic>
              </a:graphicData>
            </a:graphic>
          </wp:inline>
        </w:drawing>
      </w:r>
    </w:p>
    <w:p>
      <w:pPr>
        <w:keepNext w:val="0"/>
        <w:keepLines w:val="0"/>
        <w:pageBreakBefore w:val="0"/>
        <w:numPr>
          <w:ilvl w:val="0"/>
          <w:numId w:val="0"/>
        </w:numPr>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b/>
          <w:bCs/>
          <w:color w:val="auto"/>
          <w:sz w:val="28"/>
          <w:szCs w:val="28"/>
          <w:highlight w:val="none"/>
          <w:lang w:val="en-US" w:eastAsia="zh-CN" w:bidi="ar"/>
        </w:rPr>
      </w:pPr>
    </w:p>
    <w:p>
      <w:pPr>
        <w:keepNext w:val="0"/>
        <w:keepLines w:val="0"/>
        <w:pageBreakBefore w:val="0"/>
        <w:numPr>
          <w:ilvl w:val="0"/>
          <w:numId w:val="0"/>
        </w:numPr>
        <w:kinsoku/>
        <w:wordWrap w:val="0"/>
        <w:overflowPunct/>
        <w:topLinePunct w:val="0"/>
        <w:autoSpaceDE/>
        <w:autoSpaceDN/>
        <w:bidi w:val="0"/>
        <w:spacing w:beforeAutospacing="0" w:afterAutospacing="0" w:line="360" w:lineRule="auto"/>
        <w:ind w:firstLine="562" w:firstLineChars="200"/>
        <w:jc w:val="left"/>
        <w:textAlignment w:val="auto"/>
        <w:rPr>
          <w:rFonts w:hint="eastAsia" w:ascii="宋体" w:hAnsi="宋体" w:eastAsia="宋体" w:cs="宋体"/>
          <w:b/>
          <w:bCs/>
          <w:color w:val="auto"/>
          <w:sz w:val="28"/>
          <w:szCs w:val="28"/>
          <w:highlight w:val="none"/>
          <w:lang w:val="en-US" w:eastAsia="zh-CN" w:bidi="ar"/>
        </w:rPr>
      </w:pPr>
      <w:r>
        <w:rPr>
          <w:rFonts w:hint="eastAsia" w:ascii="宋体" w:hAnsi="宋体" w:eastAsia="宋体" w:cs="宋体"/>
          <w:b/>
          <w:bCs/>
          <w:color w:val="auto"/>
          <w:sz w:val="28"/>
          <w:szCs w:val="28"/>
          <w:highlight w:val="none"/>
          <w:lang w:val="en-US" w:eastAsia="zh-CN" w:bidi="ar"/>
        </w:rPr>
        <w:t>工艺流程简述</w:t>
      </w:r>
    </w:p>
    <w:p>
      <w:pPr>
        <w:keepNext w:val="0"/>
        <w:keepLines w:val="0"/>
        <w:pageBreakBefore w:val="0"/>
        <w:widowControl/>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宋体" w:hAnsi="宋体" w:eastAsia="宋体" w:cs="宋体"/>
          <w:b w:val="0"/>
          <w:bCs w:val="0"/>
          <w:color w:val="auto"/>
          <w:sz w:val="28"/>
          <w:szCs w:val="28"/>
          <w:highlight w:val="none"/>
          <w:lang w:val="en-US" w:eastAsia="zh-CN" w:bidi="ar"/>
        </w:rPr>
      </w:pPr>
      <w:r>
        <w:rPr>
          <w:rFonts w:hint="eastAsia" w:ascii="宋体" w:hAnsi="宋体" w:eastAsia="宋体" w:cs="宋体"/>
          <w:b w:val="0"/>
          <w:bCs w:val="0"/>
          <w:color w:val="auto"/>
          <w:sz w:val="28"/>
          <w:szCs w:val="28"/>
          <w:highlight w:val="none"/>
          <w:lang w:val="en-US" w:eastAsia="zh-CN" w:bidi="ar"/>
        </w:rPr>
        <w:t>（以1线为例，3、6、8、9、10线相同）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1）液体石蜡精制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原料液蜡于液蜡储罐V0101A~F经过自然静置沉降后，经液蜡输送泵P0102A~C及流量计FICQ-R0108计量后将定量的液体石蜡加入一氯釜R0108，然后依靠溢流依次进入二氯釜R0109、萃净塔T0101、三氯釜R0110和零号釜R0111。</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2）氯化反应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液氯槽车V0102A/B中的液氯经液氯调节阀PV-E0108A减压至 0.2～0.4MPa 后进入气化盘管，氯气经气化槽E0108A内的热水（热水温度不得超过 40℃）加热气化（压力 0.15～0.2MPa）后进入缓冲罐V0103A、稳压、除杂（主要除去酸雾和三氯化铁粉尘），然后由氯气总管、支管经转子流量计计量后分别进入氯化反应釜R0101A~R0106A、R0101B~R0106B。在紫外线的照射下，通过支管氯气调节阀控制氯气流量，使氯气与液体石蜡进行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零号釜R0111液体石蜡经油泵P0109并分别经流量计FICQ-0101A/B计量后进入氯化反应釜R0101A、R0101B，然后依靠溢流分别依次进入R0102A~R0106A、R0102B~R0106B，氯化反应釜为串联布置。液体石蜡的氯化程度逐渐升高，当氯化反应釜R0106A/B中物料密度达到 1.23～1.25 时为反应终点，将氯化反应釜R0106A/B中物料用循环泵P0107抽入到计量釜R0107计量后泵入脱气釜V0108。在正常生产中，通过支管氯气流量计、氯气调节阀调节氯气流量，通过支管液体石蜡流量计和调节阀调节液体石蜡的流量来控制氯化的程度。氯化反应由紫外线提供能量反应，由于氯化反应是放热反应，达到一定的温度后需用冷却水冷却，通过反应釜温度和循环水调节阀将反应温度控制在 90～95℃，氯化反应釜产生的氯化氢和微量的未反应的氯气进入零号釜R0111继续与液体石蜡反应。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3）氯化石蜡精制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氯化反应结束后，将计量釜R0107中的物料用泵抽入脱气釜V0108，向脱气釜V0108中通入压缩空气，吹出氯化石蜡中溶解的氯化氢和氯气，吹出的气体送尾气吸收塔T0106处理。吹气结束后，向脱气釜V0108加入稳定剂（乙二醇二缩水甘油醚）即成为氯化石蜡成品，从釜底部经成品泵P0108装桶包装后入库或泵入成品罐V0118A~J。由于稳定剂的用量很少，采用手工加入的方式，即经过计量后，在需要的时候，通过漏斗加入。</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 xml:space="preserve">4）盐酸吸收 </w:t>
      </w:r>
      <w:r>
        <w:rPr>
          <w:rFonts w:hint="eastAsia" w:ascii="宋体" w:hAnsi="宋体" w:eastAsia="宋体" w:cs="宋体"/>
          <w:b/>
          <w:bCs/>
          <w:color w:val="auto"/>
          <w:kern w:val="2"/>
          <w:sz w:val="28"/>
          <w:szCs w:val="28"/>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b/>
          <w:bCs/>
          <w:color w:val="auto"/>
          <w:sz w:val="28"/>
          <w:szCs w:val="28"/>
          <w:highlight w:val="none"/>
          <w:lang w:val="en-US" w:eastAsia="zh-CN" w:bidi="ar"/>
        </w:rPr>
      </w:pPr>
      <w:r>
        <w:rPr>
          <w:rFonts w:hint="eastAsia" w:ascii="宋体" w:hAnsi="宋体" w:eastAsia="宋体" w:cs="宋体"/>
          <w:color w:val="auto"/>
          <w:kern w:val="2"/>
          <w:sz w:val="28"/>
          <w:szCs w:val="28"/>
          <w:highlight w:val="none"/>
          <w:lang w:val="en-US" w:eastAsia="zh-CN" w:bidi="ar-SA"/>
        </w:rPr>
        <w:t>氯化反应产生的副产物氯化氢和微量的氯气依次进入零号釜R0111、尾气缓冲釜R0112、三氯釜R0110中继续吸收氯化氢和微量的氯气，未被吸收的气体主要为氯化氢，经分离器后进入降膜式吸收塔T0102，用中浓度盐酸吸收氯化氢后，进入二氯釜R0109与液体石蜡反应，尾气进入第二降膜吸收塔T0103用低浓度盐酸吸收氯化氢后，进入一氯釜R0108与液体石蜡反应，然后尾气进入两级喷淋吸收塔T0104~T0105用水吸收，最终氯化工段未吸收完全的少量氯化氢依次进入碱吸收塔T0107A/B、T0108A/B、碱罐V0120A/B吸收后放空；</w:t>
      </w:r>
      <w:r>
        <w:rPr>
          <w:rFonts w:hint="eastAsia" w:ascii="宋体" w:hAnsi="宋体" w:eastAsia="宋体" w:cs="宋体"/>
          <w:b w:val="0"/>
          <w:bCs w:val="0"/>
          <w:color w:val="auto"/>
          <w:kern w:val="2"/>
          <w:sz w:val="28"/>
          <w:szCs w:val="28"/>
          <w:highlight w:val="none"/>
          <w:lang w:val="en-US" w:eastAsia="zh-CN" w:bidi="ar-SA"/>
        </w:rPr>
        <w:t>脱气釜V0108中吹出的氯化氢和氯气进入第三级喷淋吸收塔T0106用水吸收，</w:t>
      </w:r>
      <w:r>
        <w:rPr>
          <w:rFonts w:hint="eastAsia" w:ascii="宋体" w:hAnsi="宋体" w:eastAsia="宋体" w:cs="宋体"/>
          <w:color w:val="auto"/>
          <w:kern w:val="2"/>
          <w:sz w:val="28"/>
          <w:szCs w:val="28"/>
          <w:highlight w:val="none"/>
          <w:lang w:val="en-US" w:eastAsia="zh-CN" w:bidi="ar-SA"/>
        </w:rPr>
        <w:t>最终脱气工段未吸收完全的少量氯化氢依次进入碱吸收塔T0109A/B、T0110A/B、碱罐V0121A/B吸收后放空。水经过逐级吸收氯化氢，盐酸浓度逐渐升高，最终得到的浓度为 31.02%的盐酸进入萃净塔T0101后流入盐酸罐V0112A/B储存，进行出售</w:t>
      </w:r>
      <w:r>
        <w:rPr>
          <w:rFonts w:hint="eastAsia" w:ascii="宋体" w:hAnsi="宋体" w:eastAsia="宋体" w:cs="宋体"/>
          <w:color w:val="auto"/>
          <w:kern w:val="0"/>
          <w:sz w:val="28"/>
          <w:szCs w:val="28"/>
          <w:highlight w:val="none"/>
        </w:rPr>
        <w:t>。</w:t>
      </w:r>
    </w:p>
    <w:p>
      <w:pPr>
        <w:keepNext w:val="0"/>
        <w:keepLines w:val="0"/>
        <w:pageBreakBefore w:val="0"/>
        <w:widowControl/>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bidi="ar"/>
        </w:rPr>
        <w:t>（以2线为例，4、5、7线相同）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1）液体石蜡精制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原料液蜡于液蜡储罐V0101A~F经过自然静置沉降后，经液蜡输送泵P0102A~C及流量计FICQ-R0208计量后将定量的液体石蜡加入一氯釜R0208，然后依靠溢流依次进入二氯釜R0209、萃净塔T0201和三氯釜R0210。</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2）氯化反应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液氯槽车V0102A/B中的液氯经液氯调节阀PV-E0108B减压至 0.2～0.4MPa 后进入气化盘管，氯气经气化槽E0108B内的热水（热水温度不得超过 40℃）加热气化（压力 0.15～0.2MPa）后进入缓冲罐V0103B、稳压、除杂（主要除去酸雾和三氯化铁粉尘），然后由氯气总管、支管经转子流量计计量后分别进入氯化反应釜R0201~R0206。在紫外线的照射下，通过支管氯气调节阀控制氯气流量，使氯气与液体石蜡进行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三氯釜R0210液体石蜡经流量计FICQ-0201与调节阀FV-0201调节后依靠溢流分别依次进入氯化反应釜R0201~R0206，氯化反应釜为串联布置。液体石蜡的氯化程度逐渐升高，当氯化反应釜R0206中物料密度达到 1.23～1.25 时为反应终点，将氯化反应釜R0206中物料用循环泵P0207抽入到计量釜R0207计量后泵入脱气釜V0208。在正常生产中，通过支管氯气流量计、氯气调节阀调节氯气流量，通过支管液体石蜡流量计和调节阀调节液体石蜡的流量来控制氯化的程度。氯化反应由紫外线提供能量反应，由于氯化反应是放热反应，达到一定的温度后需用冷却水冷却，通过反应釜温度和循环水调节阀将反应温度控制在 90～95℃，氯化反应釜产生的氯化氢和微量的未反应的氯气进入三氯釜R0110继续与液体石蜡反应。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3）氯化石蜡精制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氯化反应结束后，将计量釜R0207中的物料用泵抽入脱气釜V0208，向脱气釜V0208中通入压缩空气，吹出氯化石蜡中溶解的氯化氢和氯气，吹出的气体送尾气吸收塔T0206处理。吹气结束后，向脱气釜V0208加入稳定剂（乙二醇二缩水甘油醚）即成为氯化石蜡成品，从釜底部经成品泵P0208装桶包装后入库或泵入成品罐V0118A~J。由于稳定剂的用量很少，采用手工加入的方式，即经过计量后，在需要的时候，通过漏斗加入。</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 xml:space="preserve">4）盐酸吸收 </w:t>
      </w:r>
      <w:r>
        <w:rPr>
          <w:rFonts w:hint="eastAsia" w:ascii="宋体" w:hAnsi="宋体" w:eastAsia="宋体" w:cs="宋体"/>
          <w:b/>
          <w:bCs/>
          <w:color w:val="auto"/>
          <w:kern w:val="2"/>
          <w:sz w:val="28"/>
          <w:szCs w:val="28"/>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2"/>
          <w:sz w:val="28"/>
          <w:szCs w:val="28"/>
          <w:highlight w:val="none"/>
          <w:lang w:val="en-US" w:eastAsia="zh-CN" w:bidi="ar-SA"/>
        </w:rPr>
        <w:t>氯化反应产生的副产物氯化氢和微量的氯气依次进入尾气缓冲釜R0212、三氯釜R0210中继续吸收氯化氢和微量的氯气，未被吸收的气体主要为氯化氢，经分离器后进入降膜式吸收塔T0202，用中浓度盐酸吸收氯化氢后，进入二氯釜R0209与液体石蜡反应，尾气进入第二降膜吸收塔T0203用低浓度盐酸吸收氯化氢后，进入一氯釜R0208与液体石蜡反应，然后尾气进入两级喷淋吸收塔T0204~T0205用水吸收，最终氯化工段未吸收完全的少量氯化氢依次进入碱吸收塔T0107A/B、T0108A/B、碱罐V0120A/B吸收后放空；</w:t>
      </w:r>
      <w:r>
        <w:rPr>
          <w:rFonts w:hint="eastAsia" w:ascii="宋体" w:hAnsi="宋体" w:eastAsia="宋体" w:cs="宋体"/>
          <w:b w:val="0"/>
          <w:bCs w:val="0"/>
          <w:color w:val="auto"/>
          <w:kern w:val="2"/>
          <w:sz w:val="28"/>
          <w:szCs w:val="28"/>
          <w:highlight w:val="none"/>
          <w:lang w:val="en-US" w:eastAsia="zh-CN" w:bidi="ar-SA"/>
        </w:rPr>
        <w:t>脱气釜V0108中吹出的氯化氢和氯气进入第三级喷淋吸收塔T0106用水吸收，</w:t>
      </w:r>
      <w:r>
        <w:rPr>
          <w:rFonts w:hint="eastAsia" w:ascii="宋体" w:hAnsi="宋体" w:eastAsia="宋体" w:cs="宋体"/>
          <w:color w:val="auto"/>
          <w:kern w:val="2"/>
          <w:sz w:val="28"/>
          <w:szCs w:val="28"/>
          <w:highlight w:val="none"/>
          <w:lang w:val="en-US" w:eastAsia="zh-CN" w:bidi="ar-SA"/>
        </w:rPr>
        <w:t>最终脱气工段未吸收完全的少量氯化氢依次进入碱吸收塔T0109A/B、T0110A/B、碱罐V0121A/B吸收后放空。水经过逐级吸收氯化氢，盐酸浓度逐渐升高，最终得到的浓度为 31.02%的盐酸进入萃净塔T0201后流入盐酸罐V0112A/B储存，进行出售</w:t>
      </w:r>
      <w:r>
        <w:rPr>
          <w:rFonts w:hint="eastAsia" w:ascii="宋体" w:hAnsi="宋体" w:eastAsia="宋体" w:cs="宋体"/>
          <w:color w:val="auto"/>
          <w:kern w:val="0"/>
          <w:sz w:val="28"/>
          <w:szCs w:val="28"/>
          <w:highlight w:val="none"/>
        </w:rPr>
        <w:t>。</w:t>
      </w:r>
    </w:p>
    <w:bookmarkEnd w:id="115"/>
    <w:bookmarkEnd w:id="116"/>
    <w:bookmarkEnd w:id="117"/>
    <w:bookmarkEnd w:id="118"/>
    <w:p>
      <w:pPr>
        <w:pStyle w:val="7"/>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leftChars="0" w:right="0" w:firstLine="0" w:firstLineChars="0"/>
        <w:jc w:val="left"/>
        <w:textAlignment w:val="auto"/>
        <w:outlineLvl w:val="1"/>
        <w:rPr>
          <w:rFonts w:hint="eastAsia" w:ascii="宋体" w:hAnsi="宋体" w:eastAsia="宋体" w:cs="宋体"/>
          <w:b/>
          <w:bCs/>
          <w:color w:val="auto"/>
          <w:sz w:val="28"/>
          <w:szCs w:val="28"/>
          <w:highlight w:val="none"/>
          <w:u w:val="none"/>
          <w:lang w:val="en-US"/>
        </w:rPr>
      </w:pPr>
      <w:bookmarkStart w:id="134" w:name="_Toc8028"/>
      <w:bookmarkStart w:id="135" w:name="_Toc5088"/>
      <w:r>
        <w:rPr>
          <w:rFonts w:hint="eastAsia" w:ascii="宋体" w:hAnsi="宋体" w:eastAsia="宋体" w:cs="宋体"/>
          <w:b/>
          <w:bCs/>
          <w:color w:val="auto"/>
          <w:sz w:val="28"/>
          <w:szCs w:val="28"/>
          <w:highlight w:val="none"/>
          <w:u w:val="none"/>
          <w:lang w:val="en-US" w:eastAsia="zh-CN"/>
        </w:rPr>
        <w:t>4.3 环境风险防控</w:t>
      </w:r>
      <w:bookmarkEnd w:id="134"/>
      <w:bookmarkEnd w:id="135"/>
    </w:p>
    <w:p>
      <w:pPr>
        <w:keepNext w:val="0"/>
        <w:keepLines w:val="0"/>
        <w:pageBreakBefore w:val="0"/>
        <w:widowControl w:val="0"/>
        <w:tabs>
          <w:tab w:val="left" w:pos="1329"/>
        </w:tabs>
        <w:kinsoku/>
        <w:wordWrap/>
        <w:overflowPunct/>
        <w:topLinePunct w:val="0"/>
        <w:autoSpaceDE w:val="0"/>
        <w:autoSpaceDN w:val="0"/>
        <w:bidi w:val="0"/>
        <w:adjustRightInd/>
        <w:snapToGrid/>
        <w:spacing w:before="0" w:after="0" w:line="360" w:lineRule="auto"/>
        <w:ind w:left="0" w:right="0" w:firstLine="0" w:firstLineChars="0"/>
        <w:jc w:val="center"/>
        <w:textAlignment w:val="auto"/>
        <w:rPr>
          <w:rFonts w:hint="eastAsia" w:ascii="宋体" w:hAnsi="宋体" w:eastAsia="宋体" w:cs="宋体"/>
          <w:b/>
          <w:color w:val="auto"/>
          <w:spacing w:val="0"/>
          <w:sz w:val="28"/>
          <w:szCs w:val="28"/>
          <w:highlight w:val="none"/>
          <w:u w:val="none" w:color="auto"/>
          <w:lang w:eastAsia="zh-CN"/>
        </w:rPr>
      </w:pPr>
      <w:r>
        <w:rPr>
          <w:rFonts w:hint="eastAsia" w:ascii="宋体" w:hAnsi="宋体" w:eastAsia="宋体" w:cs="宋体"/>
          <w:b/>
          <w:color w:val="auto"/>
          <w:spacing w:val="0"/>
          <w:sz w:val="28"/>
          <w:szCs w:val="28"/>
          <w:highlight w:val="none"/>
          <w:u w:val="none" w:color="auto"/>
          <w:lang w:val="en-US" w:eastAsia="zh-CN"/>
        </w:rPr>
        <w:t xml:space="preserve">表4-3 </w:t>
      </w:r>
      <w:r>
        <w:rPr>
          <w:rFonts w:hint="eastAsia" w:ascii="宋体" w:hAnsi="宋体" w:eastAsia="宋体" w:cs="宋体"/>
          <w:b/>
          <w:color w:val="auto"/>
          <w:spacing w:val="0"/>
          <w:sz w:val="28"/>
          <w:szCs w:val="28"/>
          <w:highlight w:val="none"/>
          <w:u w:val="none" w:color="auto"/>
        </w:rPr>
        <w:t>环境风险物质的扩散、防控与应急措施资源情况汇总表</w:t>
      </w:r>
    </w:p>
    <w:tbl>
      <w:tblPr>
        <w:tblStyle w:val="19"/>
        <w:tblW w:w="895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94"/>
        <w:gridCol w:w="2688"/>
        <w:gridCol w:w="47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jc w:val="center"/>
        </w:trPr>
        <w:tc>
          <w:tcPr>
            <w:tcW w:w="1494" w:type="dxa"/>
            <w:tcBorders>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r>
              <w:rPr>
                <w:rFonts w:hint="eastAsia" w:ascii="宋体" w:hAnsi="宋体" w:eastAsia="宋体" w:cs="宋体"/>
                <w:b/>
                <w:color w:val="auto"/>
                <w:sz w:val="24"/>
                <w:szCs w:val="24"/>
                <w:highlight w:val="none"/>
                <w:u w:val="none" w:color="auto"/>
              </w:rPr>
              <w:t>环境风险物质</w:t>
            </w:r>
          </w:p>
        </w:tc>
        <w:tc>
          <w:tcPr>
            <w:tcW w:w="2688" w:type="dxa"/>
            <w:tcBorders>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r>
              <w:rPr>
                <w:rFonts w:hint="eastAsia" w:ascii="宋体" w:hAnsi="宋体" w:eastAsia="宋体" w:cs="宋体"/>
                <w:b/>
                <w:color w:val="auto"/>
                <w:sz w:val="24"/>
                <w:szCs w:val="24"/>
                <w:highlight w:val="none"/>
                <w:u w:val="none" w:color="auto"/>
              </w:rPr>
              <w:t>扩散途径</w:t>
            </w:r>
          </w:p>
        </w:tc>
        <w:tc>
          <w:tcPr>
            <w:tcW w:w="4773" w:type="dxa"/>
            <w:tcBorders>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r>
              <w:rPr>
                <w:rFonts w:hint="eastAsia" w:ascii="宋体" w:hAnsi="宋体" w:eastAsia="宋体" w:cs="宋体"/>
                <w:b/>
                <w:color w:val="auto"/>
                <w:sz w:val="24"/>
                <w:szCs w:val="24"/>
                <w:highlight w:val="none"/>
                <w:u w:val="none" w:color="auto"/>
              </w:rPr>
              <w:t>环境风险防控与应急措施应急资源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1494" w:type="dxa"/>
            <w:tcBorders>
              <w:top w:val="single" w:color="000000" w:sz="8"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p>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液蜡</w:t>
            </w:r>
          </w:p>
        </w:tc>
        <w:tc>
          <w:tcPr>
            <w:tcW w:w="2688" w:type="dxa"/>
            <w:tcBorders>
              <w:top w:val="single" w:color="000000" w:sz="8" w:space="0"/>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液蜡发生泄漏，遇到明火发生火灾，引发次生消防废水等次生污染</w:t>
            </w:r>
          </w:p>
        </w:tc>
        <w:tc>
          <w:tcPr>
            <w:tcW w:w="4773" w:type="dxa"/>
            <w:tcBorders>
              <w:top w:val="single" w:color="000000" w:sz="8" w:space="0"/>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液蜡储罐外围设置有 28m×19.4m×1.2m 高围堰，围堰外设有消防栓、消防泵等措施，同时设置有人工巡检和视频监控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3" w:hRule="atLeast"/>
          <w:jc w:val="center"/>
        </w:trPr>
        <w:tc>
          <w:tcPr>
            <w:tcW w:w="1494" w:type="dxa"/>
            <w:tcBorders>
              <w:top w:val="single" w:color="000000" w:sz="8"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液氯</w:t>
            </w:r>
          </w:p>
        </w:tc>
        <w:tc>
          <w:tcPr>
            <w:tcW w:w="2688" w:type="dxa"/>
            <w:tcBorders>
              <w:top w:val="single" w:color="000000" w:sz="8" w:space="0"/>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液氯泄漏遇水生产氯化氢和</w:t>
            </w:r>
            <w:r>
              <w:rPr>
                <w:rFonts w:hint="eastAsia" w:ascii="宋体" w:hAnsi="宋体" w:eastAsia="宋体" w:cs="宋体"/>
                <w:color w:val="auto"/>
                <w:spacing w:val="-8"/>
                <w:w w:val="95"/>
                <w:sz w:val="24"/>
                <w:szCs w:val="24"/>
                <w:highlight w:val="none"/>
                <w:u w:val="none" w:color="auto"/>
              </w:rPr>
              <w:t>氯气，属于有毒气体，容易造</w:t>
            </w:r>
            <w:r>
              <w:rPr>
                <w:rFonts w:hint="eastAsia" w:ascii="宋体" w:hAnsi="宋体" w:eastAsia="宋体" w:cs="宋体"/>
                <w:color w:val="auto"/>
                <w:spacing w:val="-7"/>
                <w:w w:val="95"/>
                <w:sz w:val="24"/>
                <w:szCs w:val="24"/>
                <w:highlight w:val="none"/>
                <w:u w:val="none" w:color="auto"/>
              </w:rPr>
              <w:t>成周边大气有毒，造成人员中</w:t>
            </w:r>
            <w:r>
              <w:rPr>
                <w:rFonts w:hint="eastAsia" w:ascii="宋体" w:hAnsi="宋体" w:eastAsia="宋体" w:cs="宋体"/>
                <w:color w:val="auto"/>
                <w:sz w:val="24"/>
                <w:szCs w:val="24"/>
                <w:highlight w:val="none"/>
                <w:u w:val="none" w:color="auto"/>
              </w:rPr>
              <w:t>毒</w:t>
            </w:r>
          </w:p>
        </w:tc>
        <w:tc>
          <w:tcPr>
            <w:tcW w:w="4773" w:type="dxa"/>
            <w:tcBorders>
              <w:top w:val="single" w:color="000000" w:sz="8" w:space="0"/>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pacing w:val="-1"/>
                <w:w w:val="95"/>
                <w:sz w:val="24"/>
                <w:szCs w:val="24"/>
                <w:highlight w:val="none"/>
                <w:u w:val="none" w:color="auto"/>
              </w:rPr>
              <w:t>液氯槽车设置在专用的仓库内，仓库入口设置有防侵</w:t>
            </w:r>
            <w:r>
              <w:rPr>
                <w:rFonts w:hint="eastAsia" w:ascii="宋体" w:hAnsi="宋体" w:eastAsia="宋体" w:cs="宋体"/>
                <w:color w:val="auto"/>
                <w:spacing w:val="-3"/>
                <w:w w:val="95"/>
                <w:sz w:val="24"/>
                <w:szCs w:val="24"/>
                <w:highlight w:val="none"/>
                <w:u w:val="none" w:color="auto"/>
              </w:rPr>
              <w:t>入红外装置；库区及汽化区及氯化车间反应釜周边</w:t>
            </w:r>
            <w:r>
              <w:rPr>
                <w:rFonts w:hint="eastAsia" w:ascii="宋体" w:hAnsi="宋体" w:eastAsia="宋体" w:cs="宋体"/>
                <w:color w:val="auto"/>
                <w:spacing w:val="-4"/>
                <w:w w:val="95"/>
                <w:sz w:val="24"/>
                <w:szCs w:val="24"/>
                <w:highlight w:val="none"/>
                <w:u w:val="none" w:color="auto"/>
              </w:rPr>
              <w:t>均安装有毒气体报警装置、监控系统；厂区制定</w:t>
            </w:r>
            <w:r>
              <w:rPr>
                <w:rFonts w:hint="eastAsia" w:ascii="宋体" w:hAnsi="宋体" w:eastAsia="宋体" w:cs="宋体"/>
                <w:color w:val="auto"/>
                <w:spacing w:val="-7"/>
                <w:sz w:val="24"/>
                <w:szCs w:val="24"/>
                <w:highlight w:val="none"/>
                <w:u w:val="none" w:color="auto"/>
              </w:rPr>
              <w:t xml:space="preserve">有相关岗位操作规程，槽车存放库外设置有 </w:t>
            </w:r>
            <w:r>
              <w:rPr>
                <w:rFonts w:hint="eastAsia" w:ascii="宋体" w:hAnsi="宋体" w:eastAsia="宋体" w:cs="宋体"/>
                <w:color w:val="auto"/>
                <w:sz w:val="24"/>
                <w:szCs w:val="24"/>
                <w:highlight w:val="none"/>
                <w:u w:val="none" w:color="auto"/>
              </w:rPr>
              <w:t>2m×4m×1.7m 应急事故收集池和消防器材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jc w:val="center"/>
        </w:trPr>
        <w:tc>
          <w:tcPr>
            <w:tcW w:w="1494" w:type="dxa"/>
            <w:tcBorders>
              <w:top w:val="single" w:color="000000" w:sz="8"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p>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氢氧化钠</w:t>
            </w:r>
          </w:p>
        </w:tc>
        <w:tc>
          <w:tcPr>
            <w:tcW w:w="2688" w:type="dxa"/>
            <w:tcBorders>
              <w:top w:val="single" w:color="000000" w:sz="8" w:space="0"/>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氢氧化钠发生泄漏，造成人员中毒和大气污染、水体污染</w:t>
            </w:r>
          </w:p>
        </w:tc>
        <w:tc>
          <w:tcPr>
            <w:tcW w:w="4773" w:type="dxa"/>
            <w:tcBorders>
              <w:top w:val="single" w:color="000000" w:sz="8" w:space="0"/>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外围设置有12m×8m×1.2m 高围堰</w:t>
            </w:r>
            <w:r>
              <w:rPr>
                <w:rFonts w:hint="eastAsia" w:ascii="宋体" w:hAnsi="宋体" w:eastAsia="宋体" w:cs="宋体"/>
                <w:color w:val="auto"/>
                <w:spacing w:val="-1"/>
                <w:w w:val="95"/>
                <w:sz w:val="24"/>
                <w:szCs w:val="24"/>
                <w:highlight w:val="none"/>
                <w:u w:val="none" w:color="auto"/>
              </w:rPr>
              <w:t>；围堰外设置周围设有氢氧化</w:t>
            </w:r>
            <w:r>
              <w:rPr>
                <w:rFonts w:hint="eastAsia" w:ascii="宋体" w:hAnsi="宋体" w:eastAsia="宋体" w:cs="宋体"/>
                <w:color w:val="auto"/>
                <w:spacing w:val="-2"/>
                <w:w w:val="95"/>
                <w:sz w:val="24"/>
                <w:szCs w:val="24"/>
                <w:highlight w:val="none"/>
                <w:u w:val="none" w:color="auto"/>
              </w:rPr>
              <w:t>钠物化特性警示牌，同时加强人工巡检和视频监控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1494" w:type="dxa"/>
            <w:tcBorders>
              <w:top w:val="single" w:color="000000" w:sz="8"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p>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盐酸</w:t>
            </w:r>
          </w:p>
        </w:tc>
        <w:tc>
          <w:tcPr>
            <w:tcW w:w="2688" w:type="dxa"/>
            <w:tcBorders>
              <w:top w:val="single" w:color="000000" w:sz="8" w:space="0"/>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w w:val="95"/>
                <w:sz w:val="24"/>
                <w:szCs w:val="24"/>
                <w:highlight w:val="none"/>
                <w:u w:val="none" w:color="auto"/>
              </w:rPr>
              <w:t>一旦发生泄漏，容易生产有害气体氯化氢，容易造成周边大</w:t>
            </w:r>
            <w:r>
              <w:rPr>
                <w:rFonts w:hint="eastAsia" w:ascii="宋体" w:hAnsi="宋体" w:eastAsia="宋体" w:cs="宋体"/>
                <w:color w:val="auto"/>
                <w:sz w:val="24"/>
                <w:szCs w:val="24"/>
                <w:highlight w:val="none"/>
                <w:u w:val="none" w:color="auto"/>
              </w:rPr>
              <w:t>气污染，造成人员中毒。</w:t>
            </w:r>
          </w:p>
        </w:tc>
        <w:tc>
          <w:tcPr>
            <w:tcW w:w="4773" w:type="dxa"/>
            <w:tcBorders>
              <w:top w:val="single" w:color="000000" w:sz="8" w:space="0"/>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pacing w:val="-1"/>
                <w:w w:val="95"/>
                <w:sz w:val="24"/>
                <w:szCs w:val="24"/>
                <w:highlight w:val="none"/>
                <w:u w:val="none" w:color="auto"/>
              </w:rPr>
              <w:t>盐酸储槽为半地下式</w:t>
            </w:r>
            <w:r>
              <w:rPr>
                <w:rFonts w:hint="eastAsia" w:ascii="宋体" w:hAnsi="宋体" w:eastAsia="宋体" w:cs="宋体"/>
                <w:color w:val="auto"/>
                <w:spacing w:val="-1"/>
                <w:w w:val="95"/>
                <w:sz w:val="24"/>
                <w:szCs w:val="24"/>
                <w:highlight w:val="none"/>
                <w:u w:val="none" w:color="auto"/>
                <w:lang w:val="en-US"/>
              </w:rPr>
              <w:t>和地上组合</w:t>
            </w:r>
            <w:r>
              <w:rPr>
                <w:rFonts w:hint="eastAsia" w:ascii="宋体" w:hAnsi="宋体" w:eastAsia="宋体" w:cs="宋体"/>
                <w:color w:val="auto"/>
                <w:spacing w:val="-1"/>
                <w:w w:val="95"/>
                <w:sz w:val="24"/>
                <w:szCs w:val="24"/>
                <w:highlight w:val="none"/>
                <w:u w:val="none" w:color="auto"/>
              </w:rPr>
              <w:t>设置；池子周围设有盐酸物化</w:t>
            </w:r>
            <w:r>
              <w:rPr>
                <w:rFonts w:hint="eastAsia" w:ascii="宋体" w:hAnsi="宋体" w:eastAsia="宋体" w:cs="宋体"/>
                <w:color w:val="auto"/>
                <w:spacing w:val="-1"/>
                <w:sz w:val="24"/>
                <w:szCs w:val="24"/>
                <w:highlight w:val="none"/>
                <w:u w:val="none" w:color="auto"/>
              </w:rPr>
              <w:t>特性警示牌，同时设置有人工巡检和视频监控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1494" w:type="dxa"/>
            <w:tcBorders>
              <w:top w:val="single" w:color="000000" w:sz="8"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color w:val="auto"/>
                <w:sz w:val="24"/>
                <w:szCs w:val="24"/>
                <w:highlight w:val="none"/>
                <w:u w:val="none" w:color="auto"/>
              </w:rPr>
            </w:pPr>
          </w:p>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次氯酸钠</w:t>
            </w:r>
          </w:p>
        </w:tc>
        <w:tc>
          <w:tcPr>
            <w:tcW w:w="2688" w:type="dxa"/>
            <w:tcBorders>
              <w:top w:val="single" w:color="000000" w:sz="8" w:space="0"/>
              <w:left w:val="single" w:color="000000" w:sz="4" w:space="0"/>
              <w:bottom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发生泄漏，造成人员受伤和大气污染、水体污染</w:t>
            </w:r>
          </w:p>
        </w:tc>
        <w:tc>
          <w:tcPr>
            <w:tcW w:w="4773" w:type="dxa"/>
            <w:tcBorders>
              <w:top w:val="single" w:color="000000" w:sz="8" w:space="0"/>
              <w:left w:val="single" w:color="000000" w:sz="4" w:space="0"/>
              <w:bottom w:val="single" w:color="000000" w:sz="8"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pacing w:val="-10"/>
                <w:sz w:val="24"/>
                <w:szCs w:val="24"/>
                <w:highlight w:val="none"/>
                <w:u w:val="none" w:color="auto"/>
              </w:rPr>
              <w:t xml:space="preserve">外围设置有 </w:t>
            </w:r>
            <w:r>
              <w:rPr>
                <w:rFonts w:hint="eastAsia" w:ascii="宋体" w:hAnsi="宋体" w:eastAsia="宋体" w:cs="宋体"/>
                <w:color w:val="auto"/>
                <w:sz w:val="24"/>
                <w:szCs w:val="24"/>
                <w:highlight w:val="none"/>
                <w:u w:val="none" w:color="auto"/>
              </w:rPr>
              <w:t xml:space="preserve">12m×8m×1.2m </w:t>
            </w:r>
            <w:r>
              <w:rPr>
                <w:rFonts w:hint="eastAsia" w:ascii="宋体" w:hAnsi="宋体" w:eastAsia="宋体" w:cs="宋体"/>
                <w:color w:val="auto"/>
                <w:spacing w:val="-10"/>
                <w:sz w:val="24"/>
                <w:szCs w:val="24"/>
                <w:highlight w:val="none"/>
                <w:u w:val="none" w:color="auto"/>
              </w:rPr>
              <w:t>高围堰；围堰外设置</w:t>
            </w:r>
            <w:r>
              <w:rPr>
                <w:rFonts w:hint="eastAsia" w:ascii="宋体" w:hAnsi="宋体" w:eastAsia="宋体" w:cs="宋体"/>
                <w:color w:val="auto"/>
                <w:spacing w:val="-10"/>
                <w:w w:val="95"/>
                <w:sz w:val="24"/>
                <w:szCs w:val="24"/>
                <w:highlight w:val="none"/>
                <w:u w:val="none" w:color="auto"/>
              </w:rPr>
              <w:t>有次氯酸钠物化特性警示牌，同时加强人工</w:t>
            </w:r>
            <w:r>
              <w:rPr>
                <w:rFonts w:hint="eastAsia" w:ascii="宋体" w:hAnsi="宋体" w:eastAsia="宋体" w:cs="宋体"/>
                <w:color w:val="auto"/>
                <w:sz w:val="24"/>
                <w:szCs w:val="24"/>
                <w:highlight w:val="none"/>
                <w:u w:val="none" w:color="auto"/>
              </w:rPr>
              <w:t>巡检和视频监控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1494" w:type="dxa"/>
            <w:tcBorders>
              <w:top w:val="single" w:color="000000" w:sz="8"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氯化石蜡</w:t>
            </w:r>
          </w:p>
        </w:tc>
        <w:tc>
          <w:tcPr>
            <w:tcW w:w="2688" w:type="dxa"/>
            <w:tcBorders>
              <w:top w:val="single" w:color="000000" w:sz="8" w:space="0"/>
              <w:left w:val="single" w:color="000000" w:sz="4"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一旦发生泄漏，造成人员水体污染</w:t>
            </w:r>
          </w:p>
        </w:tc>
        <w:tc>
          <w:tcPr>
            <w:tcW w:w="4773" w:type="dxa"/>
            <w:tcBorders>
              <w:top w:val="single" w:color="000000" w:sz="8" w:space="0"/>
              <w:lef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highlight w:val="none"/>
                <w:u w:val="none" w:color="auto"/>
              </w:rPr>
            </w:pPr>
            <w:r>
              <w:rPr>
                <w:rFonts w:hint="eastAsia" w:ascii="宋体" w:hAnsi="宋体" w:eastAsia="宋体" w:cs="宋体"/>
                <w:color w:val="auto"/>
                <w:sz w:val="24"/>
                <w:szCs w:val="24"/>
                <w:highlight w:val="none"/>
                <w:u w:val="none" w:color="auto"/>
              </w:rPr>
              <w:t>储罐周围设有1.2m 高围堰，同时设置有人工巡检和视频监控</w:t>
            </w:r>
          </w:p>
        </w:tc>
      </w:tr>
    </w:tbl>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left"/>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本企业各个储槽外围均设置有围堰和人工巡查制度，各个罐体基本位于地坑内，地坑底部和四周采用防腐防渗材料，所以储罐泄漏一般不会产生较大风险；且厂区内配备有足够量的消防沙、覆盖材料、灭火器材等，可以保证第一时间能够使用，一旦有液体物流发生泄漏，可以迅速的将泄漏物导入事故池内，然后泵送至厂内自建污水处理站；不会外流逸散影响水环境及土壤，可防止事故的扩大和延伸；厂区设置有微型消防站，站内配备有防毒面具、防酸碱服及手套等防护措施，以备抢修、营救使用。各个车间配备医药箱，医药箱内有生理盐水、创可贴等急救药品，以备应急救援使用。</w:t>
      </w:r>
    </w:p>
    <w:p>
      <w:pPr>
        <w:pStyle w:val="7"/>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textAlignment w:val="auto"/>
        <w:rPr>
          <w:rFonts w:hint="eastAsia" w:ascii="宋体" w:hAnsi="宋体" w:eastAsia="宋体" w:cs="宋体"/>
          <w:color w:val="auto"/>
          <w:spacing w:val="0"/>
          <w:sz w:val="28"/>
          <w:szCs w:val="28"/>
          <w:highlight w:val="none"/>
          <w:u w:val="none" w:color="auto"/>
        </w:rPr>
      </w:pPr>
      <w:bookmarkStart w:id="136" w:name="第五章  现有环境风险防控及应急措施差距分析"/>
      <w:bookmarkEnd w:id="136"/>
      <w:r>
        <w:rPr>
          <w:rFonts w:hint="eastAsia" w:ascii="宋体" w:hAnsi="宋体" w:eastAsia="宋体" w:cs="宋体"/>
          <w:color w:val="auto"/>
          <w:spacing w:val="0"/>
          <w:sz w:val="28"/>
          <w:szCs w:val="28"/>
          <w:highlight w:val="none"/>
          <w:u w:val="none" w:color="auto"/>
        </w:rPr>
        <w:t>综合上述分析，根据环境风险物质的释放扩散途径，本厂环境风险物质可引发的突发环境事件主要为大气环境突发环境事件、水环境突发环境事件以及其它突发环境事件。</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37" w:name="_Toc4146"/>
      <w:r>
        <w:rPr>
          <w:rFonts w:hint="eastAsia" w:ascii="宋体" w:hAnsi="宋体" w:eastAsia="宋体" w:cs="宋体"/>
          <w:b/>
          <w:bCs/>
          <w:kern w:val="2"/>
          <w:sz w:val="28"/>
          <w:szCs w:val="32"/>
          <w:lang w:val="en-US" w:eastAsia="zh-CN" w:bidi="ar-SA"/>
        </w:rPr>
        <w:t>4.4企业总平面布置</w:t>
      </w:r>
      <w:bookmarkEnd w:id="119"/>
      <w:bookmarkEnd w:id="120"/>
      <w:bookmarkEnd w:id="137"/>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left"/>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lang w:val="zh-CN" w:eastAsia="zh-CN"/>
        </w:rPr>
        <w:t>三门峡鸿腾精细化工有限公司</w:t>
      </w:r>
      <w:r>
        <w:rPr>
          <w:rFonts w:hint="eastAsia" w:ascii="宋体" w:hAnsi="宋体" w:eastAsia="宋体" w:cs="宋体"/>
          <w:color w:val="auto"/>
          <w:spacing w:val="0"/>
          <w:sz w:val="28"/>
          <w:szCs w:val="28"/>
          <w:highlight w:val="none"/>
          <w:u w:val="none" w:color="auto"/>
        </w:rPr>
        <w:t>用地性质为</w:t>
      </w:r>
      <w:r>
        <w:rPr>
          <w:rFonts w:hint="eastAsia" w:ascii="宋体" w:hAnsi="宋体" w:eastAsia="宋体" w:cs="宋体"/>
          <w:color w:val="auto"/>
          <w:spacing w:val="0"/>
          <w:sz w:val="28"/>
          <w:szCs w:val="28"/>
          <w:highlight w:val="none"/>
          <w:u w:val="none" w:color="auto"/>
          <w:lang w:val="en-US" w:eastAsia="zh-CN"/>
        </w:rPr>
        <w:t>三类</w:t>
      </w:r>
      <w:r>
        <w:rPr>
          <w:rFonts w:hint="eastAsia" w:ascii="宋体" w:hAnsi="宋体" w:eastAsia="宋体" w:cs="宋体"/>
          <w:color w:val="auto"/>
          <w:spacing w:val="0"/>
          <w:sz w:val="28"/>
          <w:szCs w:val="28"/>
          <w:highlight w:val="none"/>
          <w:u w:val="none" w:color="auto"/>
        </w:rPr>
        <w:t>工业用地</w:t>
      </w:r>
      <w:r>
        <w:rPr>
          <w:rFonts w:hint="eastAsia" w:ascii="宋体" w:hAnsi="宋体" w:eastAsia="宋体" w:cs="宋体"/>
          <w:color w:val="auto"/>
          <w:spacing w:val="0"/>
          <w:sz w:val="28"/>
          <w:szCs w:val="28"/>
          <w:highlight w:val="none"/>
          <w:u w:val="none" w:color="auto"/>
          <w:lang w:eastAsia="zh-CN"/>
        </w:rPr>
        <w:t>，</w:t>
      </w:r>
      <w:r>
        <w:rPr>
          <w:rFonts w:hint="eastAsia" w:ascii="宋体" w:hAnsi="宋体" w:eastAsia="宋体" w:cs="宋体"/>
          <w:color w:val="auto"/>
          <w:spacing w:val="0"/>
          <w:sz w:val="28"/>
          <w:szCs w:val="28"/>
          <w:highlight w:val="none"/>
          <w:u w:val="none" w:color="auto"/>
          <w:lang w:val="en-US" w:eastAsia="zh-CN"/>
        </w:rPr>
        <w:t>项目</w:t>
      </w:r>
      <w:r>
        <w:rPr>
          <w:rFonts w:hint="eastAsia" w:ascii="宋体" w:hAnsi="宋体" w:eastAsia="宋体" w:cs="宋体"/>
          <w:color w:val="auto"/>
          <w:spacing w:val="0"/>
          <w:sz w:val="28"/>
          <w:szCs w:val="28"/>
          <w:highlight w:val="none"/>
          <w:u w:val="none" w:color="auto"/>
        </w:rPr>
        <w:t>总平面布置见附图</w:t>
      </w:r>
      <w:r>
        <w:rPr>
          <w:rFonts w:hint="eastAsia" w:ascii="宋体" w:hAnsi="宋体" w:eastAsia="宋体" w:cs="宋体"/>
          <w:color w:val="auto"/>
          <w:spacing w:val="0"/>
          <w:sz w:val="28"/>
          <w:szCs w:val="28"/>
          <w:highlight w:val="none"/>
          <w:u w:val="none" w:color="auto"/>
          <w:lang w:val="en-US" w:eastAsia="zh-CN"/>
        </w:rPr>
        <w:t>2</w:t>
      </w:r>
      <w:r>
        <w:rPr>
          <w:rFonts w:hint="eastAsia" w:ascii="宋体" w:hAnsi="宋体" w:eastAsia="宋体" w:cs="宋体"/>
          <w:color w:val="auto"/>
          <w:spacing w:val="0"/>
          <w:sz w:val="28"/>
          <w:szCs w:val="28"/>
          <w:highlight w:val="none"/>
          <w:u w:val="none" w:color="auto"/>
        </w:rPr>
        <w:t>。</w:t>
      </w:r>
    </w:p>
    <w:p>
      <w:pPr>
        <w:pStyle w:val="4"/>
        <w:outlineLvl w:val="1"/>
        <w:rPr>
          <w:rFonts w:hint="eastAsia" w:ascii="宋体" w:hAnsi="宋体" w:eastAsia="宋体" w:cs="宋体"/>
          <w:color w:val="auto"/>
          <w:highlight w:val="none"/>
        </w:rPr>
      </w:pPr>
      <w:bookmarkStart w:id="138" w:name="_Toc19831"/>
      <w:r>
        <w:rPr>
          <w:rFonts w:hint="eastAsia" w:ascii="宋体" w:hAnsi="宋体" w:eastAsia="宋体" w:cs="宋体"/>
          <w:b/>
          <w:bCs/>
          <w:kern w:val="2"/>
          <w:sz w:val="28"/>
          <w:szCs w:val="32"/>
          <w:lang w:val="en-US" w:eastAsia="zh-CN" w:bidi="ar-SA"/>
        </w:rPr>
        <w:t>4.</w:t>
      </w:r>
      <w:bookmarkEnd w:id="121"/>
      <w:bookmarkEnd w:id="122"/>
      <w:bookmarkEnd w:id="123"/>
      <w:bookmarkEnd w:id="124"/>
      <w:bookmarkEnd w:id="125"/>
      <w:bookmarkEnd w:id="126"/>
      <w:bookmarkEnd w:id="127"/>
      <w:bookmarkEnd w:id="128"/>
      <w:bookmarkEnd w:id="129"/>
      <w:bookmarkEnd w:id="130"/>
      <w:bookmarkEnd w:id="131"/>
      <w:bookmarkEnd w:id="132"/>
      <w:bookmarkEnd w:id="133"/>
      <w:r>
        <w:rPr>
          <w:rFonts w:hint="eastAsia" w:ascii="宋体" w:hAnsi="宋体" w:eastAsia="宋体" w:cs="宋体"/>
          <w:b/>
          <w:bCs/>
          <w:kern w:val="2"/>
          <w:sz w:val="28"/>
          <w:szCs w:val="32"/>
          <w:lang w:val="en-US" w:eastAsia="zh-CN" w:bidi="ar-SA"/>
        </w:rPr>
        <w:t>5各重点场所、重点设施设备情况</w:t>
      </w:r>
      <w:bookmarkEnd w:id="138"/>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left"/>
        <w:textAlignment w:val="auto"/>
        <w:rPr>
          <w:rFonts w:hint="eastAsia" w:ascii="宋体" w:hAnsi="宋体" w:eastAsia="宋体" w:cs="宋体"/>
          <w:color w:val="auto"/>
          <w:spacing w:val="0"/>
          <w:sz w:val="28"/>
          <w:szCs w:val="28"/>
          <w:highlight w:val="none"/>
          <w:u w:val="none" w:color="auto"/>
          <w:lang w:val="en-US" w:eastAsia="zh-CN"/>
        </w:rPr>
      </w:pPr>
      <w:r>
        <w:rPr>
          <w:rFonts w:hint="eastAsia" w:ascii="宋体" w:hAnsi="宋体" w:eastAsia="宋体" w:cs="宋体"/>
          <w:color w:val="auto"/>
          <w:spacing w:val="0"/>
          <w:sz w:val="28"/>
          <w:szCs w:val="28"/>
          <w:highlight w:val="none"/>
          <w:u w:val="none" w:color="auto"/>
          <w:lang w:val="zh-CN" w:eastAsia="zh-CN"/>
        </w:rPr>
        <w:t>通过上述分析及设备设施情况的了解，确定该企业</w:t>
      </w:r>
      <w:r>
        <w:rPr>
          <w:rFonts w:hint="eastAsia" w:ascii="宋体" w:hAnsi="宋体" w:eastAsia="宋体" w:cs="宋体"/>
          <w:color w:val="auto"/>
          <w:spacing w:val="0"/>
          <w:sz w:val="28"/>
          <w:szCs w:val="28"/>
          <w:highlight w:val="none"/>
          <w:u w:val="none" w:color="auto"/>
          <w:lang w:val="en-US" w:eastAsia="zh-CN"/>
        </w:rPr>
        <w:t>成品仓库、液氯气化区、应急罐、液氯槽车区、液蜡罐区、盐酸罐区、氯化车间、盐酸吸收区、烧碱、成品次氯酸钠区、消防罐区等为重点区域。</w:t>
      </w:r>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left"/>
        <w:textAlignment w:val="auto"/>
        <w:rPr>
          <w:rFonts w:hint="eastAsia" w:ascii="宋体" w:hAnsi="宋体" w:eastAsia="宋体" w:cs="宋体"/>
          <w:color w:val="auto"/>
          <w:sz w:val="28"/>
          <w:highlight w:val="none"/>
        </w:rPr>
      </w:pPr>
      <w:r>
        <w:rPr>
          <w:rFonts w:hint="eastAsia" w:ascii="宋体" w:hAnsi="宋体" w:eastAsia="宋体" w:cs="宋体"/>
          <w:color w:val="auto"/>
          <w:spacing w:val="0"/>
          <w:sz w:val="28"/>
          <w:szCs w:val="28"/>
          <w:highlight w:val="none"/>
          <w:u w:val="none" w:color="auto"/>
          <w:lang w:val="en-US" w:eastAsia="zh-CN"/>
        </w:rPr>
        <w:t>通过前期调查过程和对资料进行分析、总结和评价，根据各区域及设施信息、特征污染物类型、污染物进入土壤和地</w:t>
      </w:r>
      <w:r>
        <w:rPr>
          <w:rFonts w:hint="eastAsia" w:ascii="宋体" w:hAnsi="宋体" w:eastAsia="宋体" w:cs="宋体"/>
          <w:color w:val="auto"/>
          <w:spacing w:val="0"/>
          <w:sz w:val="28"/>
          <w:szCs w:val="28"/>
          <w:highlight w:val="none"/>
          <w:u w:val="none" w:color="auto"/>
          <w:lang w:val="zh-CN" w:eastAsia="zh-CN"/>
        </w:rPr>
        <w:t>下水的途径等，识别企业内部存在土壤及地下水污染隐患的区域及设施，记录重点区域及设施相关信息。它们在生产经营活动中产生的污染物经大气流动、渗透、沉降到地面，可能对附近土壤造成污染详细见表</w:t>
      </w:r>
      <w:r>
        <w:rPr>
          <w:rFonts w:hint="eastAsia" w:ascii="宋体" w:hAnsi="宋体" w:eastAsia="宋体" w:cs="宋体"/>
          <w:color w:val="auto"/>
          <w:spacing w:val="0"/>
          <w:sz w:val="28"/>
          <w:szCs w:val="28"/>
          <w:highlight w:val="none"/>
          <w:u w:val="none" w:color="auto"/>
          <w:lang w:val="en-US" w:eastAsia="zh-CN"/>
        </w:rPr>
        <w:t>4-4</w:t>
      </w:r>
      <w:r>
        <w:rPr>
          <w:rFonts w:hint="eastAsia" w:ascii="宋体" w:hAnsi="宋体" w:eastAsia="宋体" w:cs="宋体"/>
          <w:color w:val="auto"/>
          <w:spacing w:val="0"/>
          <w:sz w:val="28"/>
          <w:szCs w:val="28"/>
          <w:highlight w:val="none"/>
          <w:u w:val="none" w:color="auto"/>
          <w:lang w:val="zh-CN" w:eastAsia="zh-CN"/>
        </w:rPr>
        <w:t>。</w:t>
      </w:r>
    </w:p>
    <w:p>
      <w:pPr>
        <w:widowControl w:val="0"/>
        <w:spacing w:line="520" w:lineRule="exact"/>
        <w:ind w:left="0" w:firstLine="0"/>
        <w:jc w:val="center"/>
        <w:outlineLvl w:val="9"/>
        <w:rPr>
          <w:rFonts w:hint="eastAsia" w:ascii="宋体" w:hAnsi="宋体" w:eastAsia="宋体" w:cs="宋体"/>
          <w:b/>
          <w:bCs/>
          <w:color w:val="auto"/>
          <w:kern w:val="2"/>
          <w:sz w:val="32"/>
          <w:szCs w:val="32"/>
          <w:lang w:val="zh-CN" w:eastAsia="zh-CN" w:bidi="zh-CN"/>
        </w:rPr>
      </w:pPr>
      <w:bookmarkStart w:id="139" w:name="_Toc17448"/>
      <w:bookmarkStart w:id="140" w:name="_Toc5401"/>
      <w:r>
        <w:rPr>
          <w:rFonts w:hint="eastAsia" w:ascii="宋体" w:hAnsi="宋体" w:eastAsia="宋体" w:cs="宋体"/>
          <w:b/>
          <w:bCs/>
          <w:kern w:val="2"/>
          <w:sz w:val="24"/>
          <w:szCs w:val="24"/>
          <w:lang w:val="zh-CN" w:eastAsia="zh-CN" w:bidi="zh-CN"/>
        </w:rPr>
        <w:t>表4-</w:t>
      </w:r>
      <w:r>
        <w:rPr>
          <w:rFonts w:hint="eastAsia" w:ascii="宋体" w:hAnsi="宋体" w:eastAsia="宋体" w:cs="宋体"/>
          <w:b/>
          <w:bCs/>
          <w:kern w:val="2"/>
          <w:sz w:val="24"/>
          <w:szCs w:val="24"/>
          <w:lang w:val="en-US" w:eastAsia="zh-CN" w:bidi="zh-CN"/>
        </w:rPr>
        <w:t>4</w:t>
      </w:r>
      <w:r>
        <w:rPr>
          <w:rFonts w:hint="eastAsia" w:ascii="宋体" w:hAnsi="宋体" w:eastAsia="宋体" w:cs="宋体"/>
          <w:b/>
          <w:bCs/>
          <w:kern w:val="2"/>
          <w:sz w:val="24"/>
          <w:szCs w:val="24"/>
          <w:lang w:val="zh-CN" w:eastAsia="zh-CN" w:bidi="zh-CN"/>
        </w:rPr>
        <w:t>重点场所及重点设备清单</w:t>
      </w:r>
      <w:bookmarkEnd w:id="139"/>
      <w:bookmarkEnd w:id="140"/>
    </w:p>
    <w:tbl>
      <w:tblPr>
        <w:tblStyle w:val="19"/>
        <w:tblW w:w="50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1071"/>
        <w:gridCol w:w="1234"/>
        <w:gridCol w:w="764"/>
        <w:gridCol w:w="826"/>
        <w:gridCol w:w="1288"/>
        <w:gridCol w:w="779"/>
        <w:gridCol w:w="742"/>
        <w:gridCol w:w="474"/>
        <w:gridCol w:w="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企业名称</w:t>
            </w:r>
          </w:p>
        </w:tc>
        <w:tc>
          <w:tcPr>
            <w:tcW w:w="4627"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三门峡鸿腾精细化工有限公司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填写日期</w:t>
            </w:r>
          </w:p>
        </w:tc>
        <w:tc>
          <w:tcPr>
            <w:tcW w:w="178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2023年6月</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填报人员</w:t>
            </w:r>
          </w:p>
        </w:tc>
        <w:tc>
          <w:tcPr>
            <w:tcW w:w="7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马明明</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联系方式</w:t>
            </w:r>
          </w:p>
        </w:tc>
        <w:tc>
          <w:tcPr>
            <w:tcW w:w="116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13663981451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7"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序号</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单元内需要检测的重点场所</w:t>
            </w:r>
          </w:p>
        </w:tc>
        <w:tc>
          <w:tcPr>
            <w:tcW w:w="7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功能（即该重点场所</w:t>
            </w:r>
            <w:r>
              <w:rPr>
                <w:rFonts w:hint="eastAsia" w:ascii="宋体" w:hAnsi="宋体" w:eastAsia="宋体" w:cs="宋体"/>
                <w:color w:val="auto"/>
                <w:sz w:val="21"/>
                <w:szCs w:val="21"/>
                <w:highlight w:val="none"/>
                <w:u w:val="none"/>
                <w:lang w:val="en-US" w:eastAsia="zh-CN"/>
              </w:rPr>
              <w:t>/设施/设备实际的生产活动</w:t>
            </w:r>
            <w:r>
              <w:rPr>
                <w:rFonts w:hint="eastAsia" w:ascii="宋体" w:hAnsi="宋体" w:eastAsia="宋体" w:cs="宋体"/>
                <w:color w:val="auto"/>
                <w:sz w:val="21"/>
                <w:szCs w:val="21"/>
                <w:highlight w:val="none"/>
                <w:u w:val="none"/>
                <w:lang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涉及有毒有害物质清单</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关注污染物</w:t>
            </w:r>
          </w:p>
        </w:tc>
        <w:tc>
          <w:tcPr>
            <w:tcW w:w="7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设施坐标</w:t>
            </w:r>
          </w:p>
        </w:tc>
        <w:tc>
          <w:tcPr>
            <w:tcW w:w="45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是否为隐蔽性设施</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单元类别</w:t>
            </w:r>
          </w:p>
        </w:tc>
        <w:tc>
          <w:tcPr>
            <w:tcW w:w="73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该单元对应的检测测点位编号及坐标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72" w:type="pct"/>
            <w:vMerge w:val="restar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eastAsia="zh-CN"/>
              </w:rPr>
              <w:t>单元</w:t>
            </w:r>
            <w:r>
              <w:rPr>
                <w:rFonts w:hint="eastAsia" w:ascii="宋体" w:hAnsi="宋体" w:eastAsia="宋体" w:cs="宋体"/>
                <w:color w:val="auto"/>
                <w:sz w:val="21"/>
                <w:szCs w:val="21"/>
                <w:highlight w:val="none"/>
                <w:u w:val="none"/>
                <w:lang w:val="en-US" w:eastAsia="zh-CN"/>
              </w:rPr>
              <w:t>A</w:t>
            </w:r>
          </w:p>
        </w:tc>
        <w:tc>
          <w:tcPr>
            <w:tcW w:w="621"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成品仓库</w:t>
            </w:r>
          </w:p>
        </w:tc>
        <w:tc>
          <w:tcPr>
            <w:tcW w:w="716" w:type="pct"/>
            <w:noWrap w:val="0"/>
            <w:vAlign w:val="center"/>
          </w:tcPr>
          <w:p>
            <w:pPr>
              <w:numPr>
                <w:ilvl w:val="0"/>
                <w:numId w:val="0"/>
              </w:numPr>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成品仓库</w:t>
            </w:r>
          </w:p>
        </w:tc>
        <w:tc>
          <w:tcPr>
            <w:tcW w:w="443"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47"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27.039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11.393</w:t>
            </w:r>
            <w:r>
              <w:rPr>
                <w:rFonts w:hint="eastAsia" w:ascii="宋体" w:hAnsi="宋体" w:eastAsia="宋体" w:cs="宋体"/>
                <w:color w:val="auto"/>
                <w:kern w:val="0"/>
                <w:sz w:val="21"/>
                <w:szCs w:val="21"/>
                <w:highlight w:val="none"/>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二类</w:t>
            </w:r>
          </w:p>
        </w:tc>
        <w:tc>
          <w:tcPr>
            <w:tcW w:w="275" w:type="pct"/>
            <w:vMerge w:val="restar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土壤</w:t>
            </w:r>
          </w:p>
        </w:tc>
        <w:tc>
          <w:tcPr>
            <w:tcW w:w="46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72"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621"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液氯气化区、应急罐、液氯槽车区</w:t>
            </w:r>
          </w:p>
        </w:tc>
        <w:tc>
          <w:tcPr>
            <w:tcW w:w="716"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液氯气化区、应急罐、液氯槽车区</w:t>
            </w:r>
          </w:p>
        </w:tc>
        <w:tc>
          <w:tcPr>
            <w:tcW w:w="443" w:type="pct"/>
            <w:noWrap w:val="0"/>
            <w:vAlign w:val="center"/>
          </w:tcPr>
          <w:p>
            <w:pPr>
              <w:numPr>
                <w:ilvl w:val="0"/>
                <w:numId w:val="0"/>
              </w:numPr>
              <w:spacing w:line="240" w:lineRule="auto"/>
              <w:ind w:left="0" w:leftChars="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tabs>
                <w:tab w:val="center" w:pos="395"/>
                <w:tab w:val="left" w:pos="531"/>
              </w:tabs>
              <w:kinsoku/>
              <w:wordWrap/>
              <w:overflowPunct/>
              <w:topLinePunct w:val="0"/>
              <w:autoSpaceDE/>
              <w:autoSpaceDN/>
              <w:bidi w:val="0"/>
              <w:adjustRightInd/>
              <w:snapToGrid/>
              <w:spacing w:line="280" w:lineRule="exact"/>
              <w:ind w:left="0" w:leftChars="0" w:right="0" w:rightChars="0" w:firstLine="0" w:firstLineChars="0"/>
              <w:jc w:val="left"/>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氯气</w:t>
            </w:r>
          </w:p>
        </w:tc>
        <w:tc>
          <w:tcPr>
            <w:tcW w:w="747"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27.674</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8.573</w:t>
            </w:r>
            <w:r>
              <w:rPr>
                <w:rFonts w:hint="eastAsia" w:ascii="宋体" w:hAnsi="宋体" w:eastAsia="宋体" w:cs="宋体"/>
                <w:color w:val="auto"/>
                <w:kern w:val="0"/>
                <w:sz w:val="21"/>
                <w:szCs w:val="21"/>
                <w:highlight w:val="none"/>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46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372"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621" w:type="pct"/>
            <w:noWrap w:val="0"/>
            <w:vAlign w:val="center"/>
          </w:tcPr>
          <w:p>
            <w:pPr>
              <w:spacing w:line="360" w:lineRule="exact"/>
              <w:ind w:left="0" w:leftChars="0" w:firstLine="0" w:firstLineChars="0"/>
              <w:jc w:val="both"/>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液蜡罐区</w:t>
            </w:r>
          </w:p>
        </w:tc>
        <w:tc>
          <w:tcPr>
            <w:tcW w:w="716" w:type="pct"/>
            <w:noWrap w:val="0"/>
            <w:vAlign w:val="center"/>
          </w:tcPr>
          <w:p>
            <w:pPr>
              <w:numPr>
                <w:ilvl w:val="0"/>
                <w:numId w:val="0"/>
              </w:numPr>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液蜡罐区</w:t>
            </w:r>
          </w:p>
        </w:tc>
        <w:tc>
          <w:tcPr>
            <w:tcW w:w="443"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w:t>
            </w:r>
          </w:p>
        </w:tc>
        <w:tc>
          <w:tcPr>
            <w:tcW w:w="747"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28.865</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9.317</w:t>
            </w:r>
            <w:r>
              <w:rPr>
                <w:rFonts w:hint="eastAsia" w:ascii="宋体" w:hAnsi="宋体" w:eastAsia="宋体" w:cs="宋体"/>
                <w:color w:val="auto"/>
                <w:kern w:val="0"/>
                <w:sz w:val="21"/>
                <w:szCs w:val="21"/>
                <w:highlight w:val="none"/>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46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1" w:hRule="atLeast"/>
          <w:jc w:val="center"/>
        </w:trPr>
        <w:tc>
          <w:tcPr>
            <w:tcW w:w="372"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621"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盐酸罐区</w:t>
            </w:r>
          </w:p>
        </w:tc>
        <w:tc>
          <w:tcPr>
            <w:tcW w:w="716" w:type="pct"/>
            <w:noWrap w:val="0"/>
            <w:vAlign w:val="center"/>
          </w:tcPr>
          <w:p>
            <w:pPr>
              <w:numPr>
                <w:ilvl w:val="0"/>
                <w:numId w:val="0"/>
              </w:numPr>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盐酸罐区</w:t>
            </w:r>
          </w:p>
        </w:tc>
        <w:tc>
          <w:tcPr>
            <w:tcW w:w="443"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氯化氢</w:t>
            </w:r>
          </w:p>
        </w:tc>
        <w:tc>
          <w:tcPr>
            <w:tcW w:w="747"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25.959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12.402</w:t>
            </w:r>
            <w:r>
              <w:rPr>
                <w:rFonts w:hint="eastAsia" w:ascii="宋体" w:hAnsi="宋体" w:eastAsia="宋体" w:cs="宋体"/>
                <w:color w:val="auto"/>
                <w:kern w:val="0"/>
                <w:sz w:val="21"/>
                <w:szCs w:val="21"/>
                <w:highlight w:val="none"/>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46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72"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621"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u w:val="none"/>
              </w:rPr>
              <w:t>土壤背景监测点</w:t>
            </w:r>
          </w:p>
        </w:tc>
        <w:tc>
          <w:tcPr>
            <w:tcW w:w="716" w:type="pct"/>
            <w:noWrap w:val="0"/>
            <w:vAlign w:val="center"/>
          </w:tcPr>
          <w:p>
            <w:pPr>
              <w:numPr>
                <w:ilvl w:val="0"/>
                <w:numId w:val="0"/>
              </w:numPr>
              <w:spacing w:line="240" w:lineRule="auto"/>
              <w:ind w:left="0" w:lef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土壤背景监测点</w:t>
            </w:r>
          </w:p>
        </w:tc>
        <w:tc>
          <w:tcPr>
            <w:tcW w:w="443"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47" w:type="pct"/>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26.849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13.623</w:t>
            </w:r>
            <w:r>
              <w:rPr>
                <w:rFonts w:hint="eastAsia" w:ascii="宋体" w:hAnsi="宋体" w:eastAsia="宋体" w:cs="宋体"/>
                <w:color w:val="auto"/>
                <w:kern w:val="0"/>
                <w:sz w:val="21"/>
                <w:szCs w:val="21"/>
                <w:highlight w:val="none"/>
              </w:rPr>
              <w:t>''</w:t>
            </w:r>
          </w:p>
        </w:tc>
        <w:tc>
          <w:tcPr>
            <w:tcW w:w="452"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二类</w:t>
            </w:r>
          </w:p>
        </w:tc>
        <w:tc>
          <w:tcPr>
            <w:tcW w:w="275" w:type="pct"/>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rPr>
            </w:pPr>
          </w:p>
        </w:tc>
        <w:tc>
          <w:tcPr>
            <w:tcW w:w="460" w:type="pct"/>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w:t>
            </w:r>
          </w:p>
        </w:tc>
      </w:tr>
    </w:tbl>
    <w:p>
      <w:pPr>
        <w:rPr>
          <w:rFonts w:hint="eastAsia" w:ascii="宋体" w:hAnsi="宋体" w:eastAsia="宋体" w:cs="宋体"/>
          <w:color w:val="auto"/>
          <w:highlight w:val="none"/>
          <w:lang w:bidi="ar"/>
        </w:rPr>
      </w:pPr>
    </w:p>
    <w:p>
      <w:pPr>
        <w:rPr>
          <w:rFonts w:hint="eastAsia" w:ascii="宋体" w:hAnsi="宋体" w:eastAsia="宋体" w:cs="宋体"/>
          <w:b/>
          <w:bCs/>
          <w:kern w:val="2"/>
          <w:sz w:val="32"/>
          <w:szCs w:val="32"/>
          <w:lang w:val="en-US" w:eastAsia="zh-CN" w:bidi="zh-CN"/>
        </w:rPr>
      </w:pPr>
      <w:bookmarkStart w:id="141" w:name="_Toc107924576"/>
      <w:bookmarkStart w:id="142" w:name="_Toc1177"/>
      <w:bookmarkStart w:id="143" w:name="_Toc24362"/>
      <w:bookmarkStart w:id="144" w:name="_Toc13590"/>
      <w:r>
        <w:rPr>
          <w:rFonts w:hint="eastAsia" w:ascii="宋体" w:hAnsi="宋体" w:eastAsia="宋体" w:cs="宋体"/>
          <w:b/>
          <w:bCs/>
          <w:kern w:val="2"/>
          <w:sz w:val="32"/>
          <w:szCs w:val="32"/>
          <w:lang w:val="en-US" w:eastAsia="zh-CN" w:bidi="zh-CN"/>
        </w:rPr>
        <w:br w:type="page"/>
      </w:r>
    </w:p>
    <w:p>
      <w:pPr>
        <w:widowControl w:val="0"/>
        <w:bidi w:val="0"/>
        <w:spacing w:line="520" w:lineRule="exact"/>
        <w:ind w:left="0" w:firstLine="0"/>
        <w:jc w:val="both"/>
        <w:outlineLvl w:val="0"/>
        <w:rPr>
          <w:rFonts w:hint="eastAsia" w:ascii="宋体" w:hAnsi="宋体" w:eastAsia="宋体" w:cs="宋体"/>
          <w:b/>
          <w:bCs/>
          <w:kern w:val="2"/>
          <w:sz w:val="32"/>
          <w:szCs w:val="32"/>
          <w:lang w:val="en-US" w:eastAsia="zh-CN" w:bidi="zh-CN"/>
        </w:rPr>
      </w:pPr>
      <w:r>
        <w:rPr>
          <w:rFonts w:hint="eastAsia" w:ascii="宋体" w:hAnsi="宋体" w:eastAsia="宋体" w:cs="宋体"/>
          <w:b/>
          <w:bCs/>
          <w:kern w:val="2"/>
          <w:sz w:val="32"/>
          <w:szCs w:val="32"/>
          <w:lang w:val="en-US" w:eastAsia="zh-CN" w:bidi="zh-CN"/>
        </w:rPr>
        <w:t>5重点监测单元识别与分类</w:t>
      </w:r>
      <w:bookmarkEnd w:id="141"/>
      <w:bookmarkEnd w:id="142"/>
      <w:bookmarkEnd w:id="143"/>
      <w:bookmarkEnd w:id="144"/>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45" w:name="_Toc8286"/>
      <w:bookmarkStart w:id="146" w:name="_Toc107924577"/>
      <w:bookmarkStart w:id="147" w:name="_Toc8453"/>
      <w:bookmarkStart w:id="148" w:name="_Toc27902"/>
      <w:r>
        <w:rPr>
          <w:rFonts w:hint="eastAsia" w:ascii="宋体" w:hAnsi="宋体" w:eastAsia="宋体" w:cs="宋体"/>
          <w:b/>
          <w:bCs/>
          <w:kern w:val="2"/>
          <w:sz w:val="28"/>
          <w:szCs w:val="32"/>
          <w:lang w:val="en-US" w:eastAsia="zh-CN" w:bidi="ar-SA"/>
        </w:rPr>
        <w:t>5.1重点监测单元识别</w:t>
      </w:r>
      <w:bookmarkEnd w:id="145"/>
      <w:bookmarkEnd w:id="146"/>
      <w:bookmarkEnd w:id="147"/>
      <w:bookmarkEnd w:id="148"/>
    </w:p>
    <w:p>
      <w:pPr>
        <w:ind w:firstLine="584" w:firstLineChars="200"/>
        <w:rPr>
          <w:rFonts w:hint="eastAsia" w:ascii="宋体" w:hAnsi="宋体" w:eastAsia="宋体" w:cs="宋体"/>
          <w:snapToGrid/>
          <w:spacing w:val="6"/>
          <w:kern w:val="0"/>
          <w:sz w:val="28"/>
          <w:szCs w:val="24"/>
          <w:highlight w:val="none"/>
          <w:lang w:bidi="ar"/>
        </w:rPr>
      </w:pPr>
      <w:r>
        <w:rPr>
          <w:rFonts w:hint="eastAsia" w:ascii="宋体" w:hAnsi="宋体" w:eastAsia="宋体" w:cs="宋体"/>
          <w:snapToGrid/>
          <w:spacing w:val="6"/>
          <w:kern w:val="0"/>
          <w:sz w:val="28"/>
          <w:szCs w:val="24"/>
          <w:lang w:val="en-US" w:eastAsia="zh-CN" w:bidi="ar"/>
        </w:rPr>
        <w:t>根据企业实际生产情况结合资料搜集、现场踏勘和人员访谈的结果分析，为具有针对性的展开调查工作，以场地主要功能区为基础，将各区域主要特征总结。确定企业内有潜在土壤污染隐患的重点场所及重点设施设备为</w:t>
      </w:r>
      <w:r>
        <w:rPr>
          <w:rFonts w:hint="eastAsia" w:ascii="宋体" w:hAnsi="宋体" w:eastAsia="宋体" w:cs="宋体"/>
          <w:color w:val="auto"/>
          <w:kern w:val="0"/>
          <w:sz w:val="28"/>
          <w:szCs w:val="28"/>
          <w:highlight w:val="none"/>
          <w:lang w:eastAsia="zh-CN" w:bidi="ar"/>
        </w:rPr>
        <w:t>成品仓库、液氯气化区、应急罐、液氯槽车区、液蜡罐区、盐酸罐区、氯化车间、盐酸吸收区、烧碱、成品次氯酸钠区、消防罐区等为重点区域。</w:t>
      </w:r>
      <w:r>
        <w:rPr>
          <w:rFonts w:hint="eastAsia" w:ascii="宋体" w:hAnsi="宋体" w:eastAsia="宋体" w:cs="宋体"/>
          <w:snapToGrid/>
          <w:spacing w:val="6"/>
          <w:kern w:val="0"/>
          <w:sz w:val="28"/>
          <w:szCs w:val="24"/>
          <w:highlight w:val="none"/>
          <w:lang w:bidi="ar"/>
        </w:rPr>
        <w:t>具体信息见表5-1。</w:t>
      </w:r>
    </w:p>
    <w:p>
      <w:pPr>
        <w:jc w:val="center"/>
        <w:rPr>
          <w:rFonts w:hint="eastAsia" w:ascii="宋体" w:hAnsi="宋体" w:eastAsia="宋体" w:cs="宋体"/>
          <w:b/>
          <w:bCs/>
          <w:color w:val="auto"/>
          <w:kern w:val="0"/>
          <w:sz w:val="28"/>
          <w:szCs w:val="28"/>
          <w:highlight w:val="none"/>
          <w:lang w:eastAsia="zh-CN" w:bidi="ar"/>
        </w:rPr>
      </w:pPr>
      <w:r>
        <w:rPr>
          <w:rFonts w:hint="eastAsia" w:ascii="宋体" w:hAnsi="宋体" w:eastAsia="宋体" w:cs="宋体"/>
          <w:b/>
          <w:bCs/>
          <w:color w:val="auto"/>
          <w:kern w:val="0"/>
          <w:sz w:val="28"/>
          <w:szCs w:val="28"/>
          <w:highlight w:val="none"/>
          <w:lang w:eastAsia="zh-CN" w:bidi="ar"/>
        </w:rPr>
        <w:t>表5-1重点监测单元及重点区域信息表</w:t>
      </w:r>
    </w:p>
    <w:tbl>
      <w:tblPr>
        <w:tblStyle w:val="2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编号</w:t>
            </w:r>
          </w:p>
        </w:tc>
        <w:tc>
          <w:tcPr>
            <w:tcW w:w="7500" w:type="dxa"/>
            <w:vAlign w:val="center"/>
          </w:tcPr>
          <w:p>
            <w:pPr>
              <w:numPr>
                <w:ilvl w:val="0"/>
                <w:numId w:val="0"/>
              </w:numPr>
              <w:ind w:left="0" w:leftChars="0" w:firstLine="0" w:firstLineChars="0"/>
              <w:jc w:val="center"/>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1#</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液氯气化区、应急罐、液氯槽车区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液蜡罐区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盐酸罐区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氯化车间、盐酸吸收区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6#</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烧碱、成品次氯酸钠区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7#</w:t>
            </w:r>
          </w:p>
        </w:tc>
        <w:tc>
          <w:tcPr>
            <w:tcW w:w="7500"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u w:val="none"/>
              </w:rPr>
              <w:t>土壤背景监测点</w:t>
            </w:r>
          </w:p>
        </w:tc>
      </w:tr>
    </w:tbl>
    <w:p>
      <w:pPr>
        <w:pStyle w:val="26"/>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color w:val="auto"/>
          <w:sz w:val="28"/>
          <w:szCs w:val="28"/>
          <w:highlight w:val="none"/>
          <w:u w:val="none"/>
          <w:lang w:eastAsia="zh-CN"/>
        </w:rPr>
        <w:t>土壤检测</w:t>
      </w:r>
      <w:r>
        <w:rPr>
          <w:rFonts w:hint="eastAsia" w:ascii="宋体" w:hAnsi="宋体" w:eastAsia="宋体" w:cs="宋体"/>
          <w:color w:val="auto"/>
          <w:sz w:val="28"/>
          <w:szCs w:val="28"/>
          <w:highlight w:val="none"/>
          <w:u w:val="none"/>
        </w:rPr>
        <w:t>因子：</w:t>
      </w:r>
      <w:r>
        <w:rPr>
          <w:rFonts w:hint="eastAsia" w:ascii="宋体" w:hAnsi="宋体" w:eastAsia="宋体" w:cs="宋体"/>
          <w:sz w:val="28"/>
          <w:szCs w:val="28"/>
          <w:u w:val="none"/>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sz w:val="28"/>
          <w:szCs w:val="28"/>
          <w:u w:val="none"/>
          <w:lang w:val="en-US" w:eastAsia="zh-CN"/>
        </w:rPr>
        <w:t>45项；特征污染物：pH</w:t>
      </w:r>
      <w:r>
        <w:rPr>
          <w:rFonts w:hint="eastAsia" w:ascii="宋体" w:hAnsi="宋体" w:eastAsia="宋体" w:cs="宋体"/>
          <w:color w:val="auto"/>
          <w:sz w:val="28"/>
          <w:szCs w:val="28"/>
          <w:highlight w:val="none"/>
          <w:u w:val="none"/>
          <w:lang w:eastAsia="zh-CN"/>
        </w:rPr>
        <w:t>。</w:t>
      </w:r>
    </w:p>
    <w:p>
      <w:pPr>
        <w:pStyle w:val="18"/>
        <w:ind w:left="0" w:leftChars="0" w:firstLine="560" w:firstLineChars="200"/>
        <w:rPr>
          <w:rFonts w:hint="eastAsia" w:ascii="宋体" w:hAnsi="宋体" w:eastAsia="宋体" w:cs="宋体"/>
          <w:sz w:val="28"/>
          <w:szCs w:val="28"/>
          <w:u w:val="none"/>
          <w:lang w:val="en-US" w:eastAsia="zh-CN"/>
        </w:rPr>
      </w:pP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三门峡鸿腾精细化工有限公司厂区内无地下水监测井，公司于2018年8月委托中水电第十一工程局 (郑州) 有限公司编制了《三门峡鸿腾化工有限公司建设项目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鸿腾精细化工有限公司岩土工程勘察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both"/>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鉴于以上情况，2023年6月18日-6月28日，公司委托洛阳市达峰环境检测有限公司对厂区土壤开展监测。根据2023年6月28日出具的《三门峡鸿腾精细化工有限公司土壤检测报告》（报告编号：DFJC-009-06-2023），结合企业厂区生产设施分布和生产工艺等实际情况，确定土壤监测点位置及数量7个（其中5个监控点，1个背景点），但具备取样条件的土壤监测点位置及数量为5个（其中4个监控点，1个土壤背景监测点）。其他2个点位不具备取样条件的原因为：</w:t>
      </w:r>
      <w:r>
        <w:rPr>
          <w:rFonts w:hint="eastAsia" w:ascii="宋体" w:hAnsi="宋体" w:eastAsia="宋体" w:cs="宋体"/>
          <w:b w:val="0"/>
          <w:bCs w:val="0"/>
          <w:color w:val="auto"/>
          <w:sz w:val="28"/>
          <w:szCs w:val="28"/>
          <w:highlight w:val="none"/>
          <w:vertAlign w:val="baseline"/>
          <w:lang w:val="en-US" w:eastAsia="zh-CN"/>
        </w:rPr>
        <w:t>氯化车间、盐酸吸收区；烧碱、成品次氯酸钠区</w:t>
      </w:r>
      <w:r>
        <w:rPr>
          <w:rFonts w:hint="eastAsia" w:ascii="宋体" w:hAnsi="宋体" w:eastAsia="宋体" w:cs="宋体"/>
          <w:color w:val="auto"/>
          <w:sz w:val="28"/>
          <w:szCs w:val="28"/>
          <w:highlight w:val="none"/>
          <w:u w:val="none"/>
          <w:lang w:val="en-US" w:eastAsia="zh-CN"/>
        </w:rPr>
        <w:t>2个点位地面已硬化无法取样。</w:t>
      </w:r>
    </w:p>
    <w:p>
      <w:pPr>
        <w:pStyle w:val="2"/>
        <w:rPr>
          <w:rFonts w:hint="eastAsia"/>
          <w:lang w:eastAsia="zh-CN"/>
        </w:rPr>
        <w:sectPr>
          <w:headerReference r:id="rId5" w:type="default"/>
          <w:footerReference r:id="rId6" w:type="default"/>
          <w:pgSz w:w="11905" w:h="16838"/>
          <w:pgMar w:top="1440" w:right="1803" w:bottom="1440" w:left="1803" w:header="850" w:footer="992" w:gutter="0"/>
          <w:pgNumType w:fmt="decimal" w:start="1"/>
          <w:cols w:space="0" w:num="1"/>
          <w:rtlGutter w:val="0"/>
          <w:docGrid w:type="lines" w:linePitch="319" w:charSpace="0"/>
        </w:sectPr>
      </w:pP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49" w:name="_Toc107924578"/>
      <w:bookmarkStart w:id="150" w:name="_Toc31099"/>
      <w:bookmarkStart w:id="151" w:name="_Toc3020"/>
      <w:bookmarkStart w:id="152" w:name="_Toc23658"/>
      <w:bookmarkStart w:id="153" w:name="_Toc13293_WPSOffice_Level1"/>
      <w:bookmarkStart w:id="154" w:name="_Toc12836"/>
      <w:bookmarkStart w:id="155" w:name="_Toc15018"/>
      <w:bookmarkStart w:id="156" w:name="_Toc857_WPSOffice_Level2"/>
      <w:bookmarkStart w:id="157" w:name="_Toc6025_WPSOffice_Level2"/>
      <w:r>
        <w:rPr>
          <w:rFonts w:hint="eastAsia" w:ascii="宋体" w:hAnsi="宋体" w:eastAsia="宋体" w:cs="宋体"/>
          <w:b/>
          <w:bCs/>
          <w:kern w:val="2"/>
          <w:sz w:val="28"/>
          <w:szCs w:val="32"/>
          <w:lang w:val="en-US" w:eastAsia="zh-CN" w:bidi="ar-SA"/>
        </w:rPr>
        <w:t>5.2识别/分类结果及原因</w:t>
      </w:r>
      <w:bookmarkEnd w:id="149"/>
      <w:bookmarkEnd w:id="150"/>
      <w:bookmarkEnd w:id="151"/>
      <w:bookmarkEnd w:id="152"/>
    </w:p>
    <w:p>
      <w:pPr>
        <w:bidi w:val="0"/>
        <w:spacing w:line="520" w:lineRule="exact"/>
        <w:jc w:val="left"/>
        <w:outlineLvl w:val="2"/>
        <w:rPr>
          <w:rFonts w:hint="eastAsia" w:ascii="宋体" w:hAnsi="宋体" w:eastAsia="宋体" w:cs="宋体"/>
          <w:b/>
          <w:color w:val="auto"/>
          <w:kern w:val="2"/>
          <w:sz w:val="28"/>
          <w:szCs w:val="28"/>
          <w:highlight w:val="none"/>
          <w:lang w:val="en-US" w:eastAsia="zh-CN" w:bidi="ar-SA"/>
        </w:rPr>
      </w:pPr>
      <w:bookmarkStart w:id="158" w:name="_Toc107924579"/>
      <w:bookmarkStart w:id="159" w:name="_Toc23988"/>
      <w:bookmarkStart w:id="160" w:name="_Toc7870"/>
      <w:r>
        <w:rPr>
          <w:rFonts w:hint="eastAsia" w:ascii="宋体" w:hAnsi="宋体" w:eastAsia="宋体" w:cs="宋体"/>
          <w:b/>
          <w:color w:val="auto"/>
          <w:kern w:val="2"/>
          <w:sz w:val="28"/>
          <w:szCs w:val="28"/>
          <w:highlight w:val="none"/>
          <w:lang w:val="en-US" w:eastAsia="zh-CN" w:bidi="ar-SA"/>
        </w:rPr>
        <w:t>5.2.1识别原因</w:t>
      </w:r>
      <w:bookmarkEnd w:id="158"/>
      <w:bookmarkEnd w:id="159"/>
      <w:bookmarkEnd w:id="160"/>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按照《在产企业土壤及地下水自行监测技术指南》（HJ1209-2021）的相关规定，本次地下水自行监测对重点设施及重点区域的划分将遵循以下几个方面开展：</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（1）重点设施（一般包括但不仅限于）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a）涉及有毒有害物质的生产区或生产设施；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b）涉及有毒有害物质的原辅材料、产品、固体废物等的贮存或堆放区；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c）涉及有毒有害物质的原辅材料、产品、固体废物等的转运、传送或装卸区；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d）贮存或运输有毒有害物质的各类罐槽或管线；</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e）三废（废气、废水、固体废物）处理处置或排放区。</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（2）重点区域：重点设施分布较为密集的区域</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依据《在产企业土壤及地下水自行监测技术指南》（HJ1209-2021）、《建设用地土壤污染状况调查技术导则》（HJ25.1-2019）、《建设用地土壤环境调查评估技术指南》等要求，结合土壤及地下水隐患排查结果、现场踏勘和人员访谈，采用专业判断法进行土壤监测点布设，每个重点设施周边布设1-2个土壤监测点，每个重点监测单元布设最少1个土壤监测点，具体数量可根据设施大小或区域内设施数量等实际情况进行适当调整。</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由于企业生产性质，为防止造成二次污染，本次布点均在厂区靠近重点区域绿化带无硬化地面。</w:t>
      </w:r>
    </w:p>
    <w:p>
      <w:pPr>
        <w:keepNext/>
        <w:keepLines/>
        <w:widowControl w:val="0"/>
        <w:spacing w:line="520" w:lineRule="exact"/>
        <w:ind w:firstLine="562" w:firstLineChars="200"/>
        <w:jc w:val="both"/>
        <w:outlineLvl w:val="2"/>
        <w:rPr>
          <w:rFonts w:hint="eastAsia" w:ascii="宋体" w:hAnsi="宋体" w:eastAsia="宋体" w:cs="宋体"/>
          <w:b/>
          <w:color w:val="auto"/>
          <w:kern w:val="2"/>
          <w:sz w:val="28"/>
          <w:szCs w:val="28"/>
          <w:highlight w:val="none"/>
          <w:lang w:val="en-US" w:eastAsia="zh-CN" w:bidi="ar-SA"/>
        </w:rPr>
      </w:pPr>
      <w:bookmarkStart w:id="161" w:name="_Toc107924580"/>
      <w:bookmarkStart w:id="162" w:name="_Toc24841"/>
      <w:bookmarkStart w:id="163" w:name="_Toc12031"/>
      <w:r>
        <w:rPr>
          <w:rFonts w:hint="eastAsia" w:ascii="宋体" w:hAnsi="宋体" w:eastAsia="宋体" w:cs="宋体"/>
          <w:b/>
          <w:color w:val="auto"/>
          <w:kern w:val="2"/>
          <w:sz w:val="28"/>
          <w:szCs w:val="28"/>
          <w:highlight w:val="none"/>
          <w:lang w:val="en-US" w:eastAsia="zh-CN" w:bidi="ar-SA"/>
        </w:rPr>
        <w:t>5.2.2污染物潜在迁移途径</w:t>
      </w:r>
      <w:bookmarkEnd w:id="161"/>
      <w:bookmarkEnd w:id="162"/>
      <w:bookmarkEnd w:id="163"/>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根据水文地质资料和现场踏勘等工作分析，本场地土壤若存在污染物，其污染扩散途径包括为：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（1）污染物垂直向下迁移：落地的污染物在外部降雨或自身重力垂直向下迁移，在迁移过程中吸附在土壤介质表面或溶解于降水进而影响土壤。</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（2）污染物水平迁移：落地污染物随雨水、风力等的水平迁移扩散。随雨水等地表径流扩散主要和场地地形有关，从场地地势高部分向地势低处扩散。</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（3）污染物地下迁移：污染物渗透进入地下，随地下水径流向下游迁移，影响土壤。</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64" w:name="_Toc2810"/>
      <w:bookmarkStart w:id="165" w:name="_Toc107924581"/>
      <w:bookmarkStart w:id="166" w:name="_Toc11150"/>
      <w:r>
        <w:rPr>
          <w:rFonts w:hint="eastAsia" w:ascii="宋体" w:hAnsi="宋体" w:eastAsia="宋体" w:cs="宋体"/>
          <w:b/>
          <w:color w:val="auto"/>
          <w:kern w:val="2"/>
          <w:sz w:val="28"/>
          <w:szCs w:val="28"/>
          <w:highlight w:val="none"/>
          <w:lang w:val="en-US" w:eastAsia="zh-CN" w:bidi="ar-SA"/>
        </w:rPr>
        <w:t>5.2.3重点监测单元分类结果</w:t>
      </w:r>
      <w:bookmarkEnd w:id="164"/>
      <w:bookmarkEnd w:id="165"/>
      <w:bookmarkEnd w:id="166"/>
    </w:p>
    <w:p>
      <w:pPr>
        <w:keepNext/>
        <w:keepLines/>
        <w:widowControl w:val="0"/>
        <w:numPr>
          <w:ilvl w:val="1"/>
          <w:numId w:val="1"/>
        </w:numPr>
        <w:bidi w:val="0"/>
        <w:spacing w:line="520" w:lineRule="exact"/>
        <w:ind w:firstLine="0" w:firstLineChars="0"/>
        <w:jc w:val="left"/>
        <w:outlineLvl w:val="9"/>
        <w:rPr>
          <w:rFonts w:hint="eastAsia" w:ascii="宋体" w:hAnsi="宋体" w:eastAsia="宋体" w:cs="宋体"/>
          <w:b/>
          <w:bCs/>
          <w:kern w:val="2"/>
          <w:sz w:val="28"/>
          <w:szCs w:val="32"/>
          <w:lang w:val="en-US" w:eastAsia="zh-CN" w:bidi="ar-SA"/>
        </w:rPr>
      </w:pPr>
      <w:r>
        <w:rPr>
          <w:rFonts w:hint="eastAsia" w:ascii="宋体" w:hAnsi="宋体" w:eastAsia="宋体" w:cs="宋体"/>
          <w:color w:val="auto"/>
          <w:sz w:val="28"/>
          <w:highlight w:val="none"/>
          <w:lang w:val="en-US" w:eastAsia="zh-CN"/>
        </w:rPr>
        <w:t xml:space="preserve">    根据本项目土壤隐患排查结果，参照《工业企业土壤和地下水自行监测技术指南（试行）》HJ1209-2021，该项目确实具有土壤污染隐患的重点场所或重点设施设备，应进行重点监测单元开展土壤和地下水监测工作，根据“5.1重点单元情况”可知，确定</w:t>
      </w:r>
      <w:bookmarkStart w:id="167" w:name="_Toc1154"/>
      <w:bookmarkStart w:id="168" w:name="_Toc107924582"/>
      <w:bookmarkStart w:id="169" w:name="_Toc25993"/>
      <w:r>
        <w:rPr>
          <w:rFonts w:hint="eastAsia" w:ascii="宋体" w:hAnsi="宋体" w:eastAsia="宋体" w:cs="宋体"/>
          <w:color w:val="auto"/>
          <w:kern w:val="0"/>
          <w:sz w:val="28"/>
          <w:szCs w:val="28"/>
          <w:highlight w:val="none"/>
          <w:lang w:eastAsia="zh-CN" w:bidi="ar"/>
        </w:rPr>
        <w:t>成品仓库、液氯气化区、应急罐、液氯槽车区、液蜡罐区、盐酸罐区、氯化车间、盐酸吸收区、烧碱、成品次氯酸钠区、消防罐区等为重点区域。</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70" w:name="_Toc24154"/>
      <w:r>
        <w:rPr>
          <w:rFonts w:hint="eastAsia" w:ascii="宋体" w:hAnsi="宋体" w:eastAsia="宋体" w:cs="宋体"/>
          <w:b/>
          <w:bCs/>
          <w:kern w:val="2"/>
          <w:sz w:val="28"/>
          <w:szCs w:val="32"/>
          <w:lang w:val="en-US" w:eastAsia="zh-CN" w:bidi="ar-SA"/>
        </w:rPr>
        <w:t>5.3关注污染物</w:t>
      </w:r>
      <w:bookmarkEnd w:id="167"/>
      <w:bookmarkEnd w:id="168"/>
      <w:bookmarkEnd w:id="169"/>
      <w:bookmarkEnd w:id="170"/>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重点监测单元及关注污染物见表5-2。</w:t>
      </w:r>
    </w:p>
    <w:p>
      <w:pPr>
        <w:bidi w:val="0"/>
        <w:spacing w:line="520" w:lineRule="exact"/>
        <w:ind w:firstLine="562" w:firstLineChars="200"/>
        <w:jc w:val="center"/>
        <w:rPr>
          <w:rFonts w:hint="eastAsia" w:ascii="宋体" w:hAnsi="宋体" w:eastAsia="宋体" w:cs="宋体"/>
          <w:b/>
          <w:bCs/>
          <w:color w:val="auto"/>
          <w:sz w:val="28"/>
          <w:highlight w:val="none"/>
          <w:lang w:val="en-US" w:eastAsia="zh-CN"/>
        </w:rPr>
      </w:pPr>
      <w:r>
        <w:rPr>
          <w:rFonts w:hint="eastAsia" w:ascii="宋体" w:hAnsi="宋体" w:eastAsia="宋体" w:cs="宋体"/>
          <w:b/>
          <w:bCs/>
          <w:color w:val="auto"/>
          <w:sz w:val="28"/>
          <w:highlight w:val="none"/>
          <w:lang w:val="en-US" w:eastAsia="zh-CN"/>
        </w:rPr>
        <w:t>表5-2 重点监测单元及关注污染物</w:t>
      </w:r>
    </w:p>
    <w:tbl>
      <w:tblPr>
        <w:tblStyle w:val="19"/>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879"/>
        <w:gridCol w:w="1929"/>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潜在污染物区域名称</w:t>
            </w:r>
          </w:p>
        </w:tc>
        <w:tc>
          <w:tcPr>
            <w:tcW w:w="1028"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污染源</w:t>
            </w:r>
          </w:p>
        </w:tc>
        <w:tc>
          <w:tcPr>
            <w:tcW w:w="1055"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可能造成的污染</w:t>
            </w:r>
          </w:p>
        </w:tc>
        <w:tc>
          <w:tcPr>
            <w:tcW w:w="1604"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可能会对土壤造成风险的污染物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成品仓库</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成品仓库</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液氯气化区、应急罐、液氯槽车区</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液氯气化区、应急罐、液氯槽车区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tabs>
                <w:tab w:val="center" w:pos="395"/>
                <w:tab w:val="left" w:pos="531"/>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spacing w:line="360" w:lineRule="exact"/>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液蜡罐区</w:t>
            </w:r>
          </w:p>
        </w:tc>
        <w:tc>
          <w:tcPr>
            <w:tcW w:w="1028" w:type="pct"/>
            <w:vAlign w:val="center"/>
          </w:tcPr>
          <w:p>
            <w:pPr>
              <w:spacing w:line="360" w:lineRule="exact"/>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液蜡罐区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盐酸罐区</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盐酸罐区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tabs>
                <w:tab w:val="right" w:pos="8730"/>
              </w:tabs>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lang w:eastAsia="zh-CN"/>
              </w:rPr>
              <w:t>氯化车间、盐酸吸收区、烧碱、成品次氯酸钠区、</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lang w:eastAsia="zh-CN"/>
              </w:rPr>
              <w:t>氯化车间、盐酸吸收区、烧碱、成品次氯酸钠区、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u w:val="none"/>
              </w:rPr>
              <w:t>土壤背景监测点</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u w:val="none"/>
                <w:lang w:val="en-US" w:eastAsia="zh-CN"/>
              </w:rPr>
              <w:t>/</w:t>
            </w:r>
          </w:p>
        </w:tc>
      </w:tr>
    </w:tbl>
    <w:p>
      <w:pPr>
        <w:pStyle w:val="3"/>
        <w:bidi w:val="0"/>
        <w:rPr>
          <w:rFonts w:hint="eastAsia" w:ascii="宋体" w:hAnsi="宋体" w:eastAsia="宋体" w:cs="宋体"/>
          <w:lang w:val="en-US" w:eastAsia="zh-CN"/>
        </w:rPr>
      </w:pPr>
      <w:bookmarkStart w:id="171" w:name="_Toc12326"/>
      <w:bookmarkStart w:id="172" w:name="_Toc107924583"/>
      <w:bookmarkStart w:id="173" w:name="_Toc17328"/>
      <w:bookmarkStart w:id="174" w:name="_Toc22308"/>
      <w:r>
        <w:rPr>
          <w:rFonts w:hint="eastAsia" w:ascii="宋体" w:hAnsi="宋体" w:eastAsia="宋体" w:cs="宋体"/>
          <w:lang w:val="en-US" w:eastAsia="zh-CN"/>
        </w:rPr>
        <w:t>6监测点位布设方案</w:t>
      </w:r>
      <w:bookmarkEnd w:id="171"/>
      <w:bookmarkEnd w:id="172"/>
      <w:bookmarkEnd w:id="173"/>
      <w:bookmarkEnd w:id="174"/>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75" w:name="_Toc19684"/>
      <w:bookmarkStart w:id="176" w:name="_Toc107924584"/>
      <w:bookmarkStart w:id="177" w:name="_Toc25447"/>
      <w:bookmarkStart w:id="178" w:name="_Toc22305"/>
      <w:r>
        <w:rPr>
          <w:rFonts w:hint="eastAsia" w:ascii="宋体" w:hAnsi="宋体" w:eastAsia="宋体" w:cs="宋体"/>
          <w:b/>
          <w:bCs/>
          <w:kern w:val="2"/>
          <w:sz w:val="28"/>
          <w:szCs w:val="32"/>
          <w:lang w:val="en-US" w:eastAsia="zh-CN" w:bidi="ar-SA"/>
        </w:rPr>
        <w:t>6.1重点单元及相应监测点/监测井的布设位置</w:t>
      </w:r>
      <w:bookmarkEnd w:id="175"/>
      <w:bookmarkEnd w:id="176"/>
      <w:bookmarkEnd w:id="177"/>
      <w:bookmarkEnd w:id="178"/>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79" w:name="_Toc107924585"/>
      <w:r>
        <w:rPr>
          <w:rFonts w:hint="eastAsia" w:ascii="宋体" w:hAnsi="宋体" w:eastAsia="宋体" w:cs="宋体"/>
          <w:b/>
          <w:color w:val="auto"/>
          <w:kern w:val="2"/>
          <w:sz w:val="28"/>
          <w:szCs w:val="28"/>
          <w:highlight w:val="none"/>
          <w:lang w:val="en-US" w:eastAsia="zh-CN" w:bidi="ar-SA"/>
        </w:rPr>
        <w:t>6.1.1点位原则</w:t>
      </w:r>
      <w:bookmarkEnd w:id="179"/>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监测点位应布设在重点单元周边并尽量接近重点单元。统筹规划重点区域内部监测点位的布设时，布设位置应尽量接近重点区域内污染隐患较大的重点单元。监测点位的布设应遵循不影响企业正常生产且不造成安全隐患与二次污染的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重点单元、重点区域及监测点/监测井的布设位置均应在企业平面布置图中标记，标记图应纳入监测报告。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除在原有基础上增加监测点位外，监测点位一经确定不宜随意变动，每次采样时土壤监测点距离上次同一点位采样位置原则上不大于1m，地下水监测井应与上次采样井相同。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根据地勘资料无土壤或地下水可采的区域，可不进行相应监测，但应在监测报告中提供地勘资料并予以说明。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企业或邻近区域内现有的地下水监测井，如果符合本标准要求，可以作为地下水对照点或污染物监测井。</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80" w:name="_Toc107924586"/>
      <w:r>
        <w:rPr>
          <w:rFonts w:hint="eastAsia" w:ascii="宋体" w:hAnsi="宋体" w:eastAsia="宋体" w:cs="宋体"/>
          <w:b/>
          <w:color w:val="auto"/>
          <w:kern w:val="2"/>
          <w:sz w:val="28"/>
          <w:szCs w:val="28"/>
          <w:highlight w:val="none"/>
          <w:lang w:val="en-US" w:eastAsia="zh-CN" w:bidi="ar-SA"/>
        </w:rPr>
        <w:t>6.1.2土壤监测点位</w:t>
      </w:r>
      <w:bookmarkEnd w:id="180"/>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（1）布点原则：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1）一类单元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企业一类单元涉及的每个隐蔽性重点设施设备周边原则上均应布设至少1个深层土壤监测点，单元内部或周边还应布设至少1个表层土壤监测点。</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2）二类单元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二类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（2）选点位置：本次土壤共设5个监测点，企业内的车间、道路附近有绿化区，地面全硬化的区域在附近绿化带内取点，监测点选在未硬化或者附近绿化点，采样后做好采样点位的防护工作，方便下次取样。</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（3）采样深度：本次土壤监测以监测区域内表层土壤（0-0.5m处）为重点采样层，开展采样工作。</w:t>
      </w:r>
    </w:p>
    <w:p>
      <w:pPr>
        <w:keepNext/>
        <w:keepLines/>
        <w:widowControl w:val="0"/>
        <w:numPr>
          <w:ilvl w:val="0"/>
          <w:numId w:val="0"/>
        </w:numPr>
        <w:bidi w:val="0"/>
        <w:spacing w:line="520" w:lineRule="exact"/>
        <w:ind w:leftChars="0"/>
        <w:jc w:val="left"/>
        <w:outlineLvl w:val="1"/>
        <w:rPr>
          <w:rFonts w:hint="eastAsia" w:ascii="宋体" w:hAnsi="宋体" w:eastAsia="宋体" w:cs="宋体"/>
          <w:b/>
          <w:bCs/>
          <w:kern w:val="2"/>
          <w:sz w:val="28"/>
          <w:szCs w:val="32"/>
          <w:lang w:val="en-US" w:eastAsia="zh-CN" w:bidi="ar-SA"/>
        </w:rPr>
      </w:pPr>
      <w:bookmarkStart w:id="181" w:name="_Toc21760"/>
      <w:bookmarkStart w:id="182" w:name="_Toc19623"/>
      <w:bookmarkStart w:id="183" w:name="_Toc107924588"/>
      <w:bookmarkStart w:id="184" w:name="_Toc17255"/>
      <w:r>
        <w:rPr>
          <w:rFonts w:hint="eastAsia" w:ascii="宋体" w:hAnsi="宋体" w:eastAsia="宋体" w:cs="宋体"/>
          <w:b/>
          <w:bCs/>
          <w:kern w:val="2"/>
          <w:sz w:val="28"/>
          <w:szCs w:val="32"/>
          <w:lang w:val="en-US" w:eastAsia="zh-CN" w:bidi="ar-SA"/>
        </w:rPr>
        <w:t>6.2监测点位布设</w:t>
      </w:r>
      <w:bookmarkEnd w:id="181"/>
      <w:bookmarkEnd w:id="182"/>
      <w:bookmarkEnd w:id="183"/>
      <w:bookmarkEnd w:id="184"/>
    </w:p>
    <w:p>
      <w:pPr>
        <w:jc w:val="center"/>
        <w:outlineLvl w:val="9"/>
        <w:rPr>
          <w:rFonts w:hint="eastAsia" w:ascii="宋体" w:hAnsi="宋体" w:eastAsia="宋体" w:cs="宋体"/>
          <w:b/>
          <w:bCs/>
          <w:sz w:val="28"/>
          <w:highlight w:val="none"/>
          <w:lang w:val="en-US" w:eastAsia="zh-CN"/>
        </w:rPr>
      </w:pPr>
      <w:bookmarkStart w:id="185" w:name="_Toc20353"/>
      <w:bookmarkStart w:id="186" w:name="_Toc28642"/>
      <w:r>
        <w:rPr>
          <w:rFonts w:hint="eastAsia" w:ascii="宋体" w:hAnsi="宋体" w:eastAsia="宋体" w:cs="宋体"/>
          <w:b/>
          <w:bCs/>
          <w:sz w:val="28"/>
          <w:highlight w:val="none"/>
          <w:lang w:val="en-US" w:eastAsia="zh-CN"/>
        </w:rPr>
        <w:t>表6-1土壤检测点位一览表</w:t>
      </w:r>
      <w:bookmarkEnd w:id="185"/>
      <w:bookmarkEnd w:id="186"/>
    </w:p>
    <w:tbl>
      <w:tblPr>
        <w:tblStyle w:val="2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编号</w:t>
            </w:r>
          </w:p>
        </w:tc>
        <w:tc>
          <w:tcPr>
            <w:tcW w:w="7500" w:type="dxa"/>
            <w:vAlign w:val="center"/>
          </w:tcPr>
          <w:p>
            <w:pPr>
              <w:numPr>
                <w:ilvl w:val="0"/>
                <w:numId w:val="0"/>
              </w:numPr>
              <w:ind w:left="0" w:leftChars="0" w:firstLine="0" w:firstLineChars="0"/>
              <w:jc w:val="center"/>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1#</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液氯气化区、应急罐、液氯槽车区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液蜡罐区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盐酸罐区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氯化车间、盐酸吸收区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6#</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烧碱、成品次氯酸钠区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7#</w:t>
            </w:r>
          </w:p>
        </w:tc>
        <w:tc>
          <w:tcPr>
            <w:tcW w:w="7500"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u w:val="none"/>
              </w:rPr>
              <w:t>土壤背景监测点</w:t>
            </w:r>
          </w:p>
        </w:tc>
      </w:tr>
    </w:tbl>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87" w:name="_Toc10675"/>
      <w:bookmarkStart w:id="188" w:name="_Toc4208"/>
      <w:bookmarkStart w:id="189" w:name="_Toc28993"/>
      <w:bookmarkStart w:id="190" w:name="_Toc6908"/>
      <w:r>
        <w:rPr>
          <w:rFonts w:hint="eastAsia" w:ascii="宋体" w:hAnsi="宋体" w:eastAsia="宋体" w:cs="宋体"/>
          <w:b/>
          <w:bCs/>
          <w:kern w:val="2"/>
          <w:sz w:val="28"/>
          <w:szCs w:val="32"/>
          <w:highlight w:val="none"/>
          <w:lang w:val="en-US" w:eastAsia="zh-CN" w:bidi="ar-SA"/>
        </w:rPr>
        <w:t>6.3各点位监测指标及选取原因</w:t>
      </w:r>
      <w:bookmarkEnd w:id="187"/>
      <w:bookmarkEnd w:id="188"/>
      <w:bookmarkEnd w:id="189"/>
      <w:bookmarkEnd w:id="190"/>
    </w:p>
    <w:p>
      <w:pPr>
        <w:bidi w:val="0"/>
        <w:spacing w:line="520" w:lineRule="exact"/>
        <w:ind w:firstLine="560" w:firstLineChars="200"/>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lang w:val="en-US" w:eastAsia="zh-CN"/>
        </w:rPr>
        <w:t>监测因子</w:t>
      </w:r>
      <w:r>
        <w:rPr>
          <w:rFonts w:hint="eastAsia" w:ascii="宋体" w:hAnsi="宋体" w:eastAsia="宋体" w:cs="宋体"/>
          <w:color w:val="auto"/>
          <w:sz w:val="28"/>
          <w:highlight w:val="none"/>
        </w:rPr>
        <w:t>按照《工业企业土壤和地下水自行监测技术指南（试行）》HJ1209-2021，本企业为</w:t>
      </w:r>
      <w:r>
        <w:rPr>
          <w:rFonts w:hint="eastAsia" w:ascii="宋体" w:hAnsi="宋体" w:eastAsia="宋体" w:cs="宋体"/>
          <w:color w:val="auto"/>
          <w:sz w:val="28"/>
          <w:highlight w:val="none"/>
          <w:lang w:eastAsia="zh-CN"/>
        </w:rPr>
        <w:t>该标准实施后第一年监测</w:t>
      </w:r>
      <w:r>
        <w:rPr>
          <w:rFonts w:hint="eastAsia" w:ascii="宋体" w:hAnsi="宋体" w:eastAsia="宋体" w:cs="宋体"/>
          <w:color w:val="auto"/>
          <w:sz w:val="28"/>
          <w:highlight w:val="none"/>
        </w:rPr>
        <w:t>，原则上所有土壤监测点的监测指标至少应包括GB36600表1基本项目（45项）</w:t>
      </w:r>
      <w:r>
        <w:rPr>
          <w:rFonts w:hint="eastAsia" w:ascii="宋体" w:hAnsi="宋体" w:eastAsia="宋体" w:cs="宋体"/>
          <w:color w:val="auto"/>
          <w:sz w:val="28"/>
          <w:highlight w:val="none"/>
          <w:lang w:eastAsia="zh-CN"/>
        </w:rPr>
        <w:t>及特征因子，地下水监测井的监测指标至少应包括GB/T14848表1常规指标（微生物指标、放射性指标除外</w:t>
      </w:r>
      <w:r>
        <w:rPr>
          <w:rFonts w:hint="eastAsia" w:ascii="宋体" w:hAnsi="宋体" w:eastAsia="宋体" w:cs="宋体"/>
          <w:color w:val="auto"/>
          <w:sz w:val="28"/>
          <w:highlight w:val="none"/>
        </w:rPr>
        <w:t>。具体监测项目见表6-</w:t>
      </w:r>
      <w:r>
        <w:rPr>
          <w:rFonts w:hint="eastAsia" w:ascii="宋体" w:hAnsi="宋体" w:eastAsia="宋体" w:cs="宋体"/>
          <w:color w:val="auto"/>
          <w:sz w:val="28"/>
          <w:highlight w:val="none"/>
          <w:lang w:val="en-US" w:eastAsia="zh-CN"/>
        </w:rPr>
        <w:t>2</w:t>
      </w:r>
      <w:r>
        <w:rPr>
          <w:rFonts w:hint="eastAsia" w:ascii="宋体" w:hAnsi="宋体" w:eastAsia="宋体" w:cs="宋体"/>
          <w:color w:val="auto"/>
          <w:sz w:val="28"/>
          <w:highlight w:val="none"/>
        </w:rPr>
        <w:t>。</w:t>
      </w:r>
    </w:p>
    <w:p>
      <w:pPr>
        <w:autoSpaceDE w:val="0"/>
        <w:adjustRightInd w:val="0"/>
        <w:snapToGrid w:val="0"/>
        <w:spacing w:line="520" w:lineRule="exact"/>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表6-</w:t>
      </w:r>
      <w:r>
        <w:rPr>
          <w:rFonts w:hint="eastAsia" w:ascii="宋体" w:hAnsi="宋体" w:eastAsia="宋体" w:cs="宋体"/>
          <w:b/>
          <w:sz w:val="24"/>
          <w:szCs w:val="24"/>
          <w:lang w:val="en-US" w:eastAsia="zh-CN"/>
        </w:rPr>
        <w:t>2</w:t>
      </w:r>
      <w:r>
        <w:rPr>
          <w:rFonts w:hint="eastAsia" w:ascii="宋体" w:hAnsi="宋体" w:eastAsia="宋体" w:cs="宋体"/>
          <w:b/>
          <w:sz w:val="24"/>
          <w:szCs w:val="24"/>
        </w:rPr>
        <w:t>土壤监测项目一览表</w:t>
      </w:r>
    </w:p>
    <w:tbl>
      <w:tblPr>
        <w:tblStyle w:val="27"/>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类别</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土壤</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土壤检测</w:t>
            </w:r>
            <w:r>
              <w:rPr>
                <w:rFonts w:hint="eastAsia" w:ascii="宋体" w:hAnsi="宋体" w:eastAsia="宋体" w:cs="宋体"/>
                <w:bCs/>
                <w:kern w:val="0"/>
                <w:sz w:val="21"/>
                <w:szCs w:val="21"/>
              </w:rPr>
              <w:t>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bCs/>
                <w:kern w:val="0"/>
                <w:sz w:val="21"/>
                <w:szCs w:val="21"/>
                <w:lang w:val="en-US" w:eastAsia="zh-CN"/>
              </w:rPr>
              <w:t>45项；特征污染物：pH</w:t>
            </w:r>
            <w:r>
              <w:rPr>
                <w:rFonts w:hint="eastAsia" w:ascii="宋体" w:hAnsi="宋体" w:eastAsia="宋体" w:cs="宋体"/>
                <w:bCs/>
                <w:kern w:val="0"/>
                <w:sz w:val="21"/>
                <w:szCs w:val="21"/>
                <w:lang w:eastAsia="zh-CN"/>
              </w:rPr>
              <w:t>。</w:t>
            </w:r>
          </w:p>
        </w:tc>
      </w:tr>
    </w:tbl>
    <w:p>
      <w:pPr>
        <w:keepNext/>
        <w:keepLines/>
        <w:widowControl w:val="0"/>
        <w:tabs>
          <w:tab w:val="left" w:pos="223"/>
        </w:tabs>
        <w:spacing w:line="520" w:lineRule="exact"/>
        <w:ind w:firstLine="562" w:firstLineChars="200"/>
        <w:jc w:val="both"/>
        <w:outlineLvl w:val="1"/>
        <w:rPr>
          <w:rFonts w:hint="eastAsia" w:ascii="宋体" w:hAnsi="宋体" w:eastAsia="宋体" w:cs="宋体"/>
          <w:b/>
          <w:bCs/>
          <w:color w:val="auto"/>
          <w:kern w:val="2"/>
          <w:sz w:val="28"/>
          <w:szCs w:val="28"/>
          <w:highlight w:val="none"/>
          <w:lang w:val="en-US" w:eastAsia="zh-CN" w:bidi="ar-SA"/>
        </w:rPr>
      </w:pPr>
      <w:bookmarkStart w:id="191" w:name="_Toc23469"/>
      <w:bookmarkStart w:id="192" w:name="_Toc107924590"/>
      <w:r>
        <w:rPr>
          <w:rFonts w:hint="eastAsia" w:ascii="宋体" w:hAnsi="宋体" w:eastAsia="宋体" w:cs="宋体"/>
          <w:b/>
          <w:bCs/>
          <w:color w:val="auto"/>
          <w:kern w:val="2"/>
          <w:sz w:val="28"/>
          <w:szCs w:val="28"/>
          <w:highlight w:val="none"/>
          <w:lang w:val="en-US" w:eastAsia="zh-CN" w:bidi="ar-SA"/>
        </w:rPr>
        <w:t>6.4监测频次</w:t>
      </w:r>
      <w:bookmarkEnd w:id="191"/>
      <w:bookmarkEnd w:id="192"/>
    </w:p>
    <w:p>
      <w:pPr>
        <w:spacing w:line="520" w:lineRule="exact"/>
        <w:ind w:firstLine="560" w:firstLineChars="200"/>
        <w:jc w:val="both"/>
        <w:rPr>
          <w:rFonts w:hint="eastAsia" w:ascii="宋体" w:hAnsi="宋体" w:eastAsia="宋体" w:cs="宋体"/>
          <w:sz w:val="28"/>
          <w:szCs w:val="28"/>
        </w:rPr>
      </w:pPr>
      <w:r>
        <w:rPr>
          <w:rFonts w:hint="eastAsia" w:ascii="宋体" w:hAnsi="宋体" w:eastAsia="宋体" w:cs="宋体"/>
          <w:sz w:val="28"/>
          <w:szCs w:val="28"/>
        </w:rPr>
        <w:t>根据《工业企业土壤和地下水自行监测技术指南（试行）》HJ1209-2021，土壤环境重点监管企业土壤和地下水监测频次见下表。</w:t>
      </w:r>
    </w:p>
    <w:p>
      <w:pPr>
        <w:keepNext w:val="0"/>
        <w:keepLines w:val="0"/>
        <w:pageBreakBefore w:val="0"/>
        <w:tabs>
          <w:tab w:val="left" w:pos="2278"/>
        </w:tabs>
        <w:kinsoku/>
        <w:wordWrap/>
        <w:overflowPunct/>
        <w:topLinePunct w:val="0"/>
        <w:autoSpaceDE/>
        <w:autoSpaceDN/>
        <w:bidi w:val="0"/>
        <w:spacing w:line="520" w:lineRule="exact"/>
        <w:ind w:firstLine="482" w:firstLineChars="20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表6-3自行监测的监测频次</w:t>
      </w:r>
    </w:p>
    <w:tbl>
      <w:tblPr>
        <w:tblStyle w:val="28"/>
        <w:tblW w:w="50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2"/>
        <w:gridCol w:w="4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监测对象</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土壤</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采样深度为表层土壤的点位每年1次，采样深度为深层土壤的每3年1次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地下水</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一年一次</w:t>
            </w:r>
          </w:p>
        </w:tc>
      </w:tr>
    </w:tbl>
    <w:p>
      <w:pPr>
        <w:pStyle w:val="18"/>
        <w:rPr>
          <w:rFonts w:hint="eastAsia" w:ascii="宋体" w:hAnsi="宋体" w:eastAsia="宋体" w:cs="宋体"/>
          <w:sz w:val="28"/>
          <w:szCs w:val="36"/>
          <w:lang w:val="en-US" w:eastAsia="zh-CN"/>
        </w:rPr>
      </w:pPr>
      <w:bookmarkStart w:id="193" w:name="_Toc2213"/>
      <w:bookmarkStart w:id="194" w:name="_Toc3178"/>
      <w:bookmarkStart w:id="195" w:name="_Toc7156"/>
    </w:p>
    <w:p>
      <w:pPr>
        <w:pStyle w:val="11"/>
        <w:keepNext w:val="0"/>
        <w:keepLines w:val="0"/>
        <w:pageBreakBefore w:val="0"/>
        <w:widowControl w:val="0"/>
        <w:kinsoku/>
        <w:wordWrap/>
        <w:overflowPunct/>
        <w:topLinePunct w:val="0"/>
        <w:autoSpaceDE/>
        <w:autoSpaceDN/>
        <w:bidi w:val="0"/>
        <w:adjustRightInd w:val="0"/>
        <w:snapToGrid w:val="0"/>
        <w:spacing w:line="360" w:lineRule="auto"/>
        <w:ind w:right="0" w:firstLine="560" w:firstLineChars="200"/>
        <w:jc w:val="left"/>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公司于2018年8月委托中水电第十一工程局 (郑州) 有限公司编制了《三门峡鸿腾化工有限公司建设项目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鸿腾精细化工有限公司岩土工程勘察报告</w:t>
      </w:r>
      <w:r>
        <w:rPr>
          <w:rFonts w:hint="eastAsia" w:ascii="宋体" w:hAnsi="宋体" w:eastAsia="宋体" w:cs="宋体"/>
          <w:b w:val="0"/>
          <w:bCs w:val="0"/>
          <w:color w:val="auto"/>
          <w:spacing w:val="0"/>
          <w:sz w:val="28"/>
          <w:szCs w:val="28"/>
          <w:highlight w:val="none"/>
          <w:u w:val="none"/>
          <w:lang w:val="en-US" w:eastAsia="zh-CN"/>
        </w:rPr>
        <w:t>（剖面图、钻孔柱状图）</w:t>
      </w:r>
      <w:r>
        <w:rPr>
          <w:rFonts w:hint="eastAsia" w:ascii="宋体" w:hAnsi="宋体" w:eastAsia="宋体" w:cs="宋体"/>
          <w:color w:val="auto"/>
          <w:sz w:val="28"/>
          <w:szCs w:val="28"/>
          <w:highlight w:val="none"/>
          <w:u w:val="none"/>
          <w:lang w:val="en-US" w:eastAsia="zh-CN"/>
        </w:rPr>
        <w:t>。</w:t>
      </w:r>
    </w:p>
    <w:p>
      <w:pPr>
        <w:pStyle w:val="3"/>
        <w:bidi w:val="0"/>
        <w:rPr>
          <w:rFonts w:hint="eastAsia" w:ascii="宋体" w:hAnsi="宋体" w:eastAsia="宋体" w:cs="宋体"/>
          <w:lang w:val="en-US" w:eastAsia="zh-CN"/>
        </w:rPr>
      </w:pPr>
      <w:bookmarkStart w:id="196" w:name="_Toc30910"/>
      <w:r>
        <w:rPr>
          <w:rFonts w:hint="eastAsia" w:ascii="宋体" w:hAnsi="宋体" w:eastAsia="宋体" w:cs="宋体"/>
          <w:lang w:val="en-US" w:eastAsia="zh-CN"/>
        </w:rPr>
        <w:t>7样品采集、保存、流转与制备</w:t>
      </w:r>
      <w:bookmarkEnd w:id="193"/>
      <w:bookmarkEnd w:id="194"/>
      <w:bookmarkEnd w:id="195"/>
      <w:bookmarkEnd w:id="196"/>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97" w:name="_Toc3536"/>
      <w:bookmarkStart w:id="198" w:name="_Toc8311"/>
      <w:bookmarkStart w:id="199" w:name="_Toc9168"/>
      <w:bookmarkStart w:id="200" w:name="_Toc6627"/>
      <w:r>
        <w:rPr>
          <w:rFonts w:hint="eastAsia" w:ascii="宋体" w:hAnsi="宋体" w:eastAsia="宋体" w:cs="宋体"/>
          <w:b/>
          <w:bCs/>
          <w:kern w:val="2"/>
          <w:sz w:val="28"/>
          <w:szCs w:val="32"/>
          <w:lang w:val="en-US" w:eastAsia="zh-CN" w:bidi="ar-SA"/>
        </w:rPr>
        <w:t>7.1现场采样位置、数量和深度</w:t>
      </w:r>
      <w:bookmarkEnd w:id="197"/>
      <w:bookmarkEnd w:id="198"/>
      <w:bookmarkEnd w:id="199"/>
      <w:bookmarkEnd w:id="200"/>
    </w:p>
    <w:p>
      <w:pPr>
        <w:spacing w:line="520" w:lineRule="exact"/>
        <w:ind w:firstLine="560" w:firstLineChars="200"/>
        <w:jc w:val="left"/>
        <w:rPr>
          <w:rFonts w:hint="eastAsia" w:ascii="宋体" w:hAnsi="宋体" w:eastAsia="宋体" w:cs="宋体"/>
          <w:sz w:val="28"/>
          <w:lang w:val="en-US" w:eastAsia="zh-CN"/>
        </w:rPr>
      </w:pPr>
      <w:r>
        <w:rPr>
          <w:rFonts w:hint="eastAsia" w:ascii="宋体" w:hAnsi="宋体" w:eastAsia="宋体" w:cs="宋体"/>
          <w:color w:val="auto"/>
          <w:sz w:val="28"/>
          <w:highlight w:val="none"/>
        </w:rPr>
        <w:t>依据国家相关政策、标准、导则等要求，结合企业厂区生产设施分布和生产工艺等实际情况，确定土壤监测点</w:t>
      </w:r>
      <w:r>
        <w:rPr>
          <w:rFonts w:hint="eastAsia" w:ascii="宋体" w:hAnsi="宋体" w:eastAsia="宋体" w:cs="宋体"/>
          <w:color w:val="auto"/>
          <w:sz w:val="28"/>
          <w:highlight w:val="none"/>
          <w:lang w:val="en-US" w:eastAsia="zh-CN"/>
        </w:rPr>
        <w:t>5个</w:t>
      </w:r>
      <w:r>
        <w:rPr>
          <w:rFonts w:hint="eastAsia" w:ascii="宋体" w:hAnsi="宋体" w:eastAsia="宋体" w:cs="宋体"/>
          <w:color w:val="auto"/>
          <w:sz w:val="28"/>
          <w:highlight w:val="none"/>
        </w:rPr>
        <w:t>，</w:t>
      </w:r>
      <w:r>
        <w:rPr>
          <w:rFonts w:hint="eastAsia" w:ascii="宋体" w:hAnsi="宋体" w:eastAsia="宋体" w:cs="宋体"/>
          <w:sz w:val="28"/>
          <w:lang w:val="en-US" w:eastAsia="zh-CN"/>
        </w:rPr>
        <w:t>具体采样位置、采样深度见下表。</w:t>
      </w:r>
    </w:p>
    <w:p>
      <w:pPr>
        <w:spacing w:line="520" w:lineRule="exact"/>
        <w:ind w:firstLine="3360" w:firstLineChars="1200"/>
        <w:jc w:val="left"/>
        <w:rPr>
          <w:rFonts w:hint="eastAsia" w:ascii="宋体" w:hAnsi="宋体" w:eastAsia="宋体" w:cs="宋体"/>
          <w:sz w:val="28"/>
          <w:lang w:val="en-US" w:eastAsia="zh-CN"/>
        </w:rPr>
      </w:pPr>
      <w:r>
        <w:rPr>
          <w:rFonts w:hint="eastAsia" w:ascii="宋体" w:hAnsi="宋体" w:eastAsia="宋体" w:cs="宋体"/>
          <w:sz w:val="28"/>
          <w:lang w:val="en-US" w:eastAsia="zh-CN"/>
        </w:rPr>
        <w:t>表7-1土壤检测内容一览表</w:t>
      </w:r>
    </w:p>
    <w:tbl>
      <w:tblPr>
        <w:tblStyle w:val="19"/>
        <w:tblW w:w="5519" w:type="pct"/>
        <w:jc w:val="center"/>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992"/>
        <w:gridCol w:w="4022"/>
        <w:gridCol w:w="4127"/>
      </w:tblGrid>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类型</w:t>
            </w: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036"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检测点位</w:t>
            </w:r>
          </w:p>
        </w:tc>
        <w:tc>
          <w:tcPr>
            <w:tcW w:w="2089"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经度</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restar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土壤</w:t>
            </w: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03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成品仓库</w:t>
            </w:r>
          </w:p>
        </w:tc>
        <w:tc>
          <w:tcPr>
            <w:tcW w:w="2089"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27.039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11.393</w:t>
            </w:r>
            <w:r>
              <w:rPr>
                <w:rFonts w:hint="eastAsia" w:ascii="宋体" w:hAnsi="宋体" w:eastAsia="宋体" w:cs="宋体"/>
                <w:color w:val="auto"/>
                <w:kern w:val="0"/>
                <w:sz w:val="21"/>
                <w:szCs w:val="21"/>
                <w:highlight w:val="none"/>
              </w:rPr>
              <w:t>''</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03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液氯气化区、应急罐、液氯槽车区</w:t>
            </w:r>
          </w:p>
        </w:tc>
        <w:tc>
          <w:tcPr>
            <w:tcW w:w="2089"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27.674</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8.573</w:t>
            </w:r>
            <w:r>
              <w:rPr>
                <w:rFonts w:hint="eastAsia" w:ascii="宋体" w:hAnsi="宋体" w:eastAsia="宋体" w:cs="宋体"/>
                <w:color w:val="auto"/>
                <w:kern w:val="0"/>
                <w:sz w:val="21"/>
                <w:szCs w:val="21"/>
                <w:highlight w:val="none"/>
              </w:rPr>
              <w:t>''</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036" w:type="pct"/>
            <w:vAlign w:val="center"/>
          </w:tcPr>
          <w:p>
            <w:pPr>
              <w:spacing w:line="360" w:lineRule="exact"/>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液蜡罐区</w:t>
            </w:r>
          </w:p>
        </w:tc>
        <w:tc>
          <w:tcPr>
            <w:tcW w:w="2089"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28.865</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9.317</w:t>
            </w:r>
            <w:r>
              <w:rPr>
                <w:rFonts w:hint="eastAsia" w:ascii="宋体" w:hAnsi="宋体" w:eastAsia="宋体" w:cs="宋体"/>
                <w:color w:val="auto"/>
                <w:kern w:val="0"/>
                <w:sz w:val="21"/>
                <w:szCs w:val="21"/>
                <w:highlight w:val="none"/>
              </w:rPr>
              <w:t>''</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03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盐酸罐区</w:t>
            </w:r>
          </w:p>
        </w:tc>
        <w:tc>
          <w:tcPr>
            <w:tcW w:w="2089"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25.959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12.402</w:t>
            </w:r>
            <w:r>
              <w:rPr>
                <w:rFonts w:hint="eastAsia" w:ascii="宋体" w:hAnsi="宋体" w:eastAsia="宋体" w:cs="宋体"/>
                <w:color w:val="auto"/>
                <w:kern w:val="0"/>
                <w:sz w:val="21"/>
                <w:szCs w:val="21"/>
                <w:highlight w:val="none"/>
              </w:rPr>
              <w:t>''</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036"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u w:val="none"/>
              </w:rPr>
              <w:t>土壤背景监测点</w:t>
            </w:r>
          </w:p>
        </w:tc>
        <w:tc>
          <w:tcPr>
            <w:tcW w:w="2089"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26.849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13.623</w:t>
            </w:r>
            <w:r>
              <w:rPr>
                <w:rFonts w:hint="eastAsia" w:ascii="宋体" w:hAnsi="宋体" w:eastAsia="宋体" w:cs="宋体"/>
                <w:color w:val="auto"/>
                <w:kern w:val="0"/>
                <w:sz w:val="21"/>
                <w:szCs w:val="21"/>
                <w:highlight w:val="none"/>
              </w:rPr>
              <w:t>''</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snapToGrid/>
          <w:spacing w:val="6"/>
          <w:kern w:val="0"/>
          <w:sz w:val="28"/>
          <w:szCs w:val="22"/>
          <w:lang w:val="en-US" w:eastAsia="zh-CN" w:bidi="ar"/>
        </w:rPr>
      </w:pPr>
      <w:bookmarkStart w:id="201" w:name="_Toc20812"/>
      <w:bookmarkStart w:id="202" w:name="_Toc31934"/>
      <w:bookmarkStart w:id="203" w:name="_Toc8729"/>
      <w:r>
        <w:rPr>
          <w:rFonts w:hint="eastAsia" w:ascii="宋体" w:hAnsi="宋体" w:eastAsia="宋体" w:cs="宋体"/>
          <w:b/>
          <w:bCs/>
          <w:kern w:val="2"/>
          <w:sz w:val="28"/>
          <w:szCs w:val="32"/>
          <w:lang w:val="en-US" w:eastAsia="zh-CN" w:bidi="ar-SA"/>
        </w:rPr>
        <w:t>7.2现场采样工作流程</w:t>
      </w:r>
      <w:bookmarkEnd w:id="201"/>
      <w:bookmarkEnd w:id="202"/>
      <w:bookmarkEnd w:id="203"/>
    </w:p>
    <w:p>
      <w:pPr>
        <w:pageBreakBefore w:val="0"/>
        <w:kinsoku/>
        <w:wordWrap/>
        <w:overflowPunct/>
        <w:topLinePunct w:val="0"/>
        <w:autoSpaceDE/>
        <w:autoSpaceDN/>
        <w:bidi w:val="0"/>
        <w:spacing w:line="360" w:lineRule="auto"/>
        <w:ind w:left="0" w:leftChars="0" w:right="0" w:firstLine="0" w:firstLineChars="0"/>
        <w:textAlignment w:val="auto"/>
        <w:outlineLvl w:val="3"/>
        <w:rPr>
          <w:rFonts w:hint="eastAsia" w:ascii="宋体" w:hAnsi="宋体" w:eastAsia="宋体" w:cs="宋体"/>
          <w:color w:val="auto"/>
          <w:sz w:val="28"/>
          <w:szCs w:val="28"/>
          <w:highlight w:val="none"/>
          <w:u w:val="none"/>
        </w:rPr>
      </w:pPr>
      <w:bookmarkStart w:id="204" w:name="_Toc24631_WPSOffice_Level3"/>
      <w:bookmarkStart w:id="205" w:name="_Toc20246"/>
      <w:bookmarkStart w:id="206" w:name="_Toc8921"/>
      <w:bookmarkStart w:id="207" w:name="_Toc9163"/>
      <w:bookmarkStart w:id="208" w:name="_Toc17162"/>
      <w:r>
        <w:rPr>
          <w:rFonts w:hint="eastAsia" w:ascii="宋体" w:hAnsi="宋体" w:eastAsia="宋体" w:cs="宋体"/>
          <w:color w:val="auto"/>
          <w:sz w:val="28"/>
          <w:szCs w:val="28"/>
          <w:highlight w:val="none"/>
          <w:u w:val="none"/>
          <w:lang w:val="en-US" w:eastAsia="zh-CN"/>
        </w:rPr>
        <w:t>7.2.1</w:t>
      </w:r>
      <w:r>
        <w:rPr>
          <w:rFonts w:hint="eastAsia" w:ascii="宋体" w:hAnsi="宋体" w:eastAsia="宋体" w:cs="宋体"/>
          <w:color w:val="auto"/>
          <w:sz w:val="28"/>
          <w:szCs w:val="28"/>
          <w:highlight w:val="none"/>
          <w:u w:val="none"/>
        </w:rPr>
        <w:t>土壤采样</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土壤样品采集、保存、转运检测等环节质量控制（保证）按《</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w:t>
      </w:r>
      <w:r>
        <w:rPr>
          <w:rFonts w:hint="eastAsia" w:ascii="宋体" w:hAnsi="宋体" w:eastAsia="宋体" w:cs="宋体"/>
          <w:color w:val="auto"/>
          <w:sz w:val="28"/>
          <w:szCs w:val="28"/>
          <w:highlight w:val="none"/>
          <w:u w:val="none"/>
          <w:lang w:val="en-US" w:eastAsia="zh-CN"/>
        </w:rPr>
        <w:t>J</w:t>
      </w:r>
      <w:r>
        <w:rPr>
          <w:rFonts w:hint="eastAsia" w:ascii="宋体" w:hAnsi="宋体" w:eastAsia="宋体" w:cs="宋体"/>
          <w:color w:val="auto"/>
          <w:sz w:val="28"/>
          <w:szCs w:val="28"/>
          <w:highlight w:val="none"/>
          <w:u w:val="none"/>
        </w:rPr>
        <w:t>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）;《土壤环境监测技术规范》（HJ/T166-2004）要求开展工作。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①工作流程前期准备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前期资料准备：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采样点位确定：现场勘察确定各采样点位（坐标），竖好点位标识牌，并做好记录（包括影像记录）；各采样点位深度、采样层数及分层标识，并做好记录（包括影像记录）。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园状取土钻、螺旋取土钻、铁锹、铁铲、洛阳铲、竹片、竹刀、毛刷、采样洗涤装置。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样品包装用品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样品袋（聚乙烯）、棕色广口瓶（500ml）、样品现场暂存箱（冷链要求）。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4）记录工具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GPS、罗盘、照相机、录像机、样品监控记录仪、卷尺、皮尺、自由夹、样品现场记录表、样品标签、点位标识牌。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5）其他材料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药品箱、工作服、工作鞋、</w:t>
      </w:r>
      <w:bookmarkStart w:id="209" w:name="_Toc19612_WPSOffice_Level1"/>
      <w:r>
        <w:rPr>
          <w:rFonts w:hint="eastAsia" w:ascii="宋体" w:hAnsi="宋体" w:eastAsia="宋体" w:cs="宋体"/>
          <w:color w:val="auto"/>
          <w:sz w:val="28"/>
          <w:szCs w:val="28"/>
          <w:highlight w:val="none"/>
          <w:u w:val="none"/>
        </w:rPr>
        <w:t>手套等。</w:t>
      </w:r>
    </w:p>
    <w:bookmarkEnd w:id="209"/>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②采样：影像记录点位标识牌，样品现场记录表开始记录，并做好采样全程记录；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使用园状取土钻直接钻取到该点位要求的最深层，钻取结束取出柱状土样，按从下到上次序用竹片（竹刀）除去与金属采样器接触的部分土壤，再依次取样，装满棕色广口瓶，每个样品需加采一个付样（可用聚乙烯样品袋）；及时放入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③样品暂存及管理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样品现场采集后应及时送至样品暂存室冷链保存，同时填写好入室单（交接单）；样品暂存室监控记录仪时刻记录样品存放状况。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④样品现场记录表、样品标签、点位标识牌、样品入室记录（交接单）、样品出室记录（交接单）等内容。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⑤样品流转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样品应在规定的时间内送至实验室进行检测；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转运前核对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从暂存室出库前必须逐件与样品标签、样品入室记录（交接单）进行核对，核对无误并填写好样品出室记录（交接单）后分类装箱；样品入室记录（交接单）、样品出室记录（交接单）均一式两份，分别由送样、押运人员和样品暂存室保存。</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样品转运：样品转运需全程保持冷链（&lt;4℃）；专人送样。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交接：样品送达实验室后，送样人员和实验室接样人员必须逐件对样品标签和样品出室记录（交接单）核对；样品名称、采样地点、样品数量、包装、外观形态是否一致、完好；样品是否有损坏、污染；当样品有异议时，实验室接样人员应及时向送样人员询问，实验室接样人员应记录有关说明及处理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在上述工作完成后，送样人员和实验室接样人员在样品交接单上签字后即完成样品交接。</w:t>
      </w:r>
    </w:p>
    <w:bookmarkEnd w:id="204"/>
    <w:p>
      <w:pPr>
        <w:pStyle w:val="5"/>
        <w:pageBreakBefore w:val="0"/>
        <w:numPr>
          <w:ilvl w:val="2"/>
          <w:numId w:val="0"/>
        </w:numPr>
        <w:kinsoku/>
        <w:wordWrap/>
        <w:overflowPunct/>
        <w:topLinePunct w:val="0"/>
        <w:autoSpaceDE/>
        <w:autoSpaceDN/>
        <w:bidi w:val="0"/>
        <w:spacing w:before="0" w:beforeLines="0" w:after="0" w:afterLines="0" w:line="360" w:lineRule="auto"/>
        <w:ind w:left="0" w:leftChars="0" w:right="0"/>
        <w:textAlignment w:val="auto"/>
        <w:outlineLvl w:val="2"/>
        <w:rPr>
          <w:rFonts w:hint="eastAsia" w:ascii="宋体" w:hAnsi="宋体" w:eastAsia="宋体" w:cs="宋体"/>
          <w:color w:val="auto"/>
          <w:sz w:val="28"/>
          <w:szCs w:val="22"/>
          <w:highlight w:val="none"/>
          <w:u w:val="none"/>
          <w:lang w:val="en-US" w:eastAsia="zh-CN"/>
        </w:rPr>
      </w:pPr>
      <w:bookmarkStart w:id="210" w:name="4.6 现场质量控制与保障计划"/>
      <w:bookmarkEnd w:id="210"/>
      <w:bookmarkStart w:id="211" w:name="_Toc14610"/>
      <w:bookmarkStart w:id="212" w:name="_Toc6878"/>
      <w:bookmarkStart w:id="213" w:name="_Toc32312"/>
      <w:bookmarkStart w:id="214" w:name="_Toc4809"/>
      <w:bookmarkStart w:id="215" w:name="_Toc9622_WPSOffice_Level2"/>
      <w:bookmarkStart w:id="216" w:name="_Toc26004785"/>
      <w:r>
        <w:rPr>
          <w:rFonts w:hint="eastAsia" w:ascii="宋体" w:hAnsi="宋体" w:eastAsia="宋体" w:cs="宋体"/>
          <w:color w:val="auto"/>
          <w:sz w:val="28"/>
          <w:szCs w:val="22"/>
          <w:highlight w:val="none"/>
          <w:u w:val="none"/>
          <w:lang w:val="en-US" w:eastAsia="zh-CN"/>
        </w:rPr>
        <w:t>7.3实验室质量保证</w:t>
      </w:r>
      <w:bookmarkEnd w:id="211"/>
      <w:bookmarkEnd w:id="212"/>
      <w:bookmarkEnd w:id="213"/>
      <w:bookmarkEnd w:id="214"/>
      <w:bookmarkEnd w:id="215"/>
      <w:bookmarkEnd w:id="216"/>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（1）监测人员严格执行环境监测技术规范，监测人员具有土壤监测证书，监测所用仪器、量器经参加培训的人员进行校准。</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（2）每批次样品分析时，应进行空白试验。分析测试方法有规定的，按分析测试方法的规定进行；分析测试方法无规定时，要求每批样品或每10个样品应至少做1次空白试验。</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（3）每批次样品分析时，每个检测项目均须做平行双样分析。在每批次分析样品中，应随机抽取10%的样品进行平行双样分析（有机因子除外）；当批次样品数＜10时，应至少随机抽取1个样品进行平行双样分析。</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被测土壤样品应在每批次样品分析时同步均匀插入有证标准物质与被测样品同步进行分析测试。每批次同类型分析样品要求按样品数10%的比例插入标准物质样品；当批次分析样品数＜10时，应至少插入1个标准物质样品。</w:t>
      </w:r>
    </w:p>
    <w:p>
      <w:pPr>
        <w:pageBreakBefore w:val="0"/>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（5）监测数据严格实行三级审核制度。</w:t>
      </w:r>
    </w:p>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color w:val="auto"/>
          <w:sz w:val="24"/>
          <w:highlight w:val="none"/>
          <w:lang w:val="en-US" w:eastAsia="zh-CN"/>
        </w:rPr>
        <w:t xml:space="preserve">表7-2 </w:t>
      </w:r>
      <w:r>
        <w:rPr>
          <w:rFonts w:hint="eastAsia" w:ascii="宋体" w:hAnsi="宋体" w:eastAsia="宋体" w:cs="宋体"/>
          <w:b/>
          <w:color w:val="auto"/>
          <w:sz w:val="24"/>
          <w:highlight w:val="none"/>
        </w:rPr>
        <w:t>检测分析方法和使用仪器一览表</w:t>
      </w:r>
    </w:p>
    <w:tbl>
      <w:tblPr>
        <w:tblStyle w:val="19"/>
        <w:tblW w:w="911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
        <w:gridCol w:w="3"/>
        <w:gridCol w:w="1468"/>
        <w:gridCol w:w="3661"/>
        <w:gridCol w:w="2444"/>
        <w:gridCol w:w="1378"/>
        <w:gridCol w:w="15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78"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检测项目</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检测方法</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检测分析仪器及型号</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09"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土壤pH值的测定电位法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HJ962-2018</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台式pH计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PHS-3E</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土壤质量铅、镉的测定石墨炉原子吸收分光光度法GB/T17141-1997</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370"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土壤和沉积物汞、砷、硒、铋、锑的测定原子荧光法HJ680-2013</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原子荧光光度计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PF31</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汞:0.002mg/kg;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砷:0.01mg/kg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22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土壤和沉积物六价铬的测定碱溶液提取-火焰原子吸收分光光度法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HJ1082-2019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41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铅、铜、镍</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土壤和沉积物铜、锌、铅、镍、铬的测定火焰原子吸收分光光度法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HJ491-2019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铅:10mg/kg;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铜:1mg/kg;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镍:3mg/kg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四氯化碳</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氯仿</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4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顺-1,2-二氯乙烯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反-1,2-二氯乙烯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二氯甲烷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1,2-二氯丙烷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1,1,1,2-四氯乙烷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1,1,2,2-四氯乙烷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四氯乙烯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三氯乙烯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1,2,3-三氯丙烷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3"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1.9μg/kg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乙苯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间二甲苯+对二甲苯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邻二甲苯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硝基苯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苯胺</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97"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2-氯酚</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0.06mg/kg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苯并[b]荧蒽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0.2mg/kg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苯并[k]荧蒽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䓛</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二苯并[a，h]蒽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91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茚并[1,2,3-cd]芘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28"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bookmarkEnd w:id="205"/>
      <w:bookmarkEnd w:id="206"/>
      <w:bookmarkEnd w:id="207"/>
      <w:bookmarkEnd w:id="208"/>
    </w:tbl>
    <w:p>
      <w:pPr>
        <w:pStyle w:val="3"/>
        <w:bidi w:val="0"/>
        <w:rPr>
          <w:rFonts w:hint="eastAsia" w:ascii="宋体" w:hAnsi="宋体" w:eastAsia="宋体" w:cs="宋体"/>
          <w:b/>
          <w:bCs/>
          <w:kern w:val="2"/>
          <w:szCs w:val="32"/>
          <w:lang w:val="en-US" w:eastAsia="zh-CN" w:bidi="zh-CN"/>
        </w:rPr>
      </w:pPr>
      <w:bookmarkStart w:id="217" w:name="_Toc178"/>
      <w:bookmarkStart w:id="218" w:name="_Toc19180"/>
      <w:bookmarkStart w:id="219" w:name="_Toc25764"/>
      <w:r>
        <w:rPr>
          <w:rFonts w:hint="eastAsia" w:ascii="宋体" w:hAnsi="宋体" w:eastAsia="宋体" w:cs="宋体"/>
          <w:lang w:val="en-US" w:eastAsia="zh-CN"/>
        </w:rPr>
        <w:t>8监测结果分析</w:t>
      </w:r>
      <w:bookmarkEnd w:id="217"/>
      <w:bookmarkEnd w:id="218"/>
      <w:bookmarkEnd w:id="219"/>
    </w:p>
    <w:p>
      <w:pPr>
        <w:keepNext/>
        <w:keepLines/>
        <w:widowControl w:val="0"/>
        <w:numPr>
          <w:ilvl w:val="0"/>
          <w:numId w:val="0"/>
        </w:numPr>
        <w:bidi w:val="0"/>
        <w:spacing w:before="120" w:after="120" w:line="520" w:lineRule="exact"/>
        <w:jc w:val="left"/>
        <w:outlineLvl w:val="1"/>
        <w:rPr>
          <w:rFonts w:hint="eastAsia" w:ascii="宋体" w:hAnsi="宋体" w:eastAsia="宋体" w:cs="宋体"/>
          <w:b/>
          <w:bCs/>
          <w:color w:val="auto"/>
          <w:kern w:val="2"/>
          <w:sz w:val="28"/>
          <w:szCs w:val="32"/>
          <w:highlight w:val="none"/>
          <w:lang w:val="en-US" w:eastAsia="zh-CN" w:bidi="ar-SA"/>
        </w:rPr>
      </w:pPr>
      <w:bookmarkStart w:id="220" w:name="_Toc7327"/>
      <w:bookmarkStart w:id="221" w:name="_Toc5110"/>
      <w:bookmarkStart w:id="222" w:name="_Toc12553"/>
      <w:r>
        <w:rPr>
          <w:rFonts w:hint="eastAsia" w:ascii="宋体" w:hAnsi="宋体" w:eastAsia="宋体" w:cs="宋体"/>
          <w:b/>
          <w:bCs/>
          <w:kern w:val="2"/>
          <w:sz w:val="28"/>
          <w:szCs w:val="32"/>
          <w:lang w:val="en-US" w:eastAsia="zh-CN" w:bidi="ar-SA"/>
        </w:rPr>
        <w:t>8.1</w:t>
      </w:r>
      <w:bookmarkEnd w:id="220"/>
      <w:bookmarkEnd w:id="221"/>
      <w:bookmarkStart w:id="223" w:name="_Toc29801"/>
      <w:bookmarkStart w:id="224" w:name="_Toc23170"/>
      <w:bookmarkStart w:id="225" w:name="_Toc24379"/>
      <w:bookmarkStart w:id="226" w:name="_Toc26279"/>
      <w:bookmarkStart w:id="227" w:name="_Toc14167"/>
      <w:r>
        <w:rPr>
          <w:rFonts w:hint="eastAsia" w:ascii="宋体" w:hAnsi="宋体" w:eastAsia="宋体" w:cs="宋体"/>
          <w:b/>
          <w:bCs/>
          <w:color w:val="auto"/>
          <w:kern w:val="2"/>
          <w:sz w:val="28"/>
          <w:szCs w:val="32"/>
          <w:highlight w:val="none"/>
          <w:lang w:val="en-US" w:eastAsia="zh-CN" w:bidi="ar-SA"/>
        </w:rPr>
        <w:t>执行及参考标准</w:t>
      </w:r>
      <w:bookmarkEnd w:id="222"/>
      <w:bookmarkEnd w:id="223"/>
      <w:bookmarkEnd w:id="224"/>
      <w:bookmarkEnd w:id="225"/>
      <w:bookmarkEnd w:id="226"/>
      <w:bookmarkEnd w:id="227"/>
    </w:p>
    <w:p>
      <w:pPr>
        <w:pStyle w:val="7"/>
        <w:pageBreakBefore w:val="0"/>
        <w:kinsoku/>
        <w:wordWrap/>
        <w:overflowPunct/>
        <w:topLinePunct w:val="0"/>
        <w:bidi w:val="0"/>
        <w:spacing w:line="360" w:lineRule="auto"/>
        <w:ind w:left="0" w:leftChars="0" w:right="0" w:firstLine="561"/>
        <w:rPr>
          <w:rFonts w:hint="eastAsia" w:cs="宋体"/>
          <w:color w:val="auto"/>
          <w:spacing w:val="0"/>
          <w:sz w:val="28"/>
          <w:szCs w:val="28"/>
          <w:highlight w:val="none"/>
          <w:lang w:eastAsia="zh-CN"/>
        </w:rPr>
      </w:pPr>
      <w:bookmarkStart w:id="228" w:name="_Toc28218"/>
      <w:bookmarkStart w:id="229" w:name="_Toc21438"/>
      <w:bookmarkStart w:id="230" w:name="_Toc25732"/>
      <w:bookmarkStart w:id="231" w:name="_Toc4373"/>
      <w:r>
        <w:rPr>
          <w:rFonts w:hint="eastAsia" w:cs="宋体"/>
          <w:color w:val="auto"/>
          <w:spacing w:val="0"/>
          <w:sz w:val="28"/>
          <w:szCs w:val="28"/>
          <w:highlight w:val="none"/>
          <w:lang w:eastAsia="zh-CN"/>
        </w:rPr>
        <w:t>对所采集的土壤样品监测数据进行汇总、统计、分析，分析结果对比《土壤环境质量建设用地土壤污染风险管控标准》（试行）（GB36600-2018）标准，《土壤环境质量农用地土壤污染风险管控标准》（试行）（GB</w:t>
      </w:r>
      <w:r>
        <w:rPr>
          <w:rFonts w:hint="eastAsia" w:cs="宋体"/>
          <w:color w:val="auto"/>
          <w:spacing w:val="0"/>
          <w:sz w:val="28"/>
          <w:szCs w:val="28"/>
          <w:highlight w:val="none"/>
          <w:lang w:val="en-US" w:eastAsia="zh-CN"/>
        </w:rPr>
        <w:t>15618</w:t>
      </w:r>
      <w:r>
        <w:rPr>
          <w:rFonts w:hint="eastAsia" w:cs="宋体"/>
          <w:color w:val="auto"/>
          <w:spacing w:val="0"/>
          <w:sz w:val="28"/>
          <w:szCs w:val="28"/>
          <w:highlight w:val="none"/>
          <w:lang w:eastAsia="zh-CN"/>
        </w:rPr>
        <w:t>-2018）标准，以上两项标准中没有的项目参考《场地土壤环境风险评价筛选值》（北京市地方标准DB11/T811-2011），评价三门峡鸿腾精细化工有限公司土壤质量情况符合建设用地的筛选值或管制值，或是超管制值。项目涉及的特征因子中，以上两项标准均无标准值的，仅作分析测试，结果保存用于之后土壤自行监测结果的的对比参考值。</w:t>
      </w:r>
    </w:p>
    <w:p>
      <w:pPr>
        <w:pStyle w:val="7"/>
        <w:pageBreakBefore w:val="0"/>
        <w:kinsoku/>
        <w:wordWrap/>
        <w:overflowPunct/>
        <w:topLinePunct w:val="0"/>
        <w:bidi w:val="0"/>
        <w:spacing w:line="360" w:lineRule="auto"/>
        <w:ind w:left="0" w:leftChars="0" w:right="0" w:firstLine="537"/>
        <w:rPr>
          <w:rFonts w:hint="eastAsia" w:ascii="宋体" w:hAnsi="宋体" w:eastAsia="宋体" w:cs="宋体"/>
          <w:b/>
          <w:color w:val="auto"/>
          <w:spacing w:val="-32"/>
          <w:sz w:val="28"/>
          <w:szCs w:val="28"/>
          <w:highlight w:val="none"/>
          <w:lang w:val="en-US" w:eastAsia="zh-CN"/>
        </w:rPr>
      </w:pPr>
      <w:r>
        <w:rPr>
          <w:rFonts w:hint="eastAsia" w:ascii="宋体" w:hAnsi="宋体" w:eastAsia="宋体" w:cs="宋体"/>
          <w:color w:val="auto"/>
          <w:spacing w:val="0"/>
          <w:sz w:val="28"/>
          <w:szCs w:val="28"/>
          <w:highlight w:val="none"/>
        </w:rPr>
        <w:t>建设用地土壤监测因子执行的《土壤环境质量建设用地土壤污染风险管控标准》（试行）（GB36600-2018）标准筛选值及管制值见表</w:t>
      </w:r>
      <w:r>
        <w:rPr>
          <w:rFonts w:hint="eastAsia" w:ascii="宋体" w:hAnsi="宋体" w:eastAsia="宋体" w:cs="宋体"/>
          <w:color w:val="auto"/>
          <w:spacing w:val="0"/>
          <w:sz w:val="28"/>
          <w:szCs w:val="28"/>
          <w:highlight w:val="none"/>
          <w:lang w:val="en-US" w:eastAsia="zh-CN"/>
        </w:rPr>
        <w:t>7</w:t>
      </w:r>
      <w:r>
        <w:rPr>
          <w:rFonts w:hint="eastAsia" w:ascii="宋体" w:hAnsi="宋体" w:eastAsia="宋体" w:cs="宋体"/>
          <w:color w:val="auto"/>
          <w:spacing w:val="0"/>
          <w:sz w:val="28"/>
          <w:szCs w:val="28"/>
          <w:highlight w:val="none"/>
        </w:rPr>
        <w:t>，农用地土壤监测因子执行的《土壤环境质量农用地土壤污染风险管控标准》（试行）（GB15618-2018）标准筛选值及管制值见表</w:t>
      </w:r>
      <w:r>
        <w:rPr>
          <w:rFonts w:hint="eastAsia" w:ascii="宋体" w:hAnsi="宋体" w:eastAsia="宋体" w:cs="宋体"/>
          <w:color w:val="auto"/>
          <w:spacing w:val="0"/>
          <w:sz w:val="28"/>
          <w:szCs w:val="28"/>
          <w:highlight w:val="none"/>
          <w:lang w:val="en-US" w:eastAsia="zh-CN"/>
        </w:rPr>
        <w:t>8-1</w:t>
      </w:r>
      <w:r>
        <w:rPr>
          <w:rFonts w:hint="eastAsia" w:ascii="宋体" w:hAnsi="宋体" w:eastAsia="宋体" w:cs="宋体"/>
          <w:color w:val="auto"/>
          <w:spacing w:val="0"/>
          <w:sz w:val="28"/>
          <w:szCs w:val="28"/>
          <w:highlight w:val="none"/>
        </w:rPr>
        <w:t>，《场地土壤环境风险评价筛选值》（北京市地方标准DB11/T811-2011）见表</w:t>
      </w:r>
      <w:r>
        <w:rPr>
          <w:rFonts w:hint="eastAsia" w:ascii="宋体" w:hAnsi="宋体" w:eastAsia="宋体" w:cs="宋体"/>
          <w:color w:val="auto"/>
          <w:spacing w:val="0"/>
          <w:sz w:val="28"/>
          <w:szCs w:val="28"/>
          <w:highlight w:val="none"/>
          <w:lang w:val="en-US" w:eastAsia="zh-CN"/>
        </w:rPr>
        <w:t>8-2</w:t>
      </w:r>
      <w:r>
        <w:rPr>
          <w:rFonts w:hint="eastAsia" w:ascii="宋体" w:hAnsi="宋体" w:eastAsia="宋体" w:cs="宋体"/>
          <w:color w:val="auto"/>
          <w:spacing w:val="0"/>
          <w:sz w:val="28"/>
          <w:szCs w:val="28"/>
          <w:highlight w:val="none"/>
        </w:rPr>
        <w:t>。</w:t>
      </w:r>
      <w:r>
        <w:rPr>
          <w:rFonts w:hint="eastAsia" w:cs="宋体"/>
          <w:color w:val="auto"/>
          <w:spacing w:val="0"/>
          <w:sz w:val="28"/>
          <w:szCs w:val="28"/>
          <w:highlight w:val="none"/>
          <w:lang w:val="en-US" w:eastAsia="zh-CN"/>
        </w:rPr>
        <w:t>三门峡鸿腾精细化工有限公司</w:t>
      </w:r>
      <w:r>
        <w:rPr>
          <w:rFonts w:hint="eastAsia" w:ascii="宋体" w:hAnsi="宋体" w:eastAsia="宋体" w:cs="宋体"/>
          <w:color w:val="auto"/>
          <w:spacing w:val="0"/>
          <w:sz w:val="28"/>
          <w:szCs w:val="28"/>
          <w:highlight w:val="none"/>
          <w:lang w:val="en-US" w:eastAsia="zh-CN"/>
        </w:rPr>
        <w:t>土壤监测数据均符合以上标准限值要求。</w:t>
      </w:r>
    </w:p>
    <w:p>
      <w:pPr>
        <w:pageBreakBefore w:val="0"/>
        <w:kinsoku/>
        <w:wordWrap/>
        <w:overflowPunct/>
        <w:topLinePunct w:val="0"/>
        <w:bidi w:val="0"/>
        <w:spacing w:line="360" w:lineRule="auto"/>
        <w:ind w:left="0" w:leftChars="0" w:right="0"/>
        <w:jc w:val="center"/>
        <w:rPr>
          <w:rFonts w:hint="eastAsia" w:ascii="宋体" w:hAnsi="宋体" w:eastAsia="宋体" w:cs="宋体"/>
          <w:b/>
          <w:color w:val="auto"/>
          <w:spacing w:val="-2"/>
          <w:sz w:val="28"/>
          <w:szCs w:val="28"/>
          <w:highlight w:val="none"/>
        </w:rPr>
      </w:pPr>
      <w:r>
        <w:rPr>
          <w:rFonts w:hint="eastAsia" w:ascii="宋体" w:hAnsi="宋体" w:eastAsia="宋体" w:cs="宋体"/>
          <w:b/>
          <w:color w:val="auto"/>
          <w:spacing w:val="-32"/>
          <w:sz w:val="28"/>
          <w:szCs w:val="28"/>
          <w:highlight w:val="none"/>
        </w:rPr>
        <w:t>表</w:t>
      </w:r>
      <w:r>
        <w:rPr>
          <w:rFonts w:hint="eastAsia" w:ascii="宋体" w:hAnsi="宋体" w:eastAsia="宋体" w:cs="宋体"/>
          <w:b/>
          <w:color w:val="auto"/>
          <w:sz w:val="28"/>
          <w:szCs w:val="28"/>
          <w:highlight w:val="none"/>
          <w:lang w:val="en-US" w:eastAsia="zh-CN"/>
        </w:rPr>
        <w:t xml:space="preserve">8-1  </w:t>
      </w:r>
      <w:r>
        <w:rPr>
          <w:rFonts w:hint="eastAsia" w:ascii="宋体" w:hAnsi="宋体" w:eastAsia="宋体" w:cs="宋体"/>
          <w:b/>
          <w:color w:val="auto"/>
          <w:spacing w:val="-2"/>
          <w:sz w:val="28"/>
          <w:szCs w:val="28"/>
          <w:highlight w:val="none"/>
        </w:rPr>
        <w:t>建设用地土壤污染风险筛选值和管制值</w:t>
      </w:r>
    </w:p>
    <w:p>
      <w:pPr>
        <w:pageBreakBefore w:val="0"/>
        <w:kinsoku/>
        <w:wordWrap/>
        <w:overflowPunct/>
        <w:topLinePunct w:val="0"/>
        <w:bidi w:val="0"/>
        <w:spacing w:line="240" w:lineRule="auto"/>
        <w:ind w:left="0" w:leftChars="0" w:right="0"/>
        <w:jc w:val="center"/>
        <w:rPr>
          <w:rFonts w:hint="eastAsia" w:ascii="宋体" w:hAnsi="宋体" w:eastAsia="宋体" w:cs="宋体"/>
          <w:bCs/>
          <w:color w:val="auto"/>
          <w:sz w:val="24"/>
          <w:highlight w:val="none"/>
        </w:rPr>
      </w:pPr>
      <w:r>
        <w:rPr>
          <w:rFonts w:hint="eastAsia" w:ascii="宋体" w:hAnsi="宋体" w:eastAsia="宋体" w:cs="宋体"/>
          <w:bCs/>
          <w:color w:val="auto"/>
          <w:spacing w:val="-2"/>
          <w:sz w:val="24"/>
          <w:highlight w:val="none"/>
        </w:rPr>
        <w:t>单位：mg/kg</w:t>
      </w:r>
    </w:p>
    <w:tbl>
      <w:tblPr>
        <w:tblStyle w:val="19"/>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754"/>
        <w:gridCol w:w="1453"/>
        <w:gridCol w:w="1146"/>
        <w:gridCol w:w="1362"/>
        <w:gridCol w:w="1310"/>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2"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序号</w:t>
            </w:r>
          </w:p>
        </w:tc>
        <w:tc>
          <w:tcPr>
            <w:tcW w:w="1754"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污染物项目</w:t>
            </w:r>
          </w:p>
        </w:tc>
        <w:tc>
          <w:tcPr>
            <w:tcW w:w="1453"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CAS编号</w:t>
            </w:r>
          </w:p>
        </w:tc>
        <w:tc>
          <w:tcPr>
            <w:tcW w:w="2508"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筛选值</w:t>
            </w:r>
          </w:p>
        </w:tc>
        <w:tc>
          <w:tcPr>
            <w:tcW w:w="2671"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jc w:val="center"/>
        </w:trPr>
        <w:tc>
          <w:tcPr>
            <w:tcW w:w="752"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754"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453"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铜</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7440-50-8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18000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铅</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7439-92-1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镉</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7440-43-9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镍</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7440-02-0</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汞</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7440-38-2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铬（六价）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18540-29-9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2-氯酚</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95-57-8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2256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硝基苯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98-95-3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91-20-3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56-55-3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䓛</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218-01-9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苯并(b)荧蒽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205-99-2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苯并(k)荧蒽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207-08-9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50-32-8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茚并(1,2,3-cd)芘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193-39-5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二苯并(a,h)蒽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53-70-3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苯胺</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62-53-3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71-43-2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108-88-3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108-90-7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乙苯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100-41-4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邻二甲苯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95-47-6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106-46-7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95-50-1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间二甲苯+对二甲苯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108-38-3,106-42-3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74-87-3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616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71-55-6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107-06-2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78-87-5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630-20-6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79-34-5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1，2，3-三氯丙烷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96-18-4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0.05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0.43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79-01-6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0.7</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127-18-4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反-1,2-二氯乙烯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156-60-5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顺-1,2-二氯乙烯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156-59-2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596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氯仿</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67-66-3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四氯化碳</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56-23-5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r>
    </w:tbl>
    <w:p>
      <w:pPr>
        <w:pStyle w:val="7"/>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8-2</w:t>
      </w:r>
      <w:r>
        <w:rPr>
          <w:rFonts w:hint="eastAsia" w:ascii="宋体" w:hAnsi="宋体" w:eastAsia="宋体" w:cs="宋体"/>
          <w:b/>
          <w:bCs/>
          <w:color w:val="auto"/>
          <w:sz w:val="28"/>
          <w:szCs w:val="28"/>
          <w:highlight w:val="none"/>
        </w:rPr>
        <w:t>农用地土壤污染风险筛选值</w:t>
      </w:r>
    </w:p>
    <w:tbl>
      <w:tblPr>
        <w:tblStyle w:val="2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990"/>
        <w:gridCol w:w="1932"/>
        <w:gridCol w:w="1307"/>
        <w:gridCol w:w="130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990"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污染物项目</w:t>
            </w:r>
          </w:p>
        </w:tc>
        <w:tc>
          <w:tcPr>
            <w:tcW w:w="5862" w:type="dxa"/>
            <w:gridSpan w:val="4"/>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07"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9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pH≤5.5</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5.5&lt;</w:t>
            </w: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.5&lt;pH≤</w:t>
            </w:r>
            <w:r>
              <w:rPr>
                <w:rFonts w:hint="eastAsia" w:ascii="宋体" w:hAnsi="宋体" w:eastAsia="宋体" w:cs="宋体"/>
                <w:bCs/>
                <w:color w:val="auto"/>
                <w:sz w:val="21"/>
                <w:szCs w:val="21"/>
                <w:highlight w:val="none"/>
                <w:lang w:eastAsia="zh-CN"/>
              </w:rPr>
              <w:t>7</w:t>
            </w:r>
            <w:r>
              <w:rPr>
                <w:rFonts w:hint="eastAsia" w:ascii="宋体" w:hAnsi="宋体" w:eastAsia="宋体" w:cs="宋体"/>
                <w:bCs/>
                <w:color w:val="auto"/>
                <w:sz w:val="21"/>
                <w:szCs w:val="21"/>
                <w:highlight w:val="none"/>
                <w:lang w:val="en-US" w:eastAsia="zh-CN"/>
              </w:rPr>
              <w:t>.5</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&gt;7</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镉</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0.3</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汞</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砷</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铅</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铬</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铜</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镍</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99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锌</w:t>
            </w:r>
          </w:p>
        </w:tc>
        <w:tc>
          <w:tcPr>
            <w:tcW w:w="193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0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1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159" w:type="dxa"/>
            <w:gridSpan w:val="6"/>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注：重金属和类金属砷均按元素总量计。</w:t>
            </w:r>
          </w:p>
        </w:tc>
      </w:tr>
    </w:tbl>
    <w:p>
      <w:pPr>
        <w:pStyle w:val="7"/>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8-3</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场地土壤环境风险评价筛选值单位：mg/kg</w:t>
      </w:r>
    </w:p>
    <w:tbl>
      <w:tblPr>
        <w:tblStyle w:val="19"/>
        <w:tblW w:w="89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0"/>
        <w:gridCol w:w="1111"/>
        <w:gridCol w:w="1987"/>
        <w:gridCol w:w="2049"/>
        <w:gridCol w:w="2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jc w:val="center"/>
        </w:trPr>
        <w:tc>
          <w:tcPr>
            <w:tcW w:w="1150" w:type="dxa"/>
            <w:tcBorders>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111"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w:t>
            </w:r>
          </w:p>
        </w:tc>
        <w:tc>
          <w:tcPr>
            <w:tcW w:w="1987"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住宅用地</w:t>
            </w:r>
          </w:p>
        </w:tc>
        <w:tc>
          <w:tcPr>
            <w:tcW w:w="2049"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公园与绿地</w:t>
            </w:r>
          </w:p>
        </w:tc>
        <w:tc>
          <w:tcPr>
            <w:tcW w:w="2641" w:type="dxa"/>
            <w:tcBorders>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工业/商服用地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8938" w:type="dxa"/>
            <w:gridSpan w:val="5"/>
            <w:tcBorders>
              <w:top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无机污染物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氟化物</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bookmarkStart w:id="232" w:name="_Toc31571"/>
            <w:bookmarkStart w:id="233" w:name="_Toc53736373"/>
            <w:bookmarkStart w:id="234" w:name="_Toc27438"/>
            <w:r>
              <w:rPr>
                <w:rFonts w:hint="eastAsia" w:ascii="宋体" w:hAnsi="宋体" w:eastAsia="宋体" w:cs="宋体"/>
                <w:bCs/>
                <w:color w:val="auto"/>
                <w:sz w:val="21"/>
                <w:szCs w:val="21"/>
                <w:highlight w:val="none"/>
                <w:lang w:val="en-US" w:eastAsia="zh-CN"/>
              </w:rPr>
              <w:t>2</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zh-CN" w:eastAsia="zh-CN" w:bidi="zh-CN"/>
              </w:rPr>
            </w:pPr>
            <w:r>
              <w:rPr>
                <w:rFonts w:hint="eastAsia" w:ascii="宋体" w:hAnsi="宋体" w:eastAsia="宋体" w:cs="宋体"/>
                <w:bCs/>
                <w:color w:val="auto"/>
                <w:sz w:val="21"/>
                <w:szCs w:val="21"/>
                <w:highlight w:val="none"/>
              </w:rPr>
              <w:t>锌</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3500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5000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10000</w:t>
            </w:r>
          </w:p>
        </w:tc>
      </w:tr>
      <w:bookmarkEnd w:id="232"/>
      <w:bookmarkEnd w:id="233"/>
      <w:bookmarkEnd w:id="234"/>
    </w:tbl>
    <w:p>
      <w:pPr>
        <w:keepNext/>
        <w:keepLines/>
        <w:pageBreakBefore w:val="0"/>
        <w:kinsoku/>
        <w:wordWrap/>
        <w:overflowPunct/>
        <w:topLinePunct w:val="0"/>
        <w:bidi w:val="0"/>
        <w:snapToGrid w:val="0"/>
        <w:spacing w:line="240" w:lineRule="auto"/>
        <w:ind w:left="0" w:leftChars="0" w:right="0"/>
        <w:jc w:val="center"/>
        <w:rPr>
          <w:rFonts w:hint="eastAsia" w:ascii="宋体" w:hAnsi="宋体" w:eastAsia="宋体" w:cs="宋体"/>
          <w:b/>
          <w:bCs/>
          <w:color w:val="auto"/>
          <w:sz w:val="28"/>
          <w:szCs w:val="28"/>
          <w:highlight w:val="none"/>
        </w:rPr>
      </w:pPr>
      <w:bookmarkStart w:id="235" w:name="_Toc21237"/>
      <w:bookmarkStart w:id="236" w:name="_Toc53736374"/>
      <w:bookmarkStart w:id="237" w:name="_Toc31982"/>
      <w:bookmarkStart w:id="238" w:name="_Toc5297"/>
      <w:bookmarkStart w:id="239" w:name="_Toc2740"/>
      <w:bookmarkStart w:id="240" w:name="_Toc30694"/>
      <w:bookmarkStart w:id="241" w:name="_Toc5706"/>
      <w:bookmarkStart w:id="242" w:name="_Toc28980"/>
      <w:bookmarkStart w:id="243" w:name="_Toc12882"/>
      <w:bookmarkStart w:id="244" w:name="_Toc9907"/>
      <w:r>
        <w:rPr>
          <w:rFonts w:hint="eastAsia" w:ascii="宋体" w:hAnsi="宋体" w:eastAsia="宋体" w:cs="宋体"/>
          <w:b/>
          <w:bCs/>
          <w:color w:val="auto"/>
          <w:sz w:val="28"/>
          <w:szCs w:val="28"/>
          <w:highlight w:val="none"/>
          <w:lang w:val="en-US" w:eastAsia="zh-CN"/>
        </w:rPr>
        <w:t>表8-4土壤采样点位及</w:t>
      </w:r>
      <w:r>
        <w:rPr>
          <w:rFonts w:hint="eastAsia" w:ascii="宋体" w:hAnsi="宋体" w:eastAsia="宋体" w:cs="宋体"/>
          <w:b/>
          <w:bCs/>
          <w:color w:val="auto"/>
          <w:sz w:val="28"/>
          <w:szCs w:val="28"/>
          <w:highlight w:val="none"/>
        </w:rPr>
        <w:t>样品信息</w:t>
      </w:r>
    </w:p>
    <w:bookmarkEnd w:id="235"/>
    <w:bookmarkEnd w:id="236"/>
    <w:bookmarkEnd w:id="237"/>
    <w:bookmarkEnd w:id="238"/>
    <w:bookmarkEnd w:id="239"/>
    <w:bookmarkEnd w:id="240"/>
    <w:bookmarkEnd w:id="241"/>
    <w:bookmarkEnd w:id="242"/>
    <w:bookmarkEnd w:id="243"/>
    <w:bookmarkEnd w:id="244"/>
    <w:tbl>
      <w:tblPr>
        <w:tblStyle w:val="19"/>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91"/>
        <w:gridCol w:w="1738"/>
        <w:gridCol w:w="2490"/>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jc w:val="center"/>
        </w:trPr>
        <w:tc>
          <w:tcPr>
            <w:tcW w:w="3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类别</w:t>
            </w:r>
          </w:p>
        </w:tc>
        <w:tc>
          <w:tcPr>
            <w:tcW w:w="88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采样点位</w:t>
            </w:r>
          </w:p>
        </w:tc>
        <w:tc>
          <w:tcPr>
            <w:tcW w:w="9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监测日期</w:t>
            </w:r>
          </w:p>
        </w:tc>
        <w:tc>
          <w:tcPr>
            <w:tcW w:w="137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采样点位坐标</w:t>
            </w:r>
          </w:p>
        </w:tc>
        <w:tc>
          <w:tcPr>
            <w:tcW w:w="13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9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土壤</w:t>
            </w:r>
          </w:p>
        </w:tc>
        <w:tc>
          <w:tcPr>
            <w:tcW w:w="88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成品仓库</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2023年6月8日</w:t>
            </w:r>
          </w:p>
        </w:tc>
        <w:tc>
          <w:tcPr>
            <w:tcW w:w="1378"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rPr>
              <w:t>N</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27.039</w:t>
            </w:r>
            <w:r>
              <w:rPr>
                <w:rFonts w:hint="eastAsia" w:ascii="宋体" w:hAnsi="宋体" w:eastAsia="宋体" w:cs="宋体"/>
                <w:color w:val="auto"/>
                <w:kern w:val="0"/>
                <w:sz w:val="24"/>
                <w:szCs w:val="24"/>
                <w:highlight w:val="none"/>
              </w:rPr>
              <w:t>''  E</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11.393</w:t>
            </w:r>
            <w:r>
              <w:rPr>
                <w:rFonts w:hint="eastAsia" w:ascii="宋体" w:hAnsi="宋体" w:eastAsia="宋体" w:cs="宋体"/>
                <w:color w:val="auto"/>
                <w:kern w:val="0"/>
                <w:sz w:val="24"/>
                <w:szCs w:val="24"/>
                <w:highlight w:val="none"/>
              </w:rPr>
              <w:t>''</w:t>
            </w:r>
          </w:p>
        </w:tc>
        <w:tc>
          <w:tcPr>
            <w:tcW w:w="13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93"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液氯气化区、应急罐、液氯槽车区</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2023年6月8日</w:t>
            </w:r>
          </w:p>
        </w:tc>
        <w:tc>
          <w:tcPr>
            <w:tcW w:w="0" w:type="auto"/>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rPr>
              <w:t>N</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27.674</w:t>
            </w:r>
            <w:r>
              <w:rPr>
                <w:rFonts w:hint="eastAsia" w:ascii="宋体" w:hAnsi="宋体" w:eastAsia="宋体" w:cs="宋体"/>
                <w:color w:val="auto"/>
                <w:kern w:val="0"/>
                <w:sz w:val="24"/>
                <w:szCs w:val="24"/>
                <w:highlight w:val="none"/>
              </w:rPr>
              <w:t>''  E</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8.573</w:t>
            </w:r>
            <w:r>
              <w:rPr>
                <w:rFonts w:hint="eastAsia" w:ascii="宋体" w:hAnsi="宋体" w:eastAsia="宋体" w:cs="宋体"/>
                <w:color w:val="auto"/>
                <w:kern w:val="0"/>
                <w:sz w:val="24"/>
                <w:szCs w:val="24"/>
                <w:highlight w:val="none"/>
              </w:rPr>
              <w:t>''</w:t>
            </w:r>
          </w:p>
        </w:tc>
        <w:tc>
          <w:tcPr>
            <w:tcW w:w="1386" w:type="pct"/>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93"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液蜡罐区</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2023年6月8日</w:t>
            </w:r>
          </w:p>
        </w:tc>
        <w:tc>
          <w:tcPr>
            <w:tcW w:w="0" w:type="auto"/>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rPr>
              <w:t>N</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28.865</w:t>
            </w:r>
            <w:r>
              <w:rPr>
                <w:rFonts w:hint="eastAsia" w:ascii="宋体" w:hAnsi="宋体" w:eastAsia="宋体" w:cs="宋体"/>
                <w:color w:val="auto"/>
                <w:kern w:val="0"/>
                <w:sz w:val="24"/>
                <w:szCs w:val="24"/>
                <w:highlight w:val="none"/>
              </w:rPr>
              <w:t>''  E</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9.317</w:t>
            </w:r>
            <w:r>
              <w:rPr>
                <w:rFonts w:hint="eastAsia" w:ascii="宋体" w:hAnsi="宋体" w:eastAsia="宋体" w:cs="宋体"/>
                <w:color w:val="auto"/>
                <w:kern w:val="0"/>
                <w:sz w:val="24"/>
                <w:szCs w:val="24"/>
                <w:highlight w:val="none"/>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93"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盐酸罐区</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2023年6月8日</w:t>
            </w:r>
          </w:p>
        </w:tc>
        <w:tc>
          <w:tcPr>
            <w:tcW w:w="0" w:type="auto"/>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rPr>
              <w:t>N</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25.959</w:t>
            </w:r>
            <w:r>
              <w:rPr>
                <w:rFonts w:hint="eastAsia" w:ascii="宋体" w:hAnsi="宋体" w:eastAsia="宋体" w:cs="宋体"/>
                <w:color w:val="auto"/>
                <w:kern w:val="0"/>
                <w:sz w:val="24"/>
                <w:szCs w:val="24"/>
                <w:highlight w:val="none"/>
              </w:rPr>
              <w:t>''  E</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12.402</w:t>
            </w:r>
            <w:r>
              <w:rPr>
                <w:rFonts w:hint="eastAsia" w:ascii="宋体" w:hAnsi="宋体" w:eastAsia="宋体" w:cs="宋体"/>
                <w:color w:val="auto"/>
                <w:kern w:val="0"/>
                <w:sz w:val="24"/>
                <w:szCs w:val="24"/>
                <w:highlight w:val="none"/>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93" w:type="pct"/>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4"/>
                <w:szCs w:val="24"/>
                <w:highlight w:val="none"/>
                <w:lang w:eastAsia="zh-CN"/>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2023年6月8日</w:t>
            </w:r>
          </w:p>
        </w:tc>
        <w:tc>
          <w:tcPr>
            <w:tcW w:w="0" w:type="auto"/>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rPr>
              <w:t>N</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26.849</w:t>
            </w:r>
            <w:r>
              <w:rPr>
                <w:rFonts w:hint="eastAsia" w:ascii="宋体" w:hAnsi="宋体" w:eastAsia="宋体" w:cs="宋体"/>
                <w:color w:val="auto"/>
                <w:kern w:val="0"/>
                <w:sz w:val="24"/>
                <w:szCs w:val="24"/>
                <w:highlight w:val="none"/>
              </w:rPr>
              <w:t>''  E</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13.623</w:t>
            </w:r>
            <w:r>
              <w:rPr>
                <w:rFonts w:hint="eastAsia" w:ascii="宋体" w:hAnsi="宋体" w:eastAsia="宋体" w:cs="宋体"/>
                <w:color w:val="auto"/>
                <w:kern w:val="0"/>
                <w:sz w:val="24"/>
                <w:szCs w:val="24"/>
                <w:highlight w:val="none"/>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固态、</w:t>
            </w:r>
            <w:r>
              <w:rPr>
                <w:rFonts w:hint="eastAsia" w:ascii="宋体" w:hAnsi="宋体" w:eastAsia="宋体" w:cs="宋体"/>
                <w:color w:val="auto"/>
                <w:kern w:val="0"/>
                <w:sz w:val="24"/>
                <w:szCs w:val="24"/>
                <w:highlight w:val="none"/>
                <w:lang w:val="en-US" w:eastAsia="zh-CN"/>
              </w:rPr>
              <w:t>红</w:t>
            </w:r>
            <w:r>
              <w:rPr>
                <w:rFonts w:hint="eastAsia" w:ascii="宋体" w:hAnsi="宋体" w:eastAsia="宋体" w:cs="宋体"/>
                <w:color w:val="auto"/>
                <w:kern w:val="0"/>
                <w:sz w:val="24"/>
                <w:szCs w:val="24"/>
                <w:highlight w:val="none"/>
              </w:rPr>
              <w:t>色、</w:t>
            </w:r>
            <w:r>
              <w:rPr>
                <w:rFonts w:hint="eastAsia" w:ascii="宋体" w:hAnsi="宋体" w:eastAsia="宋体" w:cs="宋体"/>
                <w:color w:val="auto"/>
                <w:kern w:val="0"/>
                <w:sz w:val="24"/>
                <w:szCs w:val="24"/>
                <w:highlight w:val="none"/>
                <w:lang w:val="en-US" w:eastAsia="zh-CN"/>
              </w:rPr>
              <w:t>壤土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干燥</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无</w:t>
            </w:r>
            <w:r>
              <w:rPr>
                <w:rFonts w:hint="eastAsia" w:ascii="宋体" w:hAnsi="宋体" w:eastAsia="宋体" w:cs="宋体"/>
                <w:color w:val="auto"/>
                <w:kern w:val="0"/>
                <w:sz w:val="24"/>
                <w:szCs w:val="24"/>
                <w:highlight w:val="none"/>
              </w:rPr>
              <w:t>砂粒、</w:t>
            </w:r>
            <w:r>
              <w:rPr>
                <w:rFonts w:hint="eastAsia" w:ascii="宋体" w:hAnsi="宋体" w:eastAsia="宋体" w:cs="宋体"/>
                <w:color w:val="auto"/>
                <w:kern w:val="0"/>
                <w:sz w:val="24"/>
                <w:szCs w:val="24"/>
                <w:highlight w:val="none"/>
                <w:lang w:val="en-US" w:eastAsia="zh-CN"/>
              </w:rPr>
              <w:t>少量根系</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45" w:name="_Toc29214"/>
      <w:r>
        <w:rPr>
          <w:rFonts w:hint="eastAsia" w:ascii="宋体" w:hAnsi="宋体" w:eastAsia="宋体" w:cs="宋体"/>
          <w:b/>
          <w:bCs/>
          <w:kern w:val="2"/>
          <w:sz w:val="28"/>
          <w:szCs w:val="32"/>
          <w:lang w:val="en-US" w:eastAsia="zh-CN" w:bidi="ar-SA"/>
        </w:rPr>
        <w:t>8.2监测结果</w:t>
      </w:r>
      <w:bookmarkEnd w:id="228"/>
      <w:bookmarkEnd w:id="229"/>
      <w:bookmarkEnd w:id="230"/>
      <w:bookmarkEnd w:id="231"/>
      <w:bookmarkEnd w:id="245"/>
    </w:p>
    <w:p>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left"/>
        <w:textAlignment w:val="auto"/>
        <w:rPr>
          <w:rFonts w:hint="eastAsia" w:ascii="宋体" w:hAnsi="宋体" w:eastAsia="宋体" w:cs="宋体"/>
          <w:color w:val="auto"/>
          <w:kern w:val="2"/>
          <w:sz w:val="28"/>
          <w:szCs w:val="28"/>
          <w:highlight w:val="none"/>
          <w:lang w:val="zh-CN" w:eastAsia="zh-CN" w:bidi="zh-CN"/>
        </w:rPr>
      </w:pPr>
      <w:r>
        <w:rPr>
          <w:rFonts w:hint="eastAsia" w:ascii="宋体" w:hAnsi="宋体" w:eastAsia="宋体" w:cs="宋体"/>
          <w:color w:val="auto"/>
          <w:kern w:val="2"/>
          <w:sz w:val="28"/>
          <w:szCs w:val="28"/>
          <w:highlight w:val="none"/>
          <w:lang w:val="zh-CN" w:eastAsia="zh-CN" w:bidi="zh-CN"/>
        </w:rPr>
        <w:t>监测结果汇总情况见下表：</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highlight w:val="none"/>
        </w:rPr>
      </w:pPr>
      <w:bookmarkStart w:id="246" w:name="_Toc27605"/>
      <w:bookmarkStart w:id="247" w:name="_Toc1875"/>
      <w:bookmarkStart w:id="248" w:name="_Toc20781"/>
      <w:r>
        <w:rPr>
          <w:rFonts w:hint="eastAsia" w:ascii="宋体" w:hAnsi="宋体" w:eastAsia="宋体" w:cs="宋体"/>
          <w:b/>
          <w:color w:val="auto"/>
          <w:sz w:val="24"/>
          <w:highlight w:val="none"/>
        </w:rPr>
        <w:t>表</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 xml:space="preserve">  土壤检测结果统计表</w:t>
      </w:r>
    </w:p>
    <w:tbl>
      <w:tblPr>
        <w:tblStyle w:val="19"/>
        <w:tblW w:w="9258" w:type="dxa"/>
        <w:jc w:val="center"/>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8"/>
        <w:gridCol w:w="1845"/>
        <w:gridCol w:w="1681"/>
        <w:gridCol w:w="1494"/>
        <w:gridCol w:w="1673"/>
        <w:gridCol w:w="1487"/>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107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84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1078"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84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成品仓库</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27.039</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11.393</w:t>
            </w:r>
            <w:r>
              <w:rPr>
                <w:rFonts w:hint="eastAsia" w:ascii="宋体" w:hAnsi="宋体" w:eastAsia="宋体" w:cs="宋体"/>
                <w:color w:val="auto"/>
                <w:kern w:val="0"/>
                <w:sz w:val="24"/>
                <w:highlight w:val="none"/>
              </w:rPr>
              <w:t>''）</w:t>
            </w: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8.03</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13.8</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0.82</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47</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107</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.281</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69</w:t>
            </w:r>
            <w:r>
              <w:rPr>
                <w:rFonts w:hint="eastAsia" w:ascii="宋体" w:hAnsi="宋体" w:eastAsia="宋体" w:cs="宋体"/>
                <w:color w:val="auto"/>
                <w:kern w:val="0"/>
                <w:sz w:val="24"/>
                <w:highlight w:val="none"/>
              </w:rPr>
              <w:t>mg/kg</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4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9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107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4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654"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 xml:space="preserve"> 土壤检测结果统计表</w:t>
      </w:r>
    </w:p>
    <w:tbl>
      <w:tblPr>
        <w:tblStyle w:val="19"/>
        <w:tblW w:w="9138" w:type="dxa"/>
        <w:tblInd w:w="0"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9"/>
        <w:gridCol w:w="1543"/>
        <w:gridCol w:w="1970"/>
        <w:gridCol w:w="1490"/>
        <w:gridCol w:w="1665"/>
        <w:gridCol w:w="1481"/>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tblHeader/>
        </w:trPr>
        <w:tc>
          <w:tcPr>
            <w:tcW w:w="98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5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543"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液氯气化区、应急罐、液氯槽车区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27.674</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8.573</w:t>
            </w:r>
            <w:r>
              <w:rPr>
                <w:rFonts w:hint="eastAsia" w:ascii="宋体" w:hAnsi="宋体" w:eastAsia="宋体" w:cs="宋体"/>
                <w:color w:val="auto"/>
                <w:kern w:val="0"/>
                <w:sz w:val="24"/>
                <w:highlight w:val="none"/>
              </w:rPr>
              <w:t>''）</w:t>
            </w: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7.92</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12.9</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0.85</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47</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107</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.193</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69</w:t>
            </w:r>
            <w:r>
              <w:rPr>
                <w:rFonts w:hint="eastAsia" w:ascii="宋体" w:hAnsi="宋体" w:eastAsia="宋体" w:cs="宋体"/>
                <w:color w:val="auto"/>
                <w:kern w:val="0"/>
                <w:sz w:val="24"/>
                <w:highlight w:val="none"/>
              </w:rPr>
              <w:t>mg/kg</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4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98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54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97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636"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 xml:space="preserve"> 土壤检测结果统计表</w:t>
      </w:r>
    </w:p>
    <w:tbl>
      <w:tblPr>
        <w:tblStyle w:val="19"/>
        <w:tblW w:w="933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28"/>
        <w:gridCol w:w="1558"/>
        <w:gridCol w:w="1931"/>
        <w:gridCol w:w="1499"/>
        <w:gridCol w:w="1642"/>
        <w:gridCol w:w="1479"/>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122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5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558"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液蜡罐区</w:t>
            </w:r>
          </w:p>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28.865</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9.317</w:t>
            </w:r>
            <w:r>
              <w:rPr>
                <w:rFonts w:hint="eastAsia" w:ascii="宋体" w:hAnsi="宋体" w:eastAsia="宋体" w:cs="宋体"/>
                <w:color w:val="auto"/>
                <w:kern w:val="0"/>
                <w:sz w:val="24"/>
                <w:highlight w:val="none"/>
              </w:rPr>
              <w:t>''）</w:t>
            </w: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7.85</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7"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12.0</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0.74</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46</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103</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.243</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90</w:t>
            </w:r>
            <w:r>
              <w:rPr>
                <w:rFonts w:hint="eastAsia" w:ascii="宋体" w:hAnsi="宋体" w:eastAsia="宋体" w:cs="宋体"/>
                <w:color w:val="auto"/>
                <w:kern w:val="0"/>
                <w:sz w:val="24"/>
                <w:highlight w:val="none"/>
              </w:rPr>
              <w:t>mg/kg</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55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7"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9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8" w:hRule="atLeast"/>
        </w:trPr>
        <w:tc>
          <w:tcPr>
            <w:tcW w:w="122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55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9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620"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土壤检测结果统计表</w:t>
      </w:r>
    </w:p>
    <w:tbl>
      <w:tblPr>
        <w:tblStyle w:val="19"/>
        <w:tblW w:w="9237" w:type="dxa"/>
        <w:jc w:val="center"/>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7"/>
        <w:gridCol w:w="1734"/>
        <w:gridCol w:w="2005"/>
        <w:gridCol w:w="1504"/>
        <w:gridCol w:w="1595"/>
        <w:gridCol w:w="1412"/>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6" w:hRule="atLeast"/>
          <w:tblHeader/>
          <w:jc w:val="center"/>
        </w:trPr>
        <w:tc>
          <w:tcPr>
            <w:tcW w:w="98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73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734"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盐酸罐区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25.959</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12.402</w:t>
            </w:r>
            <w:r>
              <w:rPr>
                <w:rFonts w:hint="eastAsia" w:ascii="宋体" w:hAnsi="宋体" w:eastAsia="宋体" w:cs="宋体"/>
                <w:color w:val="auto"/>
                <w:kern w:val="0"/>
                <w:sz w:val="24"/>
                <w:highlight w:val="none"/>
              </w:rPr>
              <w:t>''）</w:t>
            </w: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7.79</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10.6</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0.55</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48</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108</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.348</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95</w:t>
            </w:r>
            <w:r>
              <w:rPr>
                <w:rFonts w:hint="eastAsia" w:ascii="宋体" w:hAnsi="宋体" w:eastAsia="宋体" w:cs="宋体"/>
                <w:color w:val="auto"/>
                <w:kern w:val="0"/>
                <w:sz w:val="24"/>
                <w:highlight w:val="none"/>
              </w:rPr>
              <w:t>mg/kg</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98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3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59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9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3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20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511"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土壤检测结果统计表</w:t>
      </w:r>
    </w:p>
    <w:tbl>
      <w:tblPr>
        <w:tblStyle w:val="19"/>
        <w:tblW w:w="907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5"/>
        <w:gridCol w:w="1741"/>
        <w:gridCol w:w="2014"/>
        <w:gridCol w:w="1479"/>
        <w:gridCol w:w="1603"/>
        <w:gridCol w:w="1255"/>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blHeader/>
        </w:trPr>
        <w:tc>
          <w:tcPr>
            <w:tcW w:w="98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74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741"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土壤背景监测点（N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26.849</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13.623</w:t>
            </w:r>
            <w:r>
              <w:rPr>
                <w:rFonts w:hint="eastAsia" w:ascii="宋体" w:hAnsi="宋体" w:eastAsia="宋体" w:cs="宋体"/>
                <w:color w:val="auto"/>
                <w:kern w:val="0"/>
                <w:sz w:val="24"/>
                <w:highlight w:val="none"/>
              </w:rPr>
              <w:t>''）</w:t>
            </w: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8.14</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11.9</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0.64</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47</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106</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.260</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68</w:t>
            </w:r>
            <w:r>
              <w:rPr>
                <w:rFonts w:hint="eastAsia" w:ascii="宋体" w:hAnsi="宋体" w:eastAsia="宋体" w:cs="宋体"/>
                <w:color w:val="auto"/>
                <w:kern w:val="0"/>
                <w:sz w:val="24"/>
                <w:highlight w:val="none"/>
              </w:rPr>
              <w:t>mg/kg</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2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9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174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p>
        </w:tc>
        <w:tc>
          <w:tcPr>
            <w:tcW w:w="201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337"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无</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pStyle w:val="3"/>
        <w:bidi w:val="0"/>
        <w:spacing w:line="360" w:lineRule="auto"/>
        <w:rPr>
          <w:rFonts w:hint="eastAsia" w:ascii="宋体" w:hAnsi="宋体" w:eastAsia="宋体" w:cs="宋体"/>
          <w:lang w:val="en-US" w:eastAsia="zh-CN"/>
        </w:rPr>
      </w:pPr>
      <w:bookmarkStart w:id="249" w:name="_Toc25727"/>
    </w:p>
    <w:p>
      <w:pPr>
        <w:pStyle w:val="3"/>
        <w:bidi w:val="0"/>
        <w:spacing w:line="360" w:lineRule="auto"/>
        <w:rPr>
          <w:rFonts w:hint="eastAsia" w:ascii="宋体" w:hAnsi="宋体" w:eastAsia="宋体" w:cs="宋体"/>
          <w:lang w:val="en-US" w:eastAsia="zh-CN"/>
        </w:rPr>
      </w:pPr>
      <w:r>
        <w:rPr>
          <w:rFonts w:hint="eastAsia" w:ascii="宋体" w:hAnsi="宋体" w:eastAsia="宋体" w:cs="宋体"/>
          <w:lang w:val="en-US" w:eastAsia="zh-CN"/>
        </w:rPr>
        <w:t>9质量保证与质量控制</w:t>
      </w:r>
      <w:bookmarkEnd w:id="246"/>
      <w:bookmarkEnd w:id="247"/>
      <w:bookmarkEnd w:id="248"/>
      <w:bookmarkEnd w:id="249"/>
    </w:p>
    <w:p>
      <w:pPr>
        <w:keepNext/>
        <w:keepLines/>
        <w:widowControl w:val="0"/>
        <w:numPr>
          <w:ilvl w:val="1"/>
          <w:numId w:val="1"/>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50" w:name="_Toc10409"/>
      <w:bookmarkStart w:id="251" w:name="_Toc13167"/>
      <w:bookmarkStart w:id="252" w:name="_Toc2115"/>
      <w:bookmarkStart w:id="253" w:name="_Toc7011"/>
      <w:bookmarkStart w:id="254" w:name="_Toc29954"/>
      <w:bookmarkStart w:id="255" w:name="_Toc7047"/>
      <w:r>
        <w:rPr>
          <w:rFonts w:hint="eastAsia" w:ascii="宋体" w:hAnsi="宋体" w:eastAsia="宋体" w:cs="宋体"/>
          <w:b/>
          <w:bCs/>
          <w:kern w:val="2"/>
          <w:sz w:val="28"/>
          <w:szCs w:val="32"/>
          <w:lang w:val="en-US" w:eastAsia="zh-CN" w:bidi="ar-SA"/>
        </w:rPr>
        <w:t>9.1自行监测质量体系</w:t>
      </w:r>
      <w:bookmarkEnd w:id="250"/>
      <w:bookmarkEnd w:id="251"/>
      <w:bookmarkEnd w:id="252"/>
      <w:bookmarkEnd w:id="253"/>
      <w:bookmarkEnd w:id="254"/>
      <w:bookmarkEnd w:id="255"/>
    </w:p>
    <w:p>
      <w:pPr>
        <w:spacing w:line="360" w:lineRule="auto"/>
        <w:ind w:firstLine="560" w:firstLineChars="200"/>
        <w:outlineLvl w:val="9"/>
        <w:rPr>
          <w:rFonts w:hint="eastAsia" w:ascii="宋体" w:hAnsi="宋体" w:eastAsia="宋体" w:cs="宋体"/>
          <w:color w:val="auto"/>
          <w:spacing w:val="0"/>
          <w:kern w:val="2"/>
          <w:sz w:val="28"/>
          <w:szCs w:val="28"/>
          <w:highlight w:val="none"/>
          <w:lang w:val="en-US" w:eastAsia="zh-CN" w:bidi="zh-CN"/>
        </w:rPr>
      </w:pPr>
      <w:bookmarkStart w:id="256" w:name="_Toc32423"/>
      <w:r>
        <w:rPr>
          <w:rFonts w:hint="eastAsia" w:ascii="宋体" w:hAnsi="宋体" w:eastAsia="宋体" w:cs="宋体"/>
          <w:color w:val="auto"/>
          <w:spacing w:val="0"/>
          <w:kern w:val="2"/>
          <w:sz w:val="28"/>
          <w:szCs w:val="28"/>
          <w:highlight w:val="none"/>
          <w:lang w:val="en-US" w:eastAsia="zh-CN" w:bidi="zh-CN"/>
        </w:rPr>
        <w:t>三门峡鸿腾精细化工有限公司2023年度土壤和地下水检测工作由洛阳市达峰环境检测有限公司负责，公司拥有河南省质量技术监督局颁发的检验检测机构资质认定证书（洛阳市达峰环境检测有限公司：证书编号201612050382，有效期2026年11月9日。公司质量体系完善，符合实验室分析工作的条件和相应资质要求，凡承担本项目的采样和检测分析等的人员均通过公司考核并持证上岗。</w:t>
      </w:r>
      <w:bookmarkEnd w:id="256"/>
    </w:p>
    <w:p>
      <w:pPr>
        <w:keepNext/>
        <w:keepLines/>
        <w:widowControl w:val="0"/>
        <w:numPr>
          <w:ilvl w:val="1"/>
          <w:numId w:val="1"/>
        </w:numPr>
        <w:bidi w:val="0"/>
        <w:spacing w:line="480" w:lineRule="auto"/>
        <w:ind w:firstLine="0" w:firstLineChars="0"/>
        <w:jc w:val="left"/>
        <w:outlineLvl w:val="1"/>
        <w:rPr>
          <w:rFonts w:hint="eastAsia" w:ascii="宋体" w:hAnsi="宋体" w:eastAsia="宋体" w:cs="宋体"/>
          <w:b/>
          <w:bCs/>
          <w:kern w:val="2"/>
          <w:sz w:val="28"/>
          <w:szCs w:val="32"/>
          <w:lang w:val="en-US" w:eastAsia="zh-CN" w:bidi="ar-SA"/>
        </w:rPr>
      </w:pPr>
      <w:bookmarkStart w:id="257" w:name="_Toc20216"/>
      <w:bookmarkStart w:id="258" w:name="_Toc5560"/>
      <w:bookmarkStart w:id="259" w:name="_Toc7617"/>
      <w:bookmarkStart w:id="260" w:name="_Toc23714"/>
      <w:r>
        <w:rPr>
          <w:rFonts w:hint="eastAsia" w:ascii="宋体" w:hAnsi="宋体" w:eastAsia="宋体" w:cs="宋体"/>
          <w:b/>
          <w:bCs/>
          <w:kern w:val="2"/>
          <w:sz w:val="28"/>
          <w:szCs w:val="32"/>
          <w:lang w:val="en-US" w:eastAsia="zh-CN" w:bidi="ar-SA"/>
        </w:rPr>
        <w:t>9.2监测方案制定的质量保证与控制</w:t>
      </w:r>
      <w:bookmarkEnd w:id="257"/>
      <w:bookmarkEnd w:id="258"/>
      <w:bookmarkEnd w:id="259"/>
      <w:bookmarkEnd w:id="260"/>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b w:val="0"/>
          <w:bCs w:val="0"/>
          <w:snapToGrid/>
          <w:color w:val="auto"/>
          <w:kern w:val="2"/>
          <w:sz w:val="28"/>
          <w:szCs w:val="24"/>
          <w:highlight w:val="none"/>
          <w:lang w:val="en-US" w:eastAsia="zh-CN" w:bidi="ar-SA"/>
        </w:rPr>
        <w:t>三门峡鸿腾精细化工有限公司</w:t>
      </w:r>
      <w:r>
        <w:rPr>
          <w:rFonts w:hint="eastAsia" w:ascii="宋体" w:hAnsi="宋体" w:eastAsia="宋体" w:cs="宋体"/>
          <w:snapToGrid/>
          <w:color w:val="auto"/>
          <w:spacing w:val="6"/>
          <w:kern w:val="2"/>
          <w:sz w:val="28"/>
          <w:szCs w:val="24"/>
          <w:highlight w:val="none"/>
          <w:lang w:val="en-US" w:eastAsia="zh-CN" w:bidi="ar-SA"/>
        </w:rPr>
        <w:t>2023年度土壤可满足监测要求，主要包含以下内容：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1）重点单元识别与分类依据满足《工业企业土壤和地下水自行监测技术指南（试行）》（HJ1209-2021）的要求，已按照HJ1209-2021要求提供了重点监测单元清单及标记有重点单元及监测点/监测井位置的企业总平面布置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（2）土壤监测点的位置、数量和深度满足HJ1209-2021中“5.2监测点位”的要求；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（3）土壤的监测指标、监测频次满足HJ1209-2021中“5.3监测指标与频次”的要求；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84" w:firstLineChars="200"/>
        <w:jc w:val="left"/>
        <w:textAlignment w:val="auto"/>
        <w:outlineLvl w:val="2"/>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（4）已核实土壤的监测点位具备采样条件。</w:t>
      </w:r>
    </w:p>
    <w:p>
      <w:pPr>
        <w:pStyle w:val="3"/>
        <w:outlineLvl w:val="9"/>
        <w:rPr>
          <w:rFonts w:hint="eastAsia" w:ascii="宋体" w:hAnsi="宋体" w:eastAsia="宋体" w:cs="宋体"/>
          <w:lang w:val="zh-CN" w:eastAsia="zh-CN"/>
        </w:rPr>
      </w:pP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61" w:name="_Toc29355"/>
      <w:bookmarkStart w:id="262" w:name="_Toc27575"/>
      <w:bookmarkStart w:id="263" w:name="_Toc7375"/>
      <w:bookmarkStart w:id="264" w:name="_Toc6183"/>
      <w:bookmarkStart w:id="265" w:name="_Toc28152"/>
      <w:bookmarkStart w:id="266" w:name="_Toc16281"/>
      <w:r>
        <w:rPr>
          <w:rFonts w:hint="eastAsia" w:ascii="宋体" w:hAnsi="宋体" w:eastAsia="宋体" w:cs="宋体"/>
          <w:b/>
          <w:bCs/>
          <w:kern w:val="2"/>
          <w:sz w:val="28"/>
          <w:szCs w:val="32"/>
          <w:lang w:val="en-US" w:eastAsia="zh-CN" w:bidi="ar-SA"/>
        </w:rPr>
        <w:t>9.3样品采集、保存、流转、制备与分析的质量保证与控制</w:t>
      </w:r>
      <w:bookmarkEnd w:id="261"/>
      <w:bookmarkEnd w:id="262"/>
      <w:bookmarkEnd w:id="263"/>
      <w:bookmarkEnd w:id="264"/>
      <w:bookmarkEnd w:id="265"/>
      <w:bookmarkEnd w:id="266"/>
    </w:p>
    <w:p>
      <w:pPr>
        <w:keepNext/>
        <w:keepLines/>
        <w:widowControl w:val="0"/>
        <w:spacing w:line="360" w:lineRule="auto"/>
        <w:jc w:val="both"/>
        <w:outlineLvl w:val="2"/>
        <w:rPr>
          <w:rFonts w:hint="eastAsia" w:ascii="宋体" w:hAnsi="宋体" w:eastAsia="宋体" w:cs="宋体"/>
          <w:color w:val="auto"/>
          <w:kern w:val="2"/>
          <w:sz w:val="28"/>
          <w:szCs w:val="24"/>
          <w:highlight w:val="none"/>
          <w:lang w:val="en-US" w:eastAsia="zh-CN" w:bidi="ar-SA"/>
        </w:rPr>
      </w:pPr>
      <w:bookmarkStart w:id="267" w:name="_Toc11334"/>
      <w:bookmarkStart w:id="268" w:name="_Toc19209"/>
      <w:bookmarkStart w:id="269" w:name="_Toc107924599"/>
      <w:bookmarkStart w:id="270" w:name="_Toc23156"/>
      <w:bookmarkStart w:id="271" w:name="_Toc25326"/>
      <w:bookmarkStart w:id="272" w:name="_Toc11242"/>
      <w:r>
        <w:rPr>
          <w:rFonts w:hint="eastAsia" w:ascii="宋体" w:hAnsi="宋体" w:eastAsia="宋体" w:cs="宋体"/>
          <w:color w:val="auto"/>
          <w:kern w:val="2"/>
          <w:sz w:val="28"/>
          <w:szCs w:val="24"/>
          <w:highlight w:val="none"/>
          <w:lang w:val="en-US" w:eastAsia="zh-CN" w:bidi="ar-SA"/>
        </w:rPr>
        <w:t>9.3.1采样过程中的质量控制</w:t>
      </w:r>
      <w:bookmarkEnd w:id="267"/>
      <w:bookmarkEnd w:id="268"/>
      <w:bookmarkEnd w:id="269"/>
      <w:bookmarkEnd w:id="270"/>
      <w:bookmarkEnd w:id="271"/>
      <w:bookmarkEnd w:id="272"/>
    </w:p>
    <w:p>
      <w:pPr>
        <w:bidi w:val="0"/>
        <w:spacing w:line="360" w:lineRule="auto"/>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（1）采样前准备</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采样前组织操作培训，对采样操作规范、安全须知等进行充分交底，保证采样的规范与安全。根据需要按国家有关危险物质使用及健康安全等相关法规制订现场人员安全防护计划，并对相关人员进行必要的培训。</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采样人员通过岗前培训、持证上岗，掌握土壤采样技术和要求，熟悉采样器具的使用和样品的保存运输条件。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现场人员按有关规定，使用个人防护装备，严格执行现场设备操作规范。根据采样方案，准备各种记录表单、必需的监控器材、足够的取样器材，并进行消毒或预先清洗。</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（2）土壤样品采集质量控制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土壤样品的采集按照《建设用地土壤污染风险管控和修复监测技术导则》（HJ25.2-2019）、《土壤环境监测技术规范》（HJ/T166-2004）等要求进行。</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①防止采样过程中的交叉污染：</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在两次钻孔之间，钻探设备进行清洗；同一钻孔在不同深度采样时，对钻探设备、取样装置也进行清洗；与土壤接触的其他采样工具重复使用时，进行清洗后使用。采样过程中佩戴有一次性手套，为避免不同样品之间的交叉污染，每采集一个样品都更换手套。每采完一次样，都将采样工具用自来水洗净后再用蒸馏水淋洗一遍。</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②防止采样的二次污染：</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每个采样点钻探结束后，都将所有剩余的废弃土覆盖塑料布保护，待土壤污染状况调查工作结束后，装入垃圾袋内，统一进行规范处置。</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③规范采样操作：</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采样时优先采集挥发性有机物、半挥发性有机物、石油烃、六价铬样品，然后使用竹刀采集重金属及无机物等样品。首先竹刀刮除表层土壤，立即用非扰动取样器采集足量样品迅速推入40mL吹扫捕集瓶，然后使用竹刀采集半挥发性、重金属样品，半挥发性样品足量装入250ml棕色玻璃瓶，重金属样品置于自封袋中。挥发性有机物采集3个样品，其余采集1个样品，将同一取样深度不同类别样品再分别置于自封袋中保存。按照质量控制要求准备全程序空白样和运输空白样品。土壤样品采集完成后，在样品瓶上标明编号等采样信息，并做好现场记录。样品采集成功后，立即放入车载冰箱中，使样品保存在4℃以下冷藏运输。</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④采集记录填写：</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所有样品采集时，记录监测点位经纬度信息。每个样品采集结束时及时填写标签信息进行粘贴，采样结束后，逐项检查采样记录、样袋标签和样品。</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（2）样品保存、流转过程中的质量控制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对采集的所有样品，各组均在装运前安排人员进行点位复核，在采样现场逐件核对样品登记表、样品标签、采样记录核对无误后分类装箱。样品运输中严防样品损失、混淆和沾污，对样品避光外包装。</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小组于当天或第二天将样品全部送到实验室后，采样人员将填好的样品交接单，同样品一起交给实验室样品管理员进行核对，确定无误后在样品交接单上签字。该项目采样结束交接土壤样品。样品皆依据规范中“样品保存及质量保证”进行储存，土壤样品按功能区域分开存放。质控人员对样品标识、包装容器、样品状态、保存环境条件等监控进行监督检查。</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样品采集当天不能将样品运送至实验室进行检测，样品需用车载冰箱、冷藏柜等设备低温保存，冷藏柜、车载冰箱温度调至4℃以下。</w:t>
      </w:r>
    </w:p>
    <w:p>
      <w:pPr>
        <w:bidi w:val="0"/>
        <w:spacing w:line="360" w:lineRule="auto"/>
        <w:jc w:val="left"/>
        <w:outlineLvl w:val="2"/>
        <w:rPr>
          <w:rFonts w:hint="eastAsia" w:ascii="宋体" w:hAnsi="宋体" w:eastAsia="宋体" w:cs="宋体"/>
          <w:b/>
          <w:bCs/>
          <w:color w:val="auto"/>
          <w:sz w:val="28"/>
          <w:highlight w:val="none"/>
          <w:lang w:val="en-US" w:eastAsia="zh-CN"/>
        </w:rPr>
      </w:pPr>
      <w:bookmarkStart w:id="273" w:name="_Toc107924600"/>
      <w:r>
        <w:rPr>
          <w:rFonts w:hint="eastAsia" w:ascii="宋体" w:hAnsi="宋体" w:eastAsia="宋体" w:cs="宋体"/>
          <w:b/>
          <w:bCs/>
          <w:color w:val="auto"/>
          <w:sz w:val="28"/>
          <w:highlight w:val="none"/>
          <w:lang w:val="en-US" w:eastAsia="zh-CN"/>
        </w:rPr>
        <w:t>9.3.2实验室检测过程中的质量保证和质量控制</w:t>
      </w:r>
      <w:bookmarkEnd w:id="273"/>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本次调查实验室检测工作严格按照规范落实质量保证和质量控制措施，确保获取的样品与取得的检测数据真实可信。</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实验室分析检测使用内、外部质量控制结合的质控手段以保证数据结果的准确度，主要包括空白、平行、加标、质控样分析的内部质控方式和采集密码平行样的外部质控方式。</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（1）实验室检测人员均经过培训，持证上岗，具有扎实的专业理论知识及丰富的实际操作经验。</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（2）实验室仪器设备、标准物质等控制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我公司质控人员对仪器设备、标准物质、实验用水、仪器检出限和精密度、校准曲线、实验准备等方面内容进行逐条检查。具体检查结果如下：</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①项目所用的气相色谱质谱联用仪、气相色谱仪、原子荧光、原子吸收、电感耦合等离子体发射质谱仪等仪器设备和天平、容量瓶、吸液管等计量器具均检定合格、在有效期内；性能、量程、精度满足方法要求。</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②实验室使用的标准溶液、质控样品均是国家有证标准物质，且在有效期内。</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③实验用水实时监测，电阻率≥18.2MΩ•cm（25℃），符合要求。</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④金属项目检测使用优级纯试剂，有机项目检测使用色谱级及农残级试剂，所有试剂采购回来均经验收合格后方能使用，符合要求。</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⑤实验器具根据标准要求使用不同清洗剂及清洗方式进行清洗。</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（3）内部和外部质量控制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①空白试验</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检查每个检测项目的全程序空白、运输空白及试剂空白分析结果，审核实验试剂、材料及实验过程，均不对实验结果产生干扰，本批样共采集土壤和样品，设置1个全程序空白，1个运输空白。</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②精密度控制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检测项目检测时按照标准要求进行平行样分析，共设置1个平行样，质控结果应符合标准《土壤环境监测技术规范》（HJ/T166-2004）、《地下水环境监测技术规范》（HJ/T164-2020）和各项目国家标准中要求各项目国家标准中要求。</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③准确度控制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通过检测标准质控物质及样品加标回收率来检查测定准确度，对部分因子进行质控样分析，质控样检测结果应显示合格，实验室准确度结果应符合标准《土壤环境监测技术规范》（HJ/T166-2004）《地下水环境监测技术规范》（HJ/T164-2020）和各项目国家标准中要求。</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④外部质量控制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本次实验室分析的质量控制包括实验室内部明码平行、样品加标、质控标准样分析。</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（4）数据分析及结果报告</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量保证室检查了原始记录、仪器使用记录和溶液配制记录等，实验室分析人员的全程操作均符合要求。核查了原始记录与检测报告中数据的一致性，结果显示，分析测试报告均完整无误。此批次样品所涉及的所有实验记录、原始数据及相关档案严格按照公司质量体系程序文件中的规定执行。</w:t>
      </w:r>
    </w:p>
    <w:p>
      <w:pPr>
        <w:bidi w:val="0"/>
        <w:spacing w:line="360" w:lineRule="auto"/>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（5）检测过程质量保证</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①实验室检测项目各样品检测均严格按照规定的检测标准方法进行检测。</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②在各检测指标中，在使用标准物质进行校准曲线或标准检查点测试时，获得校准曲线或标准检查点结果应符合检测结果验收标准中的相关规定。</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③每批次样品进行现场空白和实验室空白，现场空白和实验室空白结果符合检测结果标准中的相关规定。</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④实验室检测项目所用的样品要根据检测标准要求按保存期、保存环境、保存条件和有效期等进行保存，符合要求的样品方可开展检测。</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⑤分析人员在接收样品时，仔细核对样品和采样记录，确认正确无误后，进行签收。</w:t>
      </w:r>
    </w:p>
    <w:p>
      <w:pPr>
        <w:bidi w:val="0"/>
        <w:spacing w:line="360" w:lineRule="auto"/>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⑥实验室主任应对检测人员执行全部检测指标的标准检测方法流程进行检查，严格按照技术要求进行检测。</w:t>
      </w:r>
    </w:p>
    <w:p>
      <w:pPr>
        <w:pStyle w:val="3"/>
        <w:bidi w:val="0"/>
        <w:spacing w:line="360" w:lineRule="auto"/>
        <w:rPr>
          <w:rFonts w:hint="eastAsia" w:ascii="宋体" w:hAnsi="宋体" w:eastAsia="宋体" w:cs="宋体"/>
          <w:lang w:val="en-US" w:eastAsia="zh-CN"/>
        </w:rPr>
      </w:pPr>
      <w:bookmarkStart w:id="274" w:name="_Toc32704"/>
      <w:bookmarkStart w:id="275" w:name="_Toc31137"/>
      <w:bookmarkStart w:id="276" w:name="_Toc14480"/>
      <w:bookmarkStart w:id="277" w:name="_Toc21950"/>
      <w:r>
        <w:rPr>
          <w:rFonts w:hint="eastAsia" w:ascii="宋体" w:hAnsi="宋体" w:eastAsia="宋体" w:cs="宋体"/>
          <w:lang w:val="en-US" w:eastAsia="zh-CN"/>
        </w:rPr>
        <w:t>10.结论与措施</w:t>
      </w:r>
      <w:bookmarkEnd w:id="274"/>
      <w:bookmarkEnd w:id="275"/>
      <w:bookmarkEnd w:id="276"/>
      <w:bookmarkEnd w:id="277"/>
    </w:p>
    <w:p>
      <w:pPr>
        <w:keepNext/>
        <w:keepLines/>
        <w:widowControl w:val="0"/>
        <w:numPr>
          <w:ilvl w:val="1"/>
          <w:numId w:val="1"/>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78" w:name="_Toc6958"/>
      <w:bookmarkStart w:id="279" w:name="_Toc17078"/>
      <w:bookmarkStart w:id="280" w:name="_Toc8553"/>
      <w:bookmarkStart w:id="281" w:name="_Toc25380"/>
      <w:r>
        <w:rPr>
          <w:rFonts w:hint="eastAsia" w:ascii="宋体" w:hAnsi="宋体" w:eastAsia="宋体" w:cs="宋体"/>
          <w:b/>
          <w:bCs/>
          <w:kern w:val="2"/>
          <w:sz w:val="28"/>
          <w:szCs w:val="32"/>
          <w:lang w:val="en-US" w:eastAsia="zh-CN" w:bidi="ar-SA"/>
        </w:rPr>
        <w:t>10.1现场采样和监测</w:t>
      </w:r>
      <w:bookmarkEnd w:id="278"/>
      <w:bookmarkEnd w:id="279"/>
      <w:bookmarkEnd w:id="280"/>
      <w:bookmarkEnd w:id="281"/>
    </w:p>
    <w:p>
      <w:pPr>
        <w:bidi w:val="0"/>
        <w:spacing w:line="360" w:lineRule="auto"/>
        <w:ind w:firstLine="560" w:firstLineChars="200"/>
        <w:jc w:val="left"/>
        <w:rPr>
          <w:rFonts w:hint="eastAsia" w:ascii="宋体" w:hAnsi="宋体" w:eastAsia="宋体" w:cs="宋体"/>
          <w:color w:val="auto"/>
          <w:sz w:val="28"/>
          <w:highlight w:val="none"/>
          <w:lang w:val="zh-CN" w:eastAsia="zh-CN"/>
        </w:rPr>
      </w:pPr>
      <w:bookmarkStart w:id="282" w:name="_Toc17871"/>
      <w:bookmarkStart w:id="283" w:name="_Toc29275"/>
      <w:bookmarkStart w:id="284" w:name="_Toc6980"/>
      <w:bookmarkStart w:id="285" w:name="_Toc3205"/>
      <w:bookmarkStart w:id="286" w:name="_Toc13491"/>
      <w:bookmarkStart w:id="287" w:name="_Toc21780"/>
      <w:bookmarkStart w:id="288" w:name="_Toc24991"/>
      <w:bookmarkStart w:id="289" w:name="_Toc20805"/>
      <w:bookmarkStart w:id="290" w:name="_Toc25516"/>
      <w:bookmarkStart w:id="291" w:name="_Toc19892"/>
      <w:bookmarkStart w:id="292" w:name="_Toc5590"/>
      <w:r>
        <w:rPr>
          <w:rFonts w:hint="eastAsia" w:ascii="宋体" w:hAnsi="宋体" w:eastAsia="宋体" w:cs="宋体"/>
          <w:color w:val="auto"/>
          <w:sz w:val="28"/>
          <w:highlight w:val="none"/>
          <w:lang w:val="en-US" w:eastAsia="zh-CN"/>
        </w:rPr>
        <w:t>2023年6月18日-6月28日，公司委托洛阳市达峰环境检测有限公司对厂区及背景点土壤开展监测。根据2023年6月28日出具的《</w:t>
      </w:r>
      <w:bookmarkStart w:id="293" w:name="_Toc31680"/>
      <w:bookmarkStart w:id="294" w:name="_Toc15197"/>
      <w:bookmarkStart w:id="295" w:name="_Toc21867"/>
      <w:r>
        <w:rPr>
          <w:rFonts w:hint="eastAsia" w:ascii="宋体" w:hAnsi="宋体" w:eastAsia="宋体" w:cs="宋体"/>
          <w:color w:val="auto"/>
          <w:sz w:val="28"/>
          <w:highlight w:val="none"/>
          <w:lang w:val="en-US" w:eastAsia="zh-CN"/>
        </w:rPr>
        <w:t>三门峡鸿腾精细化工有限公司土壤</w:t>
      </w:r>
      <w:bookmarkEnd w:id="293"/>
      <w:r>
        <w:rPr>
          <w:rFonts w:hint="eastAsia" w:ascii="宋体" w:hAnsi="宋体" w:eastAsia="宋体" w:cs="宋体"/>
          <w:color w:val="auto"/>
          <w:sz w:val="28"/>
          <w:highlight w:val="none"/>
          <w:lang w:val="en-US" w:eastAsia="zh-CN"/>
        </w:rPr>
        <w:t>检测报告</w:t>
      </w:r>
      <w:bookmarkEnd w:id="294"/>
      <w:bookmarkEnd w:id="295"/>
      <w:r>
        <w:rPr>
          <w:rFonts w:hint="eastAsia" w:ascii="宋体" w:hAnsi="宋体" w:eastAsia="宋体" w:cs="宋体"/>
          <w:color w:val="auto"/>
          <w:sz w:val="28"/>
          <w:highlight w:val="none"/>
          <w:lang w:val="en-US" w:eastAsia="zh-CN"/>
        </w:rPr>
        <w:t>》（报告编号：DFJC-009-06-2023），报告中结合企业厂区生产设施分布和生产工艺等实际情况，确定土壤监测点位置及数量5个（其中4个监控点，1个背景点）。</w:t>
      </w:r>
    </w:p>
    <w:p>
      <w:pPr>
        <w:keepNext/>
        <w:keepLines/>
        <w:widowControl w:val="0"/>
        <w:numPr>
          <w:ilvl w:val="1"/>
          <w:numId w:val="0"/>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96" w:name="_Toc27107"/>
      <w:r>
        <w:rPr>
          <w:rFonts w:hint="eastAsia" w:ascii="宋体" w:hAnsi="宋体" w:eastAsia="宋体" w:cs="宋体"/>
          <w:b/>
          <w:bCs/>
          <w:kern w:val="2"/>
          <w:sz w:val="28"/>
          <w:szCs w:val="32"/>
          <w:lang w:val="en-US" w:eastAsia="zh-CN" w:bidi="ar-SA"/>
        </w:rPr>
        <w:t>10.2土壤监测结果分析</w:t>
      </w:r>
      <w:bookmarkEnd w:id="282"/>
      <w:bookmarkEnd w:id="283"/>
      <w:bookmarkEnd w:id="284"/>
      <w:bookmarkEnd w:id="285"/>
      <w:bookmarkEnd w:id="286"/>
      <w:bookmarkEnd w:id="287"/>
      <w:bookmarkEnd w:id="288"/>
      <w:bookmarkEnd w:id="289"/>
      <w:bookmarkEnd w:id="290"/>
      <w:bookmarkEnd w:id="291"/>
      <w:bookmarkEnd w:id="292"/>
      <w:bookmarkEnd w:id="296"/>
    </w:p>
    <w:p>
      <w:pPr>
        <w:pStyle w:val="7"/>
        <w:pageBreakBefore w:val="0"/>
        <w:kinsoku/>
        <w:wordWrap/>
        <w:overflowPunct/>
        <w:topLinePunct w:val="0"/>
        <w:bidi w:val="0"/>
        <w:spacing w:line="360" w:lineRule="auto"/>
        <w:ind w:left="0" w:leftChars="0" w:right="0" w:firstLine="537"/>
        <w:outlineLvl w:val="9"/>
        <w:rPr>
          <w:rFonts w:hint="eastAsia" w:ascii="宋体" w:hAnsi="宋体" w:eastAsia="宋体" w:cs="宋体"/>
          <w:b/>
          <w:color w:val="auto"/>
          <w:spacing w:val="-32"/>
          <w:sz w:val="28"/>
          <w:szCs w:val="28"/>
          <w:highlight w:val="none"/>
          <w:lang w:val="en-US" w:eastAsia="zh-CN"/>
        </w:rPr>
      </w:pPr>
      <w:bookmarkStart w:id="297" w:name="_Toc28485"/>
      <w:bookmarkStart w:id="298" w:name="_Toc9609"/>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cs="宋体"/>
          <w:color w:val="auto"/>
          <w:spacing w:val="0"/>
          <w:sz w:val="28"/>
          <w:szCs w:val="28"/>
          <w:highlight w:val="none"/>
          <w:lang w:eastAsia="zh-CN"/>
        </w:rPr>
        <w:t>三门峡鸿腾精细化工有限公司</w:t>
      </w:r>
      <w:r>
        <w:rPr>
          <w:rFonts w:hint="eastAsia" w:ascii="宋体" w:hAnsi="宋体" w:eastAsia="宋体" w:cs="宋体"/>
          <w:color w:val="auto"/>
          <w:spacing w:val="0"/>
          <w:sz w:val="28"/>
          <w:szCs w:val="28"/>
          <w:highlight w:val="none"/>
        </w:rPr>
        <w:t>土壤质量情况符合建设用地的筛选值或管制值，或是超管制值。</w:t>
      </w:r>
    </w:p>
    <w:p>
      <w:pPr>
        <w:keepNext/>
        <w:keepLines/>
        <w:widowControl w:val="0"/>
        <w:numPr>
          <w:ilvl w:val="1"/>
          <w:numId w:val="0"/>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99" w:name="_Toc11651"/>
      <w:r>
        <w:rPr>
          <w:rFonts w:hint="eastAsia" w:ascii="宋体" w:hAnsi="宋体" w:eastAsia="宋体" w:cs="宋体"/>
          <w:b/>
          <w:bCs/>
          <w:kern w:val="2"/>
          <w:sz w:val="28"/>
          <w:szCs w:val="32"/>
          <w:lang w:val="en-US" w:eastAsia="zh-CN" w:bidi="ar-SA"/>
        </w:rPr>
        <w:t>10.3自行监测结论</w:t>
      </w:r>
      <w:bookmarkEnd w:id="297"/>
      <w:bookmarkEnd w:id="298"/>
      <w:bookmarkEnd w:id="299"/>
    </w:p>
    <w:p>
      <w:pPr>
        <w:spacing w:line="360" w:lineRule="auto"/>
        <w:ind w:firstLine="560" w:firstLineChars="200"/>
        <w:outlineLvl w:val="9"/>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zh-CN" w:eastAsia="zh-CN" w:bidi="ar-SA"/>
        </w:rPr>
        <w:t>三门峡鸿腾精细化工有限公司土壤各监测点位</w:t>
      </w:r>
      <w:r>
        <w:rPr>
          <w:rFonts w:hint="eastAsia" w:ascii="宋体" w:hAnsi="宋体" w:eastAsia="宋体" w:cs="宋体"/>
          <w:b w:val="0"/>
          <w:bCs w:val="0"/>
          <w:color w:val="auto"/>
          <w:kern w:val="2"/>
          <w:sz w:val="28"/>
          <w:szCs w:val="24"/>
          <w:highlight w:val="none"/>
          <w:lang w:val="en-US" w:eastAsia="zh-CN" w:bidi="ar-SA"/>
        </w:rPr>
        <w:t>符合《土壤环境质量建设用地土壤污染风险管控标准》（试行）（GB36600-2018）、</w:t>
      </w:r>
      <w:r>
        <w:rPr>
          <w:rFonts w:hint="eastAsia" w:ascii="宋体" w:hAnsi="宋体" w:eastAsia="宋体" w:cs="宋体"/>
          <w:b w:val="0"/>
          <w:bCs w:val="0"/>
          <w:color w:val="auto"/>
          <w:kern w:val="2"/>
          <w:sz w:val="28"/>
          <w:szCs w:val="24"/>
          <w:highlight w:val="none"/>
          <w:lang w:val="zh-CN" w:eastAsia="zh-CN" w:bidi="ar-SA"/>
        </w:rPr>
        <w:t>《土壤环境质量农用地土壤污染风险管控标准》（试行）（GB</w:t>
      </w:r>
      <w:r>
        <w:rPr>
          <w:rFonts w:hint="eastAsia" w:ascii="宋体" w:hAnsi="宋体" w:eastAsia="宋体" w:cs="宋体"/>
          <w:b w:val="0"/>
          <w:bCs w:val="0"/>
          <w:color w:val="auto"/>
          <w:kern w:val="2"/>
          <w:sz w:val="28"/>
          <w:szCs w:val="24"/>
          <w:highlight w:val="none"/>
          <w:lang w:val="en-US" w:eastAsia="zh-CN" w:bidi="ar-SA"/>
        </w:rPr>
        <w:t>15618</w:t>
      </w:r>
      <w:r>
        <w:rPr>
          <w:rFonts w:hint="eastAsia" w:ascii="宋体" w:hAnsi="宋体" w:eastAsia="宋体" w:cs="宋体"/>
          <w:b w:val="0"/>
          <w:bCs w:val="0"/>
          <w:color w:val="auto"/>
          <w:kern w:val="2"/>
          <w:sz w:val="28"/>
          <w:szCs w:val="24"/>
          <w:highlight w:val="none"/>
          <w:lang w:val="zh-CN" w:eastAsia="zh-CN" w:bidi="ar-SA"/>
        </w:rPr>
        <w:t>-2018）标准、《场地土壤环境风险评价筛选值》（北京市地方标准DB11/T811-2011</w:t>
      </w:r>
      <w:r>
        <w:rPr>
          <w:rFonts w:hint="eastAsia" w:ascii="宋体" w:hAnsi="宋体" w:eastAsia="宋体" w:cs="宋体"/>
          <w:b w:val="0"/>
          <w:bCs w:val="0"/>
          <w:color w:val="auto"/>
          <w:kern w:val="2"/>
          <w:sz w:val="28"/>
          <w:szCs w:val="24"/>
          <w:highlight w:val="none"/>
          <w:lang w:val="en-US" w:eastAsia="zh-CN" w:bidi="ar-SA"/>
        </w:rPr>
        <w:t>）等各项标准要求。</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300" w:name="_Toc9584"/>
      <w:bookmarkStart w:id="301" w:name="_Toc3939"/>
      <w:bookmarkStart w:id="302" w:name="_Toc6566"/>
      <w:r>
        <w:rPr>
          <w:rFonts w:hint="eastAsia" w:ascii="宋体" w:hAnsi="宋体" w:eastAsia="宋体" w:cs="宋体"/>
          <w:b/>
          <w:bCs/>
          <w:kern w:val="2"/>
          <w:sz w:val="28"/>
          <w:szCs w:val="32"/>
          <w:lang w:val="en-US" w:eastAsia="zh-CN" w:bidi="ar-SA"/>
        </w:rPr>
        <w:t>10.4拟采取的主要措施</w:t>
      </w:r>
      <w:bookmarkEnd w:id="300"/>
      <w:bookmarkEnd w:id="301"/>
      <w:bookmarkEnd w:id="302"/>
    </w:p>
    <w:p>
      <w:pPr>
        <w:pStyle w:val="40"/>
        <w:widowControl w:val="0"/>
        <w:tabs>
          <w:tab w:val="left" w:pos="1486"/>
        </w:tabs>
        <w:spacing w:line="360" w:lineRule="auto"/>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1</w:t>
      </w:r>
      <w:r>
        <w:rPr>
          <w:rFonts w:hint="eastAsia" w:ascii="宋体" w:hAnsi="宋体" w:eastAsia="宋体" w:cs="宋体"/>
          <w:color w:val="auto"/>
          <w:kern w:val="2"/>
          <w:sz w:val="28"/>
          <w:szCs w:val="28"/>
        </w:rPr>
        <w:t>）加强日常生产管理，加强各设备、设施的巡检及维护保养，避免跑、冒、滴、漏现象；</w:t>
      </w:r>
    </w:p>
    <w:p>
      <w:pPr>
        <w:pStyle w:val="40"/>
        <w:widowControl w:val="0"/>
        <w:tabs>
          <w:tab w:val="left" w:pos="1486"/>
        </w:tabs>
        <w:spacing w:line="360" w:lineRule="auto"/>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2</w:t>
      </w:r>
      <w:r>
        <w:rPr>
          <w:rFonts w:hint="eastAsia" w:ascii="宋体" w:hAnsi="宋体" w:eastAsia="宋体" w:cs="宋体"/>
          <w:color w:val="auto"/>
          <w:kern w:val="2"/>
          <w:sz w:val="28"/>
          <w:szCs w:val="28"/>
        </w:rPr>
        <w:t>）加强环保设施的维护，确保各类污染物长期稳定达标排放，减少大气尘降对厂区土壤的影响；</w:t>
      </w:r>
    </w:p>
    <w:p>
      <w:pPr>
        <w:pStyle w:val="40"/>
        <w:widowControl w:val="0"/>
        <w:tabs>
          <w:tab w:val="left" w:pos="1486"/>
        </w:tabs>
        <w:spacing w:line="360" w:lineRule="auto"/>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3</w:t>
      </w:r>
      <w:r>
        <w:rPr>
          <w:rFonts w:hint="eastAsia" w:ascii="宋体" w:hAnsi="宋体" w:eastAsia="宋体" w:cs="宋体"/>
          <w:color w:val="auto"/>
          <w:kern w:val="2"/>
          <w:sz w:val="28"/>
          <w:szCs w:val="28"/>
        </w:rPr>
        <w:t>）各原料堆场封闭运行，加强转运管理，避免转运过程中的扬撒、尘降</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发现扬撒，及时清理；</w:t>
      </w:r>
    </w:p>
    <w:p>
      <w:pPr>
        <w:pStyle w:val="40"/>
        <w:widowControl w:val="0"/>
        <w:tabs>
          <w:tab w:val="left" w:pos="1486"/>
        </w:tabs>
        <w:spacing w:line="360" w:lineRule="auto"/>
        <w:ind w:left="0"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4</w:t>
      </w:r>
      <w:r>
        <w:rPr>
          <w:rFonts w:hint="eastAsia" w:ascii="宋体" w:hAnsi="宋体" w:eastAsia="宋体" w:cs="宋体"/>
          <w:color w:val="auto"/>
          <w:kern w:val="2"/>
          <w:sz w:val="28"/>
          <w:szCs w:val="28"/>
        </w:rPr>
        <w:t>）注意日常土壤污染隐患排查工作，巡检及排查过程中发现问题及时处理，注意厂区硬化及防渗措施的情况，发现裂痕或泄漏及时修补处理。</w:t>
      </w:r>
    </w:p>
    <w:p>
      <w:pPr>
        <w:pStyle w:val="40"/>
        <w:tabs>
          <w:tab w:val="left" w:pos="1486"/>
        </w:tabs>
        <w:spacing w:line="360" w:lineRule="auto"/>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5</w:t>
      </w:r>
      <w:r>
        <w:rPr>
          <w:rFonts w:hint="eastAsia" w:ascii="宋体" w:hAnsi="宋体" w:eastAsia="宋体" w:cs="宋体"/>
          <w:color w:val="auto"/>
          <w:kern w:val="2"/>
          <w:sz w:val="28"/>
          <w:szCs w:val="28"/>
        </w:rPr>
        <w:t>）定期依计划进行土壤自行监测工作，分析监测结果及数据趋势，及时根据监测数据制定相应的制度措施。</w:t>
      </w:r>
    </w:p>
    <w:p>
      <w:pPr>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br w:type="page"/>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kern w:val="2"/>
          <w:sz w:val="28"/>
          <w:szCs w:val="28"/>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07" w:charSpace="0"/>
        </w:sect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5408" behindDoc="0" locked="0" layoutInCell="1" allowOverlap="1">
            <wp:simplePos x="0" y="0"/>
            <wp:positionH relativeFrom="column">
              <wp:posOffset>7477760</wp:posOffset>
            </wp:positionH>
            <wp:positionV relativeFrom="paragraph">
              <wp:posOffset>138430</wp:posOffset>
            </wp:positionV>
            <wp:extent cx="790575" cy="676275"/>
            <wp:effectExtent l="0" t="0" r="9525" b="9525"/>
            <wp:wrapNone/>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pic:cNvPicPr>
                  </pic:nvPicPr>
                  <pic:blipFill>
                    <a:blip r:embed="rId13"/>
                    <a:stretch>
                      <a:fillRect/>
                    </a:stretch>
                  </pic:blipFill>
                  <pic:spPr>
                    <a:xfrm>
                      <a:off x="0" y="0"/>
                      <a:ext cx="790575" cy="676275"/>
                    </a:xfrm>
                    <a:prstGeom prst="rect">
                      <a:avLst/>
                    </a:prstGeom>
                    <a:noFill/>
                    <a:ln>
                      <a:noFill/>
                    </a:ln>
                  </pic:spPr>
                </pic:pic>
              </a:graphicData>
            </a:graphic>
          </wp:anchor>
        </w:drawing>
      </w:r>
      <w:r>
        <w:rPr>
          <w:rFonts w:hint="eastAsia" w:ascii="宋体" w:hAnsi="宋体" w:eastAsia="宋体" w:cs="宋体"/>
          <w:color w:val="auto"/>
          <w:highlight w:val="none"/>
        </w:rPr>
        <w:drawing>
          <wp:anchor distT="0" distB="0" distL="114300" distR="114300" simplePos="0" relativeHeight="251662336" behindDoc="0" locked="0" layoutInCell="1" allowOverlap="1">
            <wp:simplePos x="0" y="0"/>
            <wp:positionH relativeFrom="column">
              <wp:posOffset>-52705</wp:posOffset>
            </wp:positionH>
            <wp:positionV relativeFrom="paragraph">
              <wp:posOffset>66675</wp:posOffset>
            </wp:positionV>
            <wp:extent cx="8758555" cy="4846955"/>
            <wp:effectExtent l="25400" t="25400" r="29845" b="29845"/>
            <wp:wrapNone/>
            <wp:docPr id="20" name="图片 1" descr="C:\Documents and Settings\Administrator\桌面\陕县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Documents and Settings\Administrator\桌面\陕县行政区划图.jpg"/>
                    <pic:cNvPicPr>
                      <a:picLocks noChangeAspect="1"/>
                    </pic:cNvPicPr>
                  </pic:nvPicPr>
                  <pic:blipFill>
                    <a:blip r:embed="rId14"/>
                    <a:stretch>
                      <a:fillRect/>
                    </a:stretch>
                  </pic:blipFill>
                  <pic:spPr>
                    <a:xfrm>
                      <a:off x="0" y="0"/>
                      <a:ext cx="8758555" cy="4846955"/>
                    </a:xfrm>
                    <a:prstGeom prst="rect">
                      <a:avLst/>
                    </a:prstGeom>
                    <a:noFill/>
                    <a:ln w="25400"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7202170</wp:posOffset>
                </wp:positionH>
                <wp:positionV relativeFrom="paragraph">
                  <wp:posOffset>3204845</wp:posOffset>
                </wp:positionV>
                <wp:extent cx="1211580" cy="556260"/>
                <wp:effectExtent l="796290" t="1075690" r="11430" b="6350"/>
                <wp:wrapNone/>
                <wp:docPr id="21" name="圆角矩形标注 21"/>
                <wp:cNvGraphicFramePr/>
                <a:graphic xmlns:a="http://schemas.openxmlformats.org/drawingml/2006/main">
                  <a:graphicData uri="http://schemas.microsoft.com/office/word/2010/wordprocessingShape">
                    <wps:wsp>
                      <wps:cNvSpPr/>
                      <wps:spPr>
                        <a:xfrm>
                          <a:off x="0" y="0"/>
                          <a:ext cx="1211580" cy="556260"/>
                        </a:xfrm>
                        <a:prstGeom prst="wedgeRoundRectCallout">
                          <a:avLst>
                            <a:gd name="adj1" fmla="val -113292"/>
                            <a:gd name="adj2" fmla="val -238435"/>
                            <a:gd name="adj3" fmla="val 16667"/>
                          </a:avLst>
                        </a:prstGeom>
                        <a:solidFill>
                          <a:srgbClr val="FFFFFF"/>
                        </a:solidFill>
                        <a:ln w="9525" cap="flat" cmpd="sng">
                          <a:solidFill>
                            <a:srgbClr val="FF00FF"/>
                          </a:solidFill>
                          <a:prstDash val="solid"/>
                          <a:miter/>
                          <a:headEnd type="none" w="med" len="med"/>
                          <a:tailEnd type="none" w="med" len="med"/>
                        </a:ln>
                      </wps:spPr>
                      <wps:txbx>
                        <w:txbxContent>
                          <w:p>
                            <w:pPr>
                              <w:ind w:left="0" w:leftChars="0" w:firstLine="0" w:firstLineChars="0"/>
                              <w:rPr>
                                <w:b/>
                                <w:bCs/>
                                <w:color w:val="002060"/>
                              </w:rPr>
                            </w:pPr>
                            <w:r>
                              <w:rPr>
                                <w:rFonts w:hint="eastAsia" w:cs="宋体"/>
                                <w:b/>
                                <w:bCs/>
                                <w:color w:val="002060"/>
                              </w:rPr>
                              <w:t>本项目厂址</w:t>
                            </w:r>
                          </w:p>
                        </w:txbxContent>
                      </wps:txbx>
                      <wps:bodyPr upright="1"/>
                    </wps:wsp>
                  </a:graphicData>
                </a:graphic>
              </wp:anchor>
            </w:drawing>
          </mc:Choice>
          <mc:Fallback>
            <w:pict>
              <v:shape id="_x0000_s1026" o:spid="_x0000_s1026" o:spt="62" type="#_x0000_t62" style="position:absolute;left:0pt;margin-left:567.1pt;margin-top:252.35pt;height:43.8pt;width:95.4pt;z-index:251664384;mso-width-relative:page;mso-height-relative:page;" fillcolor="#FFFFFF" filled="t" stroked="t" coordsize="21600,21600" o:gfxdata="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UGSE2wAA&#10;AA0BAAAPAAAAAAAAAAEAIAAAACIAAABkcnMvZG93bnJldi54bWxQSwECFAAUAAAACACHTuJAnq7/&#10;O1QCAADBBAAADgAAAAAAAAABACAAAAAqAQAAZHJzL2Uyb0RvYy54bWxQSwUGAAAAAAYABgBZAQAA&#10;8AUAAAAA&#10;" adj="-13671,-40702,14400">
                <v:fill on="t" focussize="0,0"/>
                <v:stroke color="#FF00FF" joinstyle="miter"/>
                <v:imagedata o:title=""/>
                <o:lock v:ext="edit" aspectratio="f"/>
                <v:textbox>
                  <w:txbxContent>
                    <w:p>
                      <w:pPr>
                        <w:ind w:left="0" w:leftChars="0" w:firstLine="0" w:firstLineChars="0"/>
                        <w:rPr>
                          <w:b/>
                          <w:bCs/>
                          <w:color w:val="002060"/>
                        </w:rPr>
                      </w:pPr>
                      <w:r>
                        <w:rPr>
                          <w:rFonts w:hint="eastAsia" w:cs="宋体"/>
                          <w:b/>
                          <w:bCs/>
                          <w:color w:val="002060"/>
                        </w:rPr>
                        <w:t>本项目厂址</w:t>
                      </w:r>
                    </w:p>
                  </w:txbxContent>
                </v:textbox>
              </v:shape>
            </w:pict>
          </mc:Fallback>
        </mc:AlternateContent>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1312" behindDoc="0" locked="0" layoutInCell="1" allowOverlap="1">
            <wp:simplePos x="0" y="0"/>
            <wp:positionH relativeFrom="column">
              <wp:posOffset>7525385</wp:posOffset>
            </wp:positionH>
            <wp:positionV relativeFrom="paragraph">
              <wp:posOffset>-2945130</wp:posOffset>
            </wp:positionV>
            <wp:extent cx="790575" cy="676275"/>
            <wp:effectExtent l="0" t="0" r="9525" b="9525"/>
            <wp:wrapNone/>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pic:cNvPicPr>
                      <a:picLocks noChangeAspect="1"/>
                    </pic:cNvPicPr>
                  </pic:nvPicPr>
                  <pic:blipFill>
                    <a:blip r:embed="rId13"/>
                    <a:stretch>
                      <a:fillRect/>
                    </a:stretch>
                  </pic:blipFill>
                  <pic:spPr>
                    <a:xfrm>
                      <a:off x="0" y="0"/>
                      <a:ext cx="790575" cy="676275"/>
                    </a:xfrm>
                    <a:prstGeom prst="rect">
                      <a:avLst/>
                    </a:prstGeom>
                    <a:noFill/>
                    <a:ln>
                      <a:noFill/>
                    </a:ln>
                  </pic:spPr>
                </pic:pic>
              </a:graphicData>
            </a:graphic>
          </wp:anchor>
        </w:drawing>
      </w:r>
    </w:p>
    <w:p>
      <w:pPr>
        <w:pageBreakBefore w:val="0"/>
        <w:kinsoku/>
        <w:wordWrap/>
        <w:overflowPunct/>
        <w:topLinePunct w:val="0"/>
        <w:bidi w:val="0"/>
        <w:spacing w:line="240" w:lineRule="auto"/>
        <w:ind w:right="0"/>
        <w:jc w:val="center"/>
        <w:outlineLvl w:val="0"/>
        <w:rPr>
          <w:rFonts w:hint="default" w:ascii="宋体" w:hAnsi="宋体" w:eastAsia="宋体" w:cs="宋体"/>
          <w:b/>
          <w:bCs/>
          <w:color w:val="auto"/>
          <w:sz w:val="24"/>
          <w:szCs w:val="32"/>
          <w:highlight w:val="none"/>
          <w:u w:val="none"/>
          <w:lang w:val="en-US" w:eastAsia="zh-CN"/>
        </w:rPr>
      </w:pPr>
      <w:bookmarkStart w:id="303" w:name="_Toc29651"/>
      <w:bookmarkStart w:id="304" w:name="_Toc29097"/>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图1 企业地理位置图</w:t>
      </w:r>
      <w:bookmarkEnd w:id="303"/>
    </w:p>
    <w:p>
      <w:pPr>
        <w:pStyle w:val="17"/>
        <w:ind w:left="0" w:leftChars="0" w:firstLine="0" w:firstLineChars="0"/>
        <w:rPr>
          <w:rFonts w:hint="eastAsia"/>
        </w:rPr>
        <w:sectPr>
          <w:pgSz w:w="16838" w:h="11905" w:orient="landscape"/>
          <w:pgMar w:top="1587" w:right="1701" w:bottom="1587" w:left="1701"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88990" cy="7982585"/>
            <wp:effectExtent l="0" t="0" r="381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5"/>
                    <a:stretch>
                      <a:fillRect/>
                    </a:stretch>
                  </pic:blipFill>
                  <pic:spPr>
                    <a:xfrm>
                      <a:off x="0" y="0"/>
                      <a:ext cx="5888990" cy="7982585"/>
                    </a:xfrm>
                    <a:prstGeom prst="rect">
                      <a:avLst/>
                    </a:prstGeom>
                    <a:noFill/>
                    <a:ln>
                      <a:noFill/>
                    </a:ln>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bookmarkStart w:id="305" w:name="_Toc2949"/>
      <w:bookmarkStart w:id="306" w:name="_Toc2669"/>
      <w:bookmarkStart w:id="307" w:name="_Toc28566"/>
      <w:bookmarkStart w:id="308" w:name="_Toc8339"/>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图2三门峡市土壤污染类型</w:t>
      </w:r>
      <w:bookmarkEnd w:id="305"/>
      <w:bookmarkEnd w:id="306"/>
      <w:bookmarkEnd w:id="307"/>
      <w:bookmarkEnd w:id="308"/>
    </w:p>
    <w:p>
      <w:pP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br w:type="page"/>
      </w: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bookmarkStart w:id="309" w:name="_Toc25551"/>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pPr>
      <w:r>
        <w:rPr>
          <w:rFonts w:hint="eastAsia" w:ascii="宋体" w:hAnsi="宋体" w:eastAsia="宋体" w:cs="宋体"/>
          <w:b w:val="0"/>
          <w:bCs w:val="0"/>
          <w:color w:val="auto"/>
          <w:highlight w:val="none"/>
          <w:u w:val="none"/>
          <w:lang w:val="en-US" w:eastAsia="zh-CN"/>
        </w:rPr>
        <w:drawing>
          <wp:inline distT="0" distB="0" distL="114300" distR="114300">
            <wp:extent cx="6703060" cy="8107680"/>
            <wp:effectExtent l="0" t="0" r="2540" b="7620"/>
            <wp:docPr id="3" name="图片 3" descr="02-昊昱土壤监测方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昊昱土壤监测方案_02"/>
                    <pic:cNvPicPr>
                      <a:picLocks noChangeAspect="1"/>
                    </pic:cNvPicPr>
                  </pic:nvPicPr>
                  <pic:blipFill>
                    <a:blip r:embed="rId16"/>
                    <a:stretch>
                      <a:fillRect/>
                    </a:stretch>
                  </pic:blipFill>
                  <pic:spPr>
                    <a:xfrm>
                      <a:off x="0" y="0"/>
                      <a:ext cx="6703060" cy="8107680"/>
                    </a:xfrm>
                    <a:prstGeom prst="rect">
                      <a:avLst/>
                    </a:prstGeom>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val="0"/>
          <w:bCs w:val="0"/>
          <w:color w:val="auto"/>
          <w:sz w:val="24"/>
          <w:szCs w:val="32"/>
          <w:highlight w:val="none"/>
          <w:u w:val="none"/>
          <w:lang w:val="en-US" w:eastAsia="zh-CN"/>
        </w:rPr>
      </w:pPr>
      <w:bookmarkStart w:id="310" w:name="_Toc16389"/>
      <w:bookmarkStart w:id="311" w:name="_Toc30597"/>
      <w:bookmarkStart w:id="312" w:name="_Toc5487"/>
      <w:r>
        <w:rPr>
          <w:rFonts w:hint="eastAsia" w:ascii="宋体" w:hAnsi="宋体" w:eastAsia="宋体" w:cs="宋体"/>
          <w:b/>
          <w:bCs/>
          <w:color w:val="auto"/>
          <w:sz w:val="24"/>
          <w:szCs w:val="32"/>
          <w:highlight w:val="none"/>
          <w:u w:val="none"/>
          <w:lang w:val="en-US" w:eastAsia="zh-CN"/>
        </w:rPr>
        <w:t>附图3平面布置及监测点位图</w:t>
      </w:r>
      <w:bookmarkEnd w:id="309"/>
      <w:bookmarkEnd w:id="310"/>
      <w:bookmarkEnd w:id="311"/>
      <w:bookmarkEnd w:id="312"/>
    </w:p>
    <w:bookmarkEnd w:id="304"/>
    <w:p>
      <w:pPr>
        <w:pStyle w:val="3"/>
        <w:pageBreakBefore w:val="0"/>
        <w:numPr>
          <w:ilvl w:val="1"/>
          <w:numId w:val="0"/>
        </w:numPr>
        <w:kinsoku/>
        <w:wordWrap/>
        <w:overflowPunct/>
        <w:topLinePunct w:val="0"/>
        <w:bidi w:val="0"/>
        <w:spacing w:before="0" w:after="0" w:line="240" w:lineRule="auto"/>
        <w:ind w:left="0" w:leftChars="0" w:right="0"/>
        <w:jc w:val="both"/>
        <w:outlineLvl w:val="9"/>
        <w:rPr>
          <w:rFonts w:hint="eastAsia" w:ascii="宋体" w:hAnsi="宋体" w:eastAsia="宋体" w:cs="宋体"/>
          <w:b/>
          <w:bCs/>
          <w:color w:val="auto"/>
          <w:highlight w:val="none"/>
          <w:u w:val="none"/>
          <w:lang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bookmarkEnd w:id="153"/>
    <w:bookmarkEnd w:id="154"/>
    <w:bookmarkEnd w:id="155"/>
    <w:bookmarkEnd w:id="156"/>
    <w:bookmarkEnd w:id="157"/>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9"/>
        <w:gridCol w:w="4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2" w:hRule="atLeast"/>
        </w:trPr>
        <w:tc>
          <w:tcPr>
            <w:tcW w:w="4489" w:type="dxa"/>
          </w:tcPr>
          <w:p>
            <w:pPr>
              <w:keepNext w:val="0"/>
              <w:keepLines w:val="0"/>
              <w:widowControl/>
              <w:suppressLineNumbers w:val="0"/>
              <w:adjustRightInd w:val="0"/>
              <w:snapToGrid w:val="0"/>
              <w:spacing w:before="0" w:beforeAutospacing="0" w:after="120" w:afterAutospacing="0" w:line="560" w:lineRule="exact"/>
              <w:ind w:right="0"/>
              <w:jc w:val="both"/>
              <w:rPr>
                <w:rFonts w:hint="eastAsia" w:ascii="宋体" w:hAnsi="宋体" w:eastAsia="宋体" w:cs="宋体"/>
                <w:snapToGrid/>
                <w:spacing w:val="6"/>
                <w:kern w:val="0"/>
                <w:sz w:val="21"/>
                <w:szCs w:val="18"/>
                <w:vertAlign w:val="baseline"/>
                <w:lang w:val="en-US" w:eastAsia="zh-CN" w:bidi="ar"/>
              </w:rPr>
            </w:pPr>
            <w:r>
              <w:rPr>
                <w:rFonts w:hint="eastAsia" w:ascii="宋体" w:hAnsi="宋体" w:eastAsia="宋体" w:cs="宋体"/>
                <w:snapToGrid/>
                <w:spacing w:val="6"/>
                <w:kern w:val="0"/>
                <w:sz w:val="21"/>
                <w:szCs w:val="18"/>
                <w:vertAlign w:val="baseline"/>
                <w:lang w:val="en-US" w:eastAsia="zh-CN" w:bidi="ar"/>
              </w:rPr>
              <w:drawing>
                <wp:anchor distT="0" distB="0" distL="114300" distR="114300" simplePos="0" relativeHeight="251666432" behindDoc="1" locked="0" layoutInCell="1" allowOverlap="1">
                  <wp:simplePos x="0" y="0"/>
                  <wp:positionH relativeFrom="column">
                    <wp:posOffset>0</wp:posOffset>
                  </wp:positionH>
                  <wp:positionV relativeFrom="paragraph">
                    <wp:posOffset>-3296920</wp:posOffset>
                  </wp:positionV>
                  <wp:extent cx="2705100" cy="3580130"/>
                  <wp:effectExtent l="0" t="0" r="0" b="1270"/>
                  <wp:wrapTight wrapText="bothSides">
                    <wp:wrapPolygon>
                      <wp:start x="0" y="0"/>
                      <wp:lineTo x="0" y="21493"/>
                      <wp:lineTo x="21448" y="21493"/>
                      <wp:lineTo x="21448" y="0"/>
                      <wp:lineTo x="0" y="0"/>
                    </wp:wrapPolygon>
                  </wp:wrapTight>
                  <wp:docPr id="6" name="图片 6" descr="微信图片_2023103008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030084935"/>
                          <pic:cNvPicPr>
                            <a:picLocks noChangeAspect="1"/>
                          </pic:cNvPicPr>
                        </pic:nvPicPr>
                        <pic:blipFill>
                          <a:blip r:embed="rId17"/>
                          <a:stretch>
                            <a:fillRect/>
                          </a:stretch>
                        </pic:blipFill>
                        <pic:spPr>
                          <a:xfrm>
                            <a:off x="0" y="0"/>
                            <a:ext cx="2705100" cy="3580130"/>
                          </a:xfrm>
                          <a:prstGeom prst="rect">
                            <a:avLst/>
                          </a:prstGeom>
                        </pic:spPr>
                      </pic:pic>
                    </a:graphicData>
                  </a:graphic>
                </wp:anchor>
              </w:drawing>
            </w:r>
          </w:p>
        </w:tc>
        <w:tc>
          <w:tcPr>
            <w:tcW w:w="4458"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1"/>
                <w:szCs w:val="18"/>
                <w:vertAlign w:val="baseline"/>
                <w:lang w:val="en-US" w:eastAsia="zh-CN" w:bidi="ar"/>
              </w:rPr>
            </w:pPr>
            <w:r>
              <w:rPr>
                <w:rFonts w:hint="eastAsia" w:ascii="宋体" w:hAnsi="宋体" w:eastAsia="宋体" w:cs="宋体"/>
                <w:snapToGrid/>
                <w:spacing w:val="6"/>
                <w:kern w:val="0"/>
                <w:sz w:val="21"/>
                <w:szCs w:val="18"/>
                <w:vertAlign w:val="baseline"/>
                <w:lang w:val="en-US" w:eastAsia="zh-CN" w:bidi="ar"/>
              </w:rPr>
              <w:drawing>
                <wp:anchor distT="0" distB="0" distL="114300" distR="114300" simplePos="0" relativeHeight="251667456" behindDoc="1" locked="0" layoutInCell="1" allowOverlap="1">
                  <wp:simplePos x="0" y="0"/>
                  <wp:positionH relativeFrom="column">
                    <wp:posOffset>0</wp:posOffset>
                  </wp:positionH>
                  <wp:positionV relativeFrom="paragraph">
                    <wp:posOffset>-3277870</wp:posOffset>
                  </wp:positionV>
                  <wp:extent cx="2684145" cy="3552190"/>
                  <wp:effectExtent l="0" t="0" r="1905" b="10160"/>
                  <wp:wrapTight wrapText="bothSides">
                    <wp:wrapPolygon>
                      <wp:start x="0" y="0"/>
                      <wp:lineTo x="0" y="21430"/>
                      <wp:lineTo x="21462" y="21430"/>
                      <wp:lineTo x="21462" y="0"/>
                      <wp:lineTo x="0" y="0"/>
                    </wp:wrapPolygon>
                  </wp:wrapTight>
                  <wp:docPr id="7" name="图片 7" descr="微信图片_202310300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30084936"/>
                          <pic:cNvPicPr>
                            <a:picLocks noChangeAspect="1"/>
                          </pic:cNvPicPr>
                        </pic:nvPicPr>
                        <pic:blipFill>
                          <a:blip r:embed="rId18"/>
                          <a:stretch>
                            <a:fillRect/>
                          </a:stretch>
                        </pic:blipFill>
                        <pic:spPr>
                          <a:xfrm>
                            <a:off x="0" y="0"/>
                            <a:ext cx="2684145" cy="355219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2" w:hRule="atLeast"/>
        </w:trPr>
        <w:tc>
          <w:tcPr>
            <w:tcW w:w="4489"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1"/>
                <w:szCs w:val="18"/>
                <w:vertAlign w:val="baseline"/>
                <w:lang w:val="en-US" w:eastAsia="zh-CN" w:bidi="ar"/>
              </w:rPr>
            </w:pPr>
            <w:r>
              <w:rPr>
                <w:rFonts w:hint="eastAsia" w:ascii="宋体" w:hAnsi="宋体" w:eastAsia="宋体" w:cs="宋体"/>
                <w:snapToGrid/>
                <w:spacing w:val="6"/>
                <w:kern w:val="0"/>
                <w:sz w:val="21"/>
                <w:szCs w:val="18"/>
                <w:vertAlign w:val="baseline"/>
                <w:lang w:val="en-US" w:eastAsia="zh-CN" w:bidi="ar"/>
              </w:rPr>
              <w:drawing>
                <wp:anchor distT="0" distB="0" distL="114300" distR="114300" simplePos="0" relativeHeight="251669504" behindDoc="1" locked="0" layoutInCell="1" allowOverlap="1">
                  <wp:simplePos x="0" y="0"/>
                  <wp:positionH relativeFrom="column">
                    <wp:posOffset>0</wp:posOffset>
                  </wp:positionH>
                  <wp:positionV relativeFrom="paragraph">
                    <wp:posOffset>-3296920</wp:posOffset>
                  </wp:positionV>
                  <wp:extent cx="2705100" cy="3580130"/>
                  <wp:effectExtent l="0" t="0" r="0" b="1270"/>
                  <wp:wrapTight wrapText="bothSides">
                    <wp:wrapPolygon>
                      <wp:start x="0" y="0"/>
                      <wp:lineTo x="0" y="21493"/>
                      <wp:lineTo x="21448" y="21493"/>
                      <wp:lineTo x="21448" y="0"/>
                      <wp:lineTo x="0" y="0"/>
                    </wp:wrapPolygon>
                  </wp:wrapTight>
                  <wp:docPr id="8" name="图片 8" descr="微信图片_2023103008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030084938"/>
                          <pic:cNvPicPr>
                            <a:picLocks noChangeAspect="1"/>
                          </pic:cNvPicPr>
                        </pic:nvPicPr>
                        <pic:blipFill>
                          <a:blip r:embed="rId19"/>
                          <a:stretch>
                            <a:fillRect/>
                          </a:stretch>
                        </pic:blipFill>
                        <pic:spPr>
                          <a:xfrm>
                            <a:off x="0" y="0"/>
                            <a:ext cx="2705100" cy="3580130"/>
                          </a:xfrm>
                          <a:prstGeom prst="rect">
                            <a:avLst/>
                          </a:prstGeom>
                        </pic:spPr>
                      </pic:pic>
                    </a:graphicData>
                  </a:graphic>
                </wp:anchor>
              </w:drawing>
            </w:r>
          </w:p>
        </w:tc>
        <w:tc>
          <w:tcPr>
            <w:tcW w:w="4458"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1"/>
                <w:szCs w:val="18"/>
                <w:vertAlign w:val="baseline"/>
                <w:lang w:val="en-US" w:eastAsia="zh-CN" w:bidi="ar"/>
              </w:rPr>
            </w:pPr>
            <w:r>
              <w:rPr>
                <w:rFonts w:hint="eastAsia" w:ascii="宋体" w:hAnsi="宋体" w:eastAsia="宋体" w:cs="宋体"/>
                <w:snapToGrid/>
                <w:spacing w:val="6"/>
                <w:kern w:val="0"/>
                <w:sz w:val="21"/>
                <w:szCs w:val="18"/>
                <w:vertAlign w:val="baseline"/>
                <w:lang w:val="en-US" w:eastAsia="zh-CN" w:bidi="ar"/>
              </w:rPr>
              <w:drawing>
                <wp:anchor distT="0" distB="0" distL="114300" distR="114300" simplePos="0" relativeHeight="251668480" behindDoc="1" locked="0" layoutInCell="1" allowOverlap="1">
                  <wp:simplePos x="0" y="0"/>
                  <wp:positionH relativeFrom="column">
                    <wp:posOffset>0</wp:posOffset>
                  </wp:positionH>
                  <wp:positionV relativeFrom="paragraph">
                    <wp:posOffset>-3277870</wp:posOffset>
                  </wp:positionV>
                  <wp:extent cx="2684145" cy="3552190"/>
                  <wp:effectExtent l="0" t="0" r="1905" b="10160"/>
                  <wp:wrapTight wrapText="bothSides">
                    <wp:wrapPolygon>
                      <wp:start x="0" y="0"/>
                      <wp:lineTo x="0" y="21430"/>
                      <wp:lineTo x="21462" y="21430"/>
                      <wp:lineTo x="21462" y="0"/>
                      <wp:lineTo x="0" y="0"/>
                    </wp:wrapPolygon>
                  </wp:wrapTight>
                  <wp:docPr id="11" name="图片 11" descr="微信图片_2023103008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030084940"/>
                          <pic:cNvPicPr>
                            <a:picLocks noChangeAspect="1"/>
                          </pic:cNvPicPr>
                        </pic:nvPicPr>
                        <pic:blipFill>
                          <a:blip r:embed="rId20"/>
                          <a:stretch>
                            <a:fillRect/>
                          </a:stretch>
                        </pic:blipFill>
                        <pic:spPr>
                          <a:xfrm>
                            <a:off x="0" y="0"/>
                            <a:ext cx="2684145" cy="3552190"/>
                          </a:xfrm>
                          <a:prstGeom prst="rect">
                            <a:avLst/>
                          </a:prstGeom>
                        </pic:spPr>
                      </pic:pic>
                    </a:graphicData>
                  </a:graphic>
                </wp:anchor>
              </w:drawing>
            </w:r>
          </w:p>
        </w:tc>
      </w:tr>
    </w:tbl>
    <w:p>
      <w:pPr>
        <w:pStyle w:val="3"/>
        <w:jc w:val="center"/>
        <w:rPr>
          <w:rFonts w:hint="eastAsia" w:ascii="宋体" w:hAnsi="宋体" w:eastAsia="宋体" w:cs="宋体"/>
          <w:sz w:val="24"/>
          <w:szCs w:val="24"/>
          <w:highlight w:val="none"/>
        </w:rPr>
        <w:sectPr>
          <w:footerReference r:id="rId7" w:type="default"/>
          <w:pgSz w:w="11905" w:h="16838"/>
          <w:pgMar w:top="1701" w:right="1587" w:bottom="1701" w:left="1587" w:header="1077" w:footer="1134" w:gutter="0"/>
          <w:pgNumType w:fmt="decimal"/>
          <w:cols w:space="0" w:num="1"/>
          <w:rtlGutter w:val="0"/>
          <w:docGrid w:type="lines" w:linePitch="415" w:charSpace="0"/>
        </w:sectPr>
      </w:pPr>
      <w:bookmarkStart w:id="313" w:name="_Toc32437"/>
      <w:r>
        <w:rPr>
          <w:rFonts w:hint="eastAsia" w:ascii="宋体" w:hAnsi="宋体" w:eastAsia="宋体" w:cs="宋体"/>
          <w:sz w:val="24"/>
          <w:szCs w:val="24"/>
          <w:highlight w:val="none"/>
          <w:lang w:val="zh-CN" w:eastAsia="zh-CN"/>
        </w:rPr>
        <w:t>附图</w:t>
      </w:r>
      <w:r>
        <w:rPr>
          <w:rFonts w:hint="eastAsia" w:ascii="宋体" w:hAnsi="宋体" w:eastAsia="宋体" w:cs="宋体"/>
          <w:sz w:val="24"/>
          <w:szCs w:val="24"/>
          <w:highlight w:val="none"/>
          <w:lang w:val="en-US" w:eastAsia="zh-CN"/>
        </w:rPr>
        <w:t xml:space="preserve">4  </w:t>
      </w:r>
      <w:r>
        <w:rPr>
          <w:rFonts w:hint="eastAsia" w:ascii="宋体" w:hAnsi="宋体" w:eastAsia="宋体" w:cs="宋体"/>
          <w:sz w:val="24"/>
          <w:szCs w:val="24"/>
          <w:highlight w:val="none"/>
          <w:lang w:val="zh-CN" w:eastAsia="zh-CN"/>
        </w:rPr>
        <w:t>现场采样照片</w:t>
      </w:r>
      <w:bookmarkEnd w:id="313"/>
    </w:p>
    <w:p>
      <w:pPr>
        <w:outlineLvl w:val="0"/>
        <w:rPr>
          <w:rFonts w:hint="eastAsia" w:ascii="宋体" w:hAnsi="宋体" w:eastAsia="宋体" w:cs="宋体"/>
          <w:b/>
          <w:bCs/>
          <w:sz w:val="24"/>
          <w:szCs w:val="32"/>
          <w:lang w:val="en-US" w:eastAsia="zh-CN"/>
        </w:rPr>
      </w:pPr>
      <w:bookmarkStart w:id="314" w:name="_Toc32708"/>
      <w:r>
        <w:rPr>
          <w:rFonts w:hint="eastAsia" w:ascii="宋体" w:hAnsi="宋体" w:eastAsia="宋体" w:cs="宋体"/>
          <w:b/>
          <w:bCs/>
          <w:sz w:val="24"/>
          <w:szCs w:val="32"/>
          <w:lang w:val="en-US" w:eastAsia="zh-CN"/>
        </w:rPr>
        <w:t>附件1 检测报告</w:t>
      </w:r>
      <w:bookmarkEnd w:id="314"/>
    </w:p>
    <w:p>
      <w:pPr>
        <w:spacing w:line="240" w:lineRule="auto"/>
        <w:ind w:left="0" w:leftChars="0" w:firstLine="0" w:firstLineChars="0"/>
        <w:outlineLvl w:val="9"/>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u w:val="none"/>
          <w:lang w:eastAsia="zh-CN"/>
        </w:rPr>
        <w:tab/>
      </w:r>
      <w:r>
        <w:rPr>
          <w:rFonts w:hint="eastAsia" w:ascii="宋体" w:hAnsi="宋体" w:eastAsia="宋体" w:cs="宋体"/>
          <w:b w:val="0"/>
          <w:bCs w:val="0"/>
          <w:color w:val="auto"/>
          <w:highlight w:val="none"/>
          <w:u w:val="none"/>
          <w:lang w:val="en-US" w:eastAsia="zh-CN"/>
        </w:rPr>
        <w:drawing>
          <wp:inline distT="0" distB="0" distL="114300" distR="114300">
            <wp:extent cx="5541010" cy="7710805"/>
            <wp:effectExtent l="0" t="0" r="8890" b="10795"/>
            <wp:docPr id="64" name="图片 64" descr="009-06-2023 三门峡鸿腾精细化工有限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09-06-2023 三门峡鸿腾精细化工有限公司_00"/>
                    <pic:cNvPicPr>
                      <a:picLocks noChangeAspect="1"/>
                    </pic:cNvPicPr>
                  </pic:nvPicPr>
                  <pic:blipFill>
                    <a:blip r:embed="rId21"/>
                    <a:stretch>
                      <a:fillRect/>
                    </a:stretch>
                  </pic:blipFill>
                  <pic:spPr>
                    <a:xfrm>
                      <a:off x="0" y="0"/>
                      <a:ext cx="5541010" cy="771080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53760" cy="8421370"/>
            <wp:effectExtent l="0" t="0" r="2540" b="11430"/>
            <wp:docPr id="63" name="图片 63" descr="009-06-2023 三门峡鸿腾精细化工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9-06-2023 三门峡鸿腾精细化工有限公司_01"/>
                    <pic:cNvPicPr>
                      <a:picLocks noChangeAspect="1"/>
                    </pic:cNvPicPr>
                  </pic:nvPicPr>
                  <pic:blipFill>
                    <a:blip r:embed="rId22"/>
                    <a:stretch>
                      <a:fillRect/>
                    </a:stretch>
                  </pic:blipFill>
                  <pic:spPr>
                    <a:xfrm>
                      <a:off x="0" y="0"/>
                      <a:ext cx="5953760" cy="842137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899150" cy="8344535"/>
            <wp:effectExtent l="0" t="0" r="6350" b="12065"/>
            <wp:docPr id="62" name="图片 62" descr="009-06-2023 三门峡鸿腾精细化工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09-06-2023 三门峡鸿腾精细化工有限公司_02"/>
                    <pic:cNvPicPr>
                      <a:picLocks noChangeAspect="1"/>
                    </pic:cNvPicPr>
                  </pic:nvPicPr>
                  <pic:blipFill>
                    <a:blip r:embed="rId23"/>
                    <a:stretch>
                      <a:fillRect/>
                    </a:stretch>
                  </pic:blipFill>
                  <pic:spPr>
                    <a:xfrm>
                      <a:off x="0" y="0"/>
                      <a:ext cx="5899150" cy="83445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899150" cy="8344535"/>
            <wp:effectExtent l="0" t="0" r="6350" b="12065"/>
            <wp:docPr id="61" name="图片 61" descr="009-06-2023 三门峡鸿腾精细化工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09-06-2023 三门峡鸿腾精细化工有限公司_03"/>
                    <pic:cNvPicPr>
                      <a:picLocks noChangeAspect="1"/>
                    </pic:cNvPicPr>
                  </pic:nvPicPr>
                  <pic:blipFill>
                    <a:blip r:embed="rId24"/>
                    <a:stretch>
                      <a:fillRect/>
                    </a:stretch>
                  </pic:blipFill>
                  <pic:spPr>
                    <a:xfrm>
                      <a:off x="0" y="0"/>
                      <a:ext cx="5899150" cy="83445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899150" cy="8344535"/>
            <wp:effectExtent l="0" t="0" r="6350" b="12065"/>
            <wp:docPr id="59" name="图片 59" descr="009-06-2023 三门峡鸿腾精细化工有限公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9-06-2023 三门峡鸿腾精细化工有限公司_04"/>
                    <pic:cNvPicPr>
                      <a:picLocks noChangeAspect="1"/>
                    </pic:cNvPicPr>
                  </pic:nvPicPr>
                  <pic:blipFill>
                    <a:blip r:embed="rId25"/>
                    <a:stretch>
                      <a:fillRect/>
                    </a:stretch>
                  </pic:blipFill>
                  <pic:spPr>
                    <a:xfrm>
                      <a:off x="0" y="0"/>
                      <a:ext cx="5899150" cy="83445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62015" cy="8433435"/>
            <wp:effectExtent l="0" t="0" r="6985" b="12065"/>
            <wp:docPr id="58" name="图片 58" descr="009-06-2023 三门峡鸿腾精细化工有限公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9-06-2023 三门峡鸿腾精细化工有限公司_05"/>
                    <pic:cNvPicPr>
                      <a:picLocks noChangeAspect="1"/>
                    </pic:cNvPicPr>
                  </pic:nvPicPr>
                  <pic:blipFill>
                    <a:blip r:embed="rId26"/>
                    <a:stretch>
                      <a:fillRect/>
                    </a:stretch>
                  </pic:blipFill>
                  <pic:spPr>
                    <a:xfrm>
                      <a:off x="0" y="0"/>
                      <a:ext cx="5962015" cy="84334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27090" cy="8383270"/>
            <wp:effectExtent l="0" t="0" r="3810" b="11430"/>
            <wp:docPr id="57" name="图片 57" descr="009-06-2023 三门峡鸿腾精细化工有限公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9-06-2023 三门峡鸿腾精细化工有限公司_06"/>
                    <pic:cNvPicPr>
                      <a:picLocks noChangeAspect="1"/>
                    </pic:cNvPicPr>
                  </pic:nvPicPr>
                  <pic:blipFill>
                    <a:blip r:embed="rId27"/>
                    <a:stretch>
                      <a:fillRect/>
                    </a:stretch>
                  </pic:blipFill>
                  <pic:spPr>
                    <a:xfrm>
                      <a:off x="0" y="0"/>
                      <a:ext cx="5927090" cy="838327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44235" cy="8408035"/>
            <wp:effectExtent l="0" t="0" r="12065" b="12065"/>
            <wp:docPr id="4" name="图片 4" descr="009-06-2023 三门峡鸿腾精细化工有限公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9-06-2023 三门峡鸿腾精细化工有限公司_07"/>
                    <pic:cNvPicPr>
                      <a:picLocks noChangeAspect="1"/>
                    </pic:cNvPicPr>
                  </pic:nvPicPr>
                  <pic:blipFill>
                    <a:blip r:embed="rId28"/>
                    <a:stretch>
                      <a:fillRect/>
                    </a:stretch>
                  </pic:blipFill>
                  <pic:spPr>
                    <a:xfrm>
                      <a:off x="0" y="0"/>
                      <a:ext cx="5944235" cy="84080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08675" cy="8357870"/>
            <wp:effectExtent l="0" t="0" r="9525" b="11430"/>
            <wp:docPr id="5" name="图片 5" descr="009-06-2023 三门峡鸿腾精细化工有限公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9-06-2023 三门峡鸿腾精细化工有限公司_08"/>
                    <pic:cNvPicPr>
                      <a:picLocks noChangeAspect="1"/>
                    </pic:cNvPicPr>
                  </pic:nvPicPr>
                  <pic:blipFill>
                    <a:blip r:embed="rId29"/>
                    <a:stretch>
                      <a:fillRect/>
                    </a:stretch>
                  </pic:blipFill>
                  <pic:spPr>
                    <a:xfrm>
                      <a:off x="0" y="0"/>
                      <a:ext cx="5908675" cy="835787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935345" cy="8395335"/>
            <wp:effectExtent l="0" t="0" r="8255" b="12065"/>
            <wp:docPr id="9" name="图片 9" descr="009-06-2023 三门峡鸿腾精细化工有限公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9-06-2023 三门峡鸿腾精细化工有限公司_09"/>
                    <pic:cNvPicPr>
                      <a:picLocks noChangeAspect="1"/>
                    </pic:cNvPicPr>
                  </pic:nvPicPr>
                  <pic:blipFill>
                    <a:blip r:embed="rId30"/>
                    <a:stretch>
                      <a:fillRect/>
                    </a:stretch>
                  </pic:blipFill>
                  <pic:spPr>
                    <a:xfrm>
                      <a:off x="0" y="0"/>
                      <a:ext cx="5935345" cy="839533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5890895" cy="8332470"/>
            <wp:effectExtent l="0" t="0" r="1905" b="11430"/>
            <wp:docPr id="10" name="图片 10" descr="009-06-2023 三门峡鸿腾精细化工有限公司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9-06-2023 三门峡鸿腾精细化工有限公司_10"/>
                    <pic:cNvPicPr>
                      <a:picLocks noChangeAspect="1"/>
                    </pic:cNvPicPr>
                  </pic:nvPicPr>
                  <pic:blipFill>
                    <a:blip r:embed="rId31"/>
                    <a:stretch>
                      <a:fillRect/>
                    </a:stretch>
                  </pic:blipFill>
                  <pic:spPr>
                    <a:xfrm>
                      <a:off x="0" y="0"/>
                      <a:ext cx="5890895" cy="8332470"/>
                    </a:xfrm>
                    <a:prstGeom prst="rect">
                      <a:avLst/>
                    </a:prstGeom>
                  </pic:spPr>
                </pic:pic>
              </a:graphicData>
            </a:graphic>
          </wp:inline>
        </w:drawing>
      </w:r>
    </w:p>
    <w:p>
      <w:pPr>
        <w:pStyle w:val="42"/>
        <w:pageBreakBefore w:val="0"/>
        <w:kinsoku/>
        <w:wordWrap/>
        <w:overflowPunct/>
        <w:topLinePunct w:val="0"/>
        <w:bidi w:val="0"/>
        <w:spacing w:line="240" w:lineRule="auto"/>
        <w:ind w:left="0" w:leftChars="0" w:right="0"/>
        <w:outlineLvl w:val="9"/>
        <w:rPr>
          <w:rFonts w:hint="eastAsia"/>
          <w:color w:val="auto"/>
          <w:highlight w:val="none"/>
          <w:lang w:val="en-US" w:eastAsia="zh-CN"/>
        </w:rPr>
      </w:pPr>
    </w:p>
    <w:p>
      <w:pPr>
        <w:spacing w:line="240" w:lineRule="auto"/>
        <w:ind w:left="0" w:leftChars="0" w:firstLine="0" w:firstLineChars="0"/>
        <w:rPr>
          <w:rFonts w:hint="eastAsia"/>
          <w:color w:val="auto"/>
          <w:highlight w:val="none"/>
          <w:lang w:val="en-US" w:eastAsia="zh-CN"/>
        </w:rPr>
      </w:pPr>
    </w:p>
    <w:p>
      <w:pPr>
        <w:outlineLvl w:val="0"/>
        <w:rPr>
          <w:rFonts w:hint="eastAsia" w:ascii="宋体" w:hAnsi="宋体" w:eastAsia="宋体" w:cs="宋体"/>
          <w:b/>
          <w:bCs/>
          <w:sz w:val="24"/>
          <w:szCs w:val="32"/>
          <w:lang w:val="en-US" w:eastAsia="zh-CN"/>
        </w:rPr>
      </w:pPr>
      <w:bookmarkStart w:id="315" w:name="_Toc28715"/>
      <w:bookmarkStart w:id="316" w:name="_Toc18597"/>
      <w:bookmarkStart w:id="317" w:name="_Toc12788"/>
      <w:bookmarkStart w:id="318" w:name="_Toc17589"/>
      <w:bookmarkStart w:id="319" w:name="_Toc32055"/>
      <w:r>
        <w:rPr>
          <w:rFonts w:hint="eastAsia" w:ascii="宋体" w:hAnsi="宋体" w:eastAsia="宋体" w:cs="宋体"/>
          <w:b/>
          <w:bCs/>
          <w:sz w:val="24"/>
          <w:szCs w:val="32"/>
          <w:lang w:val="en-US" w:eastAsia="zh-CN"/>
        </w:rPr>
        <w:t>附件2 检测资质证书、附表</w:t>
      </w:r>
      <w:bookmarkEnd w:id="315"/>
      <w:bookmarkEnd w:id="316"/>
    </w:p>
    <w:p>
      <w:pPr>
        <w:rPr>
          <w:rFonts w:hint="eastAsia" w:ascii="宋体" w:hAnsi="宋体" w:eastAsia="宋体" w:cs="宋体"/>
          <w:sz w:val="21"/>
        </w:rPr>
      </w:pPr>
      <w:r>
        <w:rPr>
          <w:rFonts w:hint="eastAsia" w:ascii="宋体" w:hAnsi="宋体" w:eastAsia="宋体" w:cs="宋体"/>
          <w:sz w:val="21"/>
        </w:rPr>
        <w:drawing>
          <wp:inline distT="0" distB="0" distL="114300" distR="114300">
            <wp:extent cx="5758815" cy="7449185"/>
            <wp:effectExtent l="0" t="0" r="6985" b="5715"/>
            <wp:docPr id="55" name="图片 55" descr="资质附表--达峰检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资质附表--达峰检测(1)_00"/>
                    <pic:cNvPicPr>
                      <a:picLocks noChangeAspect="1"/>
                    </pic:cNvPicPr>
                  </pic:nvPicPr>
                  <pic:blipFill>
                    <a:blip r:embed="rId32"/>
                    <a:stretch>
                      <a:fillRect/>
                    </a:stretch>
                  </pic:blipFill>
                  <pic:spPr>
                    <a:xfrm>
                      <a:off x="0" y="0"/>
                      <a:ext cx="5758815" cy="744918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9140"/>
            <wp:effectExtent l="0" t="0" r="10160" b="10160"/>
            <wp:docPr id="54" name="图片 54" descr="资质附表--达峰检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资质附表--达峰检测(1)_01"/>
                    <pic:cNvPicPr>
                      <a:picLocks noChangeAspect="1"/>
                    </pic:cNvPicPr>
                  </pic:nvPicPr>
                  <pic:blipFill>
                    <a:blip r:embed="rId33"/>
                    <a:stretch>
                      <a:fillRect/>
                    </a:stretch>
                  </pic:blipFill>
                  <pic:spPr>
                    <a:xfrm>
                      <a:off x="0" y="0"/>
                      <a:ext cx="5908040" cy="8359140"/>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3" name="图片 53" descr="资质附表--达峰检测(1)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资质附表--达峰检测(1)_43"/>
                    <pic:cNvPicPr>
                      <a:picLocks noChangeAspect="1"/>
                    </pic:cNvPicPr>
                  </pic:nvPicPr>
                  <pic:blipFill>
                    <a:blip r:embed="rId34"/>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2" name="图片 52" descr="资质附表--达峰检测(1)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资质附表--达峰检测(1)_44"/>
                    <pic:cNvPicPr>
                      <a:picLocks noChangeAspect="1"/>
                    </pic:cNvPicPr>
                  </pic:nvPicPr>
                  <pic:blipFill>
                    <a:blip r:embed="rId35"/>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922645" cy="8379460"/>
            <wp:effectExtent l="0" t="0" r="8255" b="2540"/>
            <wp:docPr id="51" name="图片 51" descr="资质附表--达峰检测(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质附表--达峰检测(1)_45"/>
                    <pic:cNvPicPr>
                      <a:picLocks noChangeAspect="1"/>
                    </pic:cNvPicPr>
                  </pic:nvPicPr>
                  <pic:blipFill>
                    <a:blip r:embed="rId36"/>
                    <a:stretch>
                      <a:fillRect/>
                    </a:stretch>
                  </pic:blipFill>
                  <pic:spPr>
                    <a:xfrm>
                      <a:off x="0" y="0"/>
                      <a:ext cx="5922645" cy="8379460"/>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50" name="图片 50" descr="资质附表--达峰检测(1)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质附表--达峰检测(1)_46"/>
                    <pic:cNvPicPr>
                      <a:picLocks noChangeAspect="1"/>
                    </pic:cNvPicPr>
                  </pic:nvPicPr>
                  <pic:blipFill>
                    <a:blip r:embed="rId37"/>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892800" cy="8337550"/>
            <wp:effectExtent l="0" t="0" r="0" b="6350"/>
            <wp:docPr id="49" name="图片 49" descr="资质附表--达峰检测(1)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资质附表--达峰检测(1)_47"/>
                    <pic:cNvPicPr>
                      <a:picLocks noChangeAspect="1"/>
                    </pic:cNvPicPr>
                  </pic:nvPicPr>
                  <pic:blipFill>
                    <a:blip r:embed="rId38"/>
                    <a:stretch>
                      <a:fillRect/>
                    </a:stretch>
                  </pic:blipFill>
                  <pic:spPr>
                    <a:xfrm>
                      <a:off x="0" y="0"/>
                      <a:ext cx="5892800" cy="8337550"/>
                    </a:xfrm>
                    <a:prstGeom prst="rect">
                      <a:avLst/>
                    </a:prstGeom>
                  </pic:spPr>
                </pic:pic>
              </a:graphicData>
            </a:graphic>
          </wp:inline>
        </w:drawing>
      </w:r>
      <w:r>
        <w:rPr>
          <w:rFonts w:hint="eastAsia" w:ascii="宋体" w:hAnsi="宋体" w:eastAsia="宋体" w:cs="宋体"/>
          <w:sz w:val="21"/>
        </w:rPr>
        <w:drawing>
          <wp:inline distT="0" distB="0" distL="114300" distR="114300">
            <wp:extent cx="5728970" cy="8105140"/>
            <wp:effectExtent l="0" t="0" r="11430" b="10160"/>
            <wp:docPr id="48" name="图片 48" descr="资质附表--达峰检测(1)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资质附表--达峰检测(1)_48"/>
                    <pic:cNvPicPr>
                      <a:picLocks noChangeAspect="1"/>
                    </pic:cNvPicPr>
                  </pic:nvPicPr>
                  <pic:blipFill>
                    <a:blip r:embed="rId39"/>
                    <a:stretch>
                      <a:fillRect/>
                    </a:stretch>
                  </pic:blipFill>
                  <pic:spPr>
                    <a:xfrm>
                      <a:off x="0" y="0"/>
                      <a:ext cx="5728970" cy="8105140"/>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7" name="图片 47" descr="资质附表--达峰检测(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资质附表--达峰检测(1)_49"/>
                    <pic:cNvPicPr>
                      <a:picLocks noChangeAspect="1"/>
                    </pic:cNvPicPr>
                  </pic:nvPicPr>
                  <pic:blipFill>
                    <a:blip r:embed="rId40"/>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6" name="图片 46" descr="资质附表--达峰检测(1)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资质附表--达峰检测(1)_50"/>
                    <pic:cNvPicPr>
                      <a:picLocks noChangeAspect="1"/>
                    </pic:cNvPicPr>
                  </pic:nvPicPr>
                  <pic:blipFill>
                    <a:blip r:embed="rId41"/>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878195" cy="8316595"/>
            <wp:effectExtent l="0" t="0" r="1905" b="1905"/>
            <wp:docPr id="45" name="图片 45" descr="资质附表--达峰检测(1)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资质附表--达峰检测(1)_51"/>
                    <pic:cNvPicPr>
                      <a:picLocks noChangeAspect="1"/>
                    </pic:cNvPicPr>
                  </pic:nvPicPr>
                  <pic:blipFill>
                    <a:blip r:embed="rId42"/>
                    <a:stretch>
                      <a:fillRect/>
                    </a:stretch>
                  </pic:blipFill>
                  <pic:spPr>
                    <a:xfrm>
                      <a:off x="0" y="0"/>
                      <a:ext cx="5878195" cy="8316595"/>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4" name="图片 44" descr="资质附表--达峰检测(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资质附表--达峰检测(1)_52"/>
                    <pic:cNvPicPr>
                      <a:picLocks noChangeAspect="1"/>
                    </pic:cNvPicPr>
                  </pic:nvPicPr>
                  <pic:blipFill>
                    <a:blip r:embed="rId43"/>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3" name="图片 43" descr="资质附表--达峰检测(1)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质附表--达峰检测(1)_53"/>
                    <pic:cNvPicPr>
                      <a:picLocks noChangeAspect="1"/>
                    </pic:cNvPicPr>
                  </pic:nvPicPr>
                  <pic:blipFill>
                    <a:blip r:embed="rId44"/>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42" name="图片 42" descr="资质附表--达峰检测(1)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质附表--达峰检测(1)_54"/>
                    <pic:cNvPicPr>
                      <a:picLocks noChangeAspect="1"/>
                    </pic:cNvPicPr>
                  </pic:nvPicPr>
                  <pic:blipFill>
                    <a:blip r:embed="rId45"/>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953125" cy="8422640"/>
            <wp:effectExtent l="0" t="0" r="3175" b="10160"/>
            <wp:docPr id="41" name="图片 41" descr="资质附表--达峰检测(1)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质附表--达峰检测(1)_55"/>
                    <pic:cNvPicPr>
                      <a:picLocks noChangeAspect="1"/>
                    </pic:cNvPicPr>
                  </pic:nvPicPr>
                  <pic:blipFill>
                    <a:blip r:embed="rId46"/>
                    <a:stretch>
                      <a:fillRect/>
                    </a:stretch>
                  </pic:blipFill>
                  <pic:spPr>
                    <a:xfrm>
                      <a:off x="0" y="0"/>
                      <a:ext cx="5953125" cy="8422640"/>
                    </a:xfrm>
                    <a:prstGeom prst="rect">
                      <a:avLst/>
                    </a:prstGeom>
                  </pic:spPr>
                </pic:pic>
              </a:graphicData>
            </a:graphic>
          </wp:inline>
        </w:drawing>
      </w:r>
      <w:r>
        <w:rPr>
          <w:rFonts w:hint="eastAsia" w:ascii="宋体" w:hAnsi="宋体" w:eastAsia="宋体" w:cs="宋体"/>
          <w:sz w:val="21"/>
        </w:rPr>
        <w:drawing>
          <wp:inline distT="0" distB="0" distL="114300" distR="114300">
            <wp:extent cx="6012815" cy="8507095"/>
            <wp:effectExtent l="0" t="0" r="6985" b="1905"/>
            <wp:docPr id="40" name="图片 40" descr="资质附表--达峰检测(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质附表--达峰检测(1)_56"/>
                    <pic:cNvPicPr>
                      <a:picLocks noChangeAspect="1"/>
                    </pic:cNvPicPr>
                  </pic:nvPicPr>
                  <pic:blipFill>
                    <a:blip r:embed="rId47"/>
                    <a:stretch>
                      <a:fillRect/>
                    </a:stretch>
                  </pic:blipFill>
                  <pic:spPr>
                    <a:xfrm>
                      <a:off x="0" y="0"/>
                      <a:ext cx="6012815" cy="8507095"/>
                    </a:xfrm>
                    <a:prstGeom prst="rect">
                      <a:avLst/>
                    </a:prstGeom>
                  </pic:spPr>
                </pic:pic>
              </a:graphicData>
            </a:graphic>
          </wp:inline>
        </w:drawing>
      </w:r>
    </w:p>
    <w:bookmarkEnd w:id="317"/>
    <w:bookmarkEnd w:id="318"/>
    <w:bookmarkEnd w:id="319"/>
    <w:p>
      <w:pPr>
        <w:pStyle w:val="3"/>
        <w:pageBreakBefore w:val="0"/>
        <w:numPr>
          <w:ilvl w:val="1"/>
          <w:numId w:val="0"/>
        </w:numPr>
        <w:kinsoku/>
        <w:wordWrap/>
        <w:overflowPunct/>
        <w:topLinePunct w:val="0"/>
        <w:bidi w:val="0"/>
        <w:spacing w:before="0" w:after="0" w:line="360" w:lineRule="auto"/>
        <w:ind w:left="0" w:leftChars="0" w:right="0"/>
        <w:jc w:val="both"/>
        <w:outlineLvl w:val="0"/>
        <w:rPr>
          <w:rFonts w:hint="eastAsia" w:ascii="宋体" w:hAnsi="宋体" w:eastAsia="宋体" w:cs="宋体"/>
          <w:b/>
          <w:bCs/>
          <w:color w:val="auto"/>
          <w:highlight w:val="none"/>
          <w:u w:val="none"/>
          <w:lang w:val="en-US" w:eastAsia="zh-CN"/>
        </w:rPr>
      </w:pPr>
      <w:bookmarkStart w:id="320" w:name="_Toc6028"/>
      <w:bookmarkStart w:id="321" w:name="_Toc16842"/>
      <w:r>
        <w:rPr>
          <w:rFonts w:hint="eastAsia" w:ascii="宋体" w:hAnsi="宋体" w:eastAsia="宋体" w:cs="宋体"/>
          <w:b/>
          <w:bCs/>
          <w:color w:val="auto"/>
          <w:highlight w:val="none"/>
          <w:u w:val="none"/>
          <w:lang w:eastAsia="zh-CN"/>
        </w:rPr>
        <w:t>附件</w:t>
      </w:r>
      <w:r>
        <w:rPr>
          <w:rFonts w:hint="eastAsia" w:ascii="宋体" w:hAnsi="宋体" w:eastAsia="宋体" w:cs="宋体"/>
          <w:b/>
          <w:bCs/>
          <w:color w:val="auto"/>
          <w:highlight w:val="none"/>
          <w:u w:val="none"/>
          <w:lang w:val="en-US" w:eastAsia="zh-CN"/>
        </w:rPr>
        <w:t>3 岩土工程勘察报告（剖面图、钻孔柱状图）</w:t>
      </w:r>
      <w:bookmarkEnd w:id="320"/>
      <w:bookmarkEnd w:id="321"/>
    </w:p>
    <w:p>
      <w:pPr>
        <w:spacing w:line="240" w:lineRule="auto"/>
        <w:ind w:left="0" w:leftChars="0" w:firstLine="0" w:firstLineChars="0"/>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647055" cy="7959090"/>
            <wp:effectExtent l="0" t="0" r="4445" b="3810"/>
            <wp:docPr id="33" name="图片 33" descr="地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地勘"/>
                    <pic:cNvPicPr>
                      <a:picLocks noChangeAspect="1"/>
                    </pic:cNvPicPr>
                  </pic:nvPicPr>
                  <pic:blipFill>
                    <a:blip r:embed="rId48"/>
                    <a:stretch>
                      <a:fillRect/>
                    </a:stretch>
                  </pic:blipFill>
                  <pic:spPr>
                    <a:xfrm>
                      <a:off x="0" y="0"/>
                      <a:ext cx="5647055" cy="7959090"/>
                    </a:xfrm>
                    <a:prstGeom prst="rect">
                      <a:avLst/>
                    </a:prstGeom>
                  </pic:spPr>
                </pic:pic>
              </a:graphicData>
            </a:graphic>
          </wp:inline>
        </w:drawing>
      </w:r>
      <w:r>
        <w:rPr>
          <w:rFonts w:hint="eastAsia" w:ascii="宋体" w:hAnsi="宋体" w:eastAsia="宋体" w:cs="宋体"/>
          <w:color w:val="auto"/>
          <w:highlight w:val="none"/>
          <w:lang w:val="en-US" w:eastAsia="zh-CN"/>
        </w:rPr>
        <w:drawing>
          <wp:inline distT="0" distB="0" distL="114300" distR="114300">
            <wp:extent cx="5634355" cy="8290560"/>
            <wp:effectExtent l="0" t="0" r="4445" b="2540"/>
            <wp:docPr id="38" name="图片 38" descr="地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勘2"/>
                    <pic:cNvPicPr>
                      <a:picLocks noChangeAspect="1"/>
                    </pic:cNvPicPr>
                  </pic:nvPicPr>
                  <pic:blipFill>
                    <a:blip r:embed="rId49"/>
                    <a:stretch>
                      <a:fillRect/>
                    </a:stretch>
                  </pic:blipFill>
                  <pic:spPr>
                    <a:xfrm>
                      <a:off x="0" y="0"/>
                      <a:ext cx="5634355" cy="8290560"/>
                    </a:xfrm>
                    <a:prstGeom prst="rect">
                      <a:avLst/>
                    </a:prstGeom>
                  </pic:spPr>
                </pic:pic>
              </a:graphicData>
            </a:graphic>
          </wp:inline>
        </w:drawing>
      </w:r>
      <w:r>
        <w:rPr>
          <w:rFonts w:hint="eastAsia" w:ascii="宋体" w:hAnsi="宋体" w:eastAsia="宋体" w:cs="宋体"/>
          <w:color w:val="auto"/>
          <w:highlight w:val="none"/>
          <w:lang w:val="en-US" w:eastAsia="zh-CN"/>
        </w:rPr>
        <w:drawing>
          <wp:inline distT="0" distB="0" distL="114300" distR="114300">
            <wp:extent cx="5648325" cy="8514715"/>
            <wp:effectExtent l="0" t="0" r="3175" b="6985"/>
            <wp:docPr id="18" name="图片 18" descr="地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地勘3"/>
                    <pic:cNvPicPr>
                      <a:picLocks noChangeAspect="1"/>
                    </pic:cNvPicPr>
                  </pic:nvPicPr>
                  <pic:blipFill>
                    <a:blip r:embed="rId50"/>
                    <a:stretch>
                      <a:fillRect/>
                    </a:stretch>
                  </pic:blipFill>
                  <pic:spPr>
                    <a:xfrm>
                      <a:off x="0" y="0"/>
                      <a:ext cx="5648325" cy="8514715"/>
                    </a:xfrm>
                    <a:prstGeom prst="rect">
                      <a:avLst/>
                    </a:prstGeom>
                  </pic:spPr>
                </pic:pic>
              </a:graphicData>
            </a:graphic>
          </wp:inline>
        </w:drawing>
      </w:r>
    </w:p>
    <w:p>
      <w:pPr>
        <w:spacing w:line="240" w:lineRule="auto"/>
        <w:ind w:left="0" w:leftChars="0" w:firstLine="0" w:firstLineChars="0"/>
        <w:outlineLvl w:val="9"/>
        <w:rPr>
          <w:rFonts w:hint="eastAsia" w:ascii="宋体" w:hAnsi="宋体" w:eastAsia="宋体" w:cs="宋体"/>
        </w:rPr>
      </w:pPr>
      <w:r>
        <w:rPr>
          <w:rFonts w:hint="eastAsia" w:ascii="宋体" w:hAnsi="宋体" w:eastAsia="宋体" w:cs="宋体"/>
          <w:color w:val="auto"/>
          <w:highlight w:val="none"/>
        </w:rPr>
        <w:drawing>
          <wp:inline distT="0" distB="0" distL="114300" distR="114300">
            <wp:extent cx="5638165" cy="8335645"/>
            <wp:effectExtent l="0" t="0" r="635" b="825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1"/>
                    <a:stretch>
                      <a:fillRect/>
                    </a:stretch>
                  </pic:blipFill>
                  <pic:spPr>
                    <a:xfrm>
                      <a:off x="0" y="0"/>
                      <a:ext cx="5638165" cy="8335645"/>
                    </a:xfrm>
                    <a:prstGeom prst="rect">
                      <a:avLst/>
                    </a:prstGeom>
                    <a:noFill/>
                    <a:ln>
                      <a:noFill/>
                    </a:ln>
                  </pic:spPr>
                </pic:pic>
              </a:graphicData>
            </a:graphic>
          </wp:inline>
        </w:drawing>
      </w:r>
      <w:r>
        <w:rPr>
          <w:rFonts w:hint="eastAsia" w:ascii="宋体" w:hAnsi="宋体" w:eastAsia="宋体" w:cs="宋体"/>
          <w:color w:val="auto"/>
          <w:highlight w:val="none"/>
          <w:lang w:val="en-US" w:eastAsia="zh-CN"/>
        </w:rPr>
        <w:drawing>
          <wp:inline distT="0" distB="0" distL="114300" distR="114300">
            <wp:extent cx="5532755" cy="8357235"/>
            <wp:effectExtent l="0" t="0" r="4445" b="12065"/>
            <wp:docPr id="22" name="图片 22" descr="微信图片_202309031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903104657"/>
                    <pic:cNvPicPr>
                      <a:picLocks noChangeAspect="1"/>
                    </pic:cNvPicPr>
                  </pic:nvPicPr>
                  <pic:blipFill>
                    <a:blip r:embed="rId52"/>
                    <a:stretch>
                      <a:fillRect/>
                    </a:stretch>
                  </pic:blipFill>
                  <pic:spPr>
                    <a:xfrm>
                      <a:off x="0" y="0"/>
                      <a:ext cx="5532755" cy="8357235"/>
                    </a:xfrm>
                    <a:prstGeom prst="rect">
                      <a:avLst/>
                    </a:prstGeom>
                  </pic:spPr>
                </pic:pic>
              </a:graphicData>
            </a:graphic>
          </wp:inline>
        </w:drawing>
      </w:r>
      <w:r>
        <w:rPr>
          <w:rFonts w:hint="eastAsia" w:ascii="宋体" w:hAnsi="宋体" w:eastAsia="宋体" w:cs="宋体"/>
          <w:color w:val="auto"/>
          <w:highlight w:val="none"/>
        </w:rPr>
        <w:drawing>
          <wp:inline distT="0" distB="0" distL="114300" distR="114300">
            <wp:extent cx="5514340" cy="8498205"/>
            <wp:effectExtent l="0" t="0" r="1016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3"/>
                    <a:stretch>
                      <a:fillRect/>
                    </a:stretch>
                  </pic:blipFill>
                  <pic:spPr>
                    <a:xfrm>
                      <a:off x="0" y="0"/>
                      <a:ext cx="5514340" cy="8498205"/>
                    </a:xfrm>
                    <a:prstGeom prst="rect">
                      <a:avLst/>
                    </a:prstGeom>
                    <a:noFill/>
                    <a:ln>
                      <a:noFill/>
                    </a:ln>
                  </pic:spPr>
                </pic:pic>
              </a:graphicData>
            </a:graphic>
          </wp:inline>
        </w:drawing>
      </w:r>
      <w:r>
        <w:rPr>
          <w:rFonts w:hint="eastAsia" w:ascii="宋体" w:hAnsi="宋体" w:eastAsia="宋体" w:cs="宋体"/>
          <w:color w:val="auto"/>
          <w:highlight w:val="none"/>
          <w:lang w:val="en-US" w:eastAsia="zh-CN"/>
        </w:rPr>
        <w:drawing>
          <wp:inline distT="0" distB="0" distL="114300" distR="114300">
            <wp:extent cx="5442585" cy="8510905"/>
            <wp:effectExtent l="0" t="0" r="5715" b="10795"/>
            <wp:docPr id="25" name="图片 25" descr="微信图片_2023090310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903104831"/>
                    <pic:cNvPicPr>
                      <a:picLocks noChangeAspect="1"/>
                    </pic:cNvPicPr>
                  </pic:nvPicPr>
                  <pic:blipFill>
                    <a:blip r:embed="rId54"/>
                    <a:stretch>
                      <a:fillRect/>
                    </a:stretch>
                  </pic:blipFill>
                  <pic:spPr>
                    <a:xfrm>
                      <a:off x="0" y="0"/>
                      <a:ext cx="5442585" cy="8510905"/>
                    </a:xfrm>
                    <a:prstGeom prst="rect">
                      <a:avLst/>
                    </a:prstGeom>
                  </pic:spPr>
                </pic:pic>
              </a:graphicData>
            </a:graphic>
          </wp:inline>
        </w:drawing>
      </w:r>
      <w:r>
        <w:rPr>
          <w:rFonts w:hint="eastAsia" w:ascii="宋体" w:hAnsi="宋体" w:eastAsia="宋体" w:cs="宋体"/>
          <w:color w:val="auto"/>
          <w:highlight w:val="none"/>
          <w:lang w:val="en-US" w:eastAsia="zh-CN"/>
        </w:rPr>
        <w:drawing>
          <wp:inline distT="0" distB="0" distL="114300" distR="114300">
            <wp:extent cx="5668010" cy="8346440"/>
            <wp:effectExtent l="0" t="0" r="8890" b="10160"/>
            <wp:docPr id="26" name="图片 26" descr="微信图片_2023090310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903105026"/>
                    <pic:cNvPicPr>
                      <a:picLocks noChangeAspect="1"/>
                    </pic:cNvPicPr>
                  </pic:nvPicPr>
                  <pic:blipFill>
                    <a:blip r:embed="rId55"/>
                    <a:stretch>
                      <a:fillRect/>
                    </a:stretch>
                  </pic:blipFill>
                  <pic:spPr>
                    <a:xfrm>
                      <a:off x="0" y="0"/>
                      <a:ext cx="5668010" cy="8346440"/>
                    </a:xfrm>
                    <a:prstGeom prst="rect">
                      <a:avLst/>
                    </a:prstGeom>
                  </pic:spPr>
                </pic:pic>
              </a:graphicData>
            </a:graphic>
          </wp:inline>
        </w:drawing>
      </w:r>
    </w:p>
    <w:sectPr>
      <w:footerReference r:id="rId8" w:type="default"/>
      <w:pgSz w:w="11905" w:h="16838"/>
      <w:pgMar w:top="1701" w:right="1587" w:bottom="1701" w:left="1587" w:header="1077" w:footer="1134" w:gutter="0"/>
      <w:pgNumType w:fmt="decimal"/>
      <w:cols w:space="0" w:num="1"/>
      <w:rtlGutter w:val="0"/>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idowControl w:val="0"/>
      <w:rPr>
        <w:rFonts w:ascii="Times New Roman" w:hAnsi="Times New Roman" w:eastAsia="Calibri" w:cs="Times New Roman"/>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7428A"/>
    <w:multiLevelType w:val="singleLevel"/>
    <w:tmpl w:val="9577428A"/>
    <w:lvl w:ilvl="0" w:tentative="0">
      <w:start w:val="1"/>
      <w:numFmt w:val="decimal"/>
      <w:suff w:val="nothing"/>
      <w:lvlText w:val="（%1）"/>
      <w:lvlJc w:val="left"/>
    </w:lvl>
  </w:abstractNum>
  <w:abstractNum w:abstractNumId="1">
    <w:nsid w:val="9B61FE74"/>
    <w:multiLevelType w:val="multilevel"/>
    <w:tmpl w:val="9B61FE74"/>
    <w:lvl w:ilvl="0" w:tentative="0">
      <w:start w:val="1"/>
      <w:numFmt w:val="chineseCountingThousand"/>
      <w:suff w:val="nothing"/>
      <w:lvlText w:val="第%1章"/>
      <w:lvlJc w:val="left"/>
      <w:pPr>
        <w:ind w:left="0" w:firstLine="0"/>
      </w:pPr>
      <w:rPr>
        <w:rFonts w:hint="eastAsia" w:ascii="黑体" w:hAnsi="黑体" w:eastAsia="黑体"/>
        <w:sz w:val="36"/>
        <w:szCs w:val="36"/>
      </w:rPr>
    </w:lvl>
    <w:lvl w:ilvl="1" w:tentative="0">
      <w:start w:val="1"/>
      <w:numFmt w:val="none"/>
      <w:pStyle w:val="4"/>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C643824B"/>
    <w:multiLevelType w:val="singleLevel"/>
    <w:tmpl w:val="C643824B"/>
    <w:lvl w:ilvl="0" w:tentative="0">
      <w:start w:val="1"/>
      <w:numFmt w:val="decimal"/>
      <w:suff w:val="nothing"/>
      <w:lvlText w:val="%1）"/>
      <w:lvlJc w:val="left"/>
    </w:lvl>
  </w:abstractNum>
  <w:abstractNum w:abstractNumId="3">
    <w:nsid w:val="78FDED9E"/>
    <w:multiLevelType w:val="singleLevel"/>
    <w:tmpl w:val="78FDED9E"/>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20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zMmUwMzk4MWQ5MGEwNDk5NjRiOGY3OWZiMDkyMTMifQ=="/>
  </w:docVars>
  <w:rsids>
    <w:rsidRoot w:val="2CBF0C24"/>
    <w:rsid w:val="0158789D"/>
    <w:rsid w:val="01835AC3"/>
    <w:rsid w:val="0389073D"/>
    <w:rsid w:val="040C1C8D"/>
    <w:rsid w:val="043203F2"/>
    <w:rsid w:val="054641E6"/>
    <w:rsid w:val="067F3540"/>
    <w:rsid w:val="08AA5348"/>
    <w:rsid w:val="0BD24B65"/>
    <w:rsid w:val="0C796AFD"/>
    <w:rsid w:val="0D452595"/>
    <w:rsid w:val="0DE501A0"/>
    <w:rsid w:val="0E94470F"/>
    <w:rsid w:val="0F727744"/>
    <w:rsid w:val="0FE97737"/>
    <w:rsid w:val="105E23FD"/>
    <w:rsid w:val="118F4385"/>
    <w:rsid w:val="130F48A2"/>
    <w:rsid w:val="13B92D06"/>
    <w:rsid w:val="19081158"/>
    <w:rsid w:val="19D62C82"/>
    <w:rsid w:val="19F35022"/>
    <w:rsid w:val="1B2F3AC3"/>
    <w:rsid w:val="1EF94D20"/>
    <w:rsid w:val="1F6816B2"/>
    <w:rsid w:val="1F83021C"/>
    <w:rsid w:val="20744BD1"/>
    <w:rsid w:val="20C64530"/>
    <w:rsid w:val="22B62B59"/>
    <w:rsid w:val="240424FD"/>
    <w:rsid w:val="249D274B"/>
    <w:rsid w:val="25371AAD"/>
    <w:rsid w:val="27C052F3"/>
    <w:rsid w:val="28B15B83"/>
    <w:rsid w:val="29A70519"/>
    <w:rsid w:val="2A7F7171"/>
    <w:rsid w:val="2AFB4D84"/>
    <w:rsid w:val="2CBF0C24"/>
    <w:rsid w:val="2D2B6D65"/>
    <w:rsid w:val="2D910C77"/>
    <w:rsid w:val="2DD25776"/>
    <w:rsid w:val="2E255A7A"/>
    <w:rsid w:val="308050E6"/>
    <w:rsid w:val="308C0468"/>
    <w:rsid w:val="33BE302F"/>
    <w:rsid w:val="35043421"/>
    <w:rsid w:val="350C3522"/>
    <w:rsid w:val="35372AA8"/>
    <w:rsid w:val="364F191D"/>
    <w:rsid w:val="376C38F1"/>
    <w:rsid w:val="39201E84"/>
    <w:rsid w:val="39B25EC8"/>
    <w:rsid w:val="3C6A39C6"/>
    <w:rsid w:val="3CD11D42"/>
    <w:rsid w:val="3F4F77DE"/>
    <w:rsid w:val="40FE2E20"/>
    <w:rsid w:val="41FA01FE"/>
    <w:rsid w:val="42EE4A55"/>
    <w:rsid w:val="44D4074E"/>
    <w:rsid w:val="45D43AD7"/>
    <w:rsid w:val="45F656FE"/>
    <w:rsid w:val="46150A6C"/>
    <w:rsid w:val="46542C1A"/>
    <w:rsid w:val="486706F8"/>
    <w:rsid w:val="4B42108B"/>
    <w:rsid w:val="4B7847A0"/>
    <w:rsid w:val="4BA53683"/>
    <w:rsid w:val="4BC43B9E"/>
    <w:rsid w:val="4C376BB6"/>
    <w:rsid w:val="4C697705"/>
    <w:rsid w:val="4CC8759D"/>
    <w:rsid w:val="4DEC1454"/>
    <w:rsid w:val="4ED626AB"/>
    <w:rsid w:val="4F057870"/>
    <w:rsid w:val="50C36A0F"/>
    <w:rsid w:val="521E7F3D"/>
    <w:rsid w:val="53672943"/>
    <w:rsid w:val="55BF2AC6"/>
    <w:rsid w:val="57A06022"/>
    <w:rsid w:val="57AC4467"/>
    <w:rsid w:val="593F1BE0"/>
    <w:rsid w:val="5A7E40BB"/>
    <w:rsid w:val="5D945425"/>
    <w:rsid w:val="5E560CAC"/>
    <w:rsid w:val="60BE3BB6"/>
    <w:rsid w:val="60ED2AF8"/>
    <w:rsid w:val="63BD3E92"/>
    <w:rsid w:val="646075D6"/>
    <w:rsid w:val="657E1006"/>
    <w:rsid w:val="6600417D"/>
    <w:rsid w:val="6716400D"/>
    <w:rsid w:val="69937E32"/>
    <w:rsid w:val="6A620361"/>
    <w:rsid w:val="6B621F16"/>
    <w:rsid w:val="6CD8710B"/>
    <w:rsid w:val="6CFF4B44"/>
    <w:rsid w:val="6FC52A74"/>
    <w:rsid w:val="70835662"/>
    <w:rsid w:val="722B6ABD"/>
    <w:rsid w:val="748A60ED"/>
    <w:rsid w:val="779D426C"/>
    <w:rsid w:val="789906C0"/>
    <w:rsid w:val="7A4A5A80"/>
    <w:rsid w:val="7B3459C8"/>
    <w:rsid w:val="7BF3413B"/>
    <w:rsid w:val="7C120DEF"/>
    <w:rsid w:val="7C2C6987"/>
    <w:rsid w:val="7D367A9E"/>
    <w:rsid w:val="7D6733BC"/>
    <w:rsid w:val="7E093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kern w:val="2"/>
      <w:sz w:val="21"/>
      <w:szCs w:val="24"/>
      <w:lang w:val="en-US" w:eastAsia="zh-CN" w:bidi="ar-SA"/>
    </w:rPr>
  </w:style>
  <w:style w:type="paragraph" w:styleId="3">
    <w:name w:val="heading 1"/>
    <w:basedOn w:val="1"/>
    <w:next w:val="1"/>
    <w:link w:val="47"/>
    <w:qFormat/>
    <w:uiPriority w:val="0"/>
    <w:pPr>
      <w:spacing w:line="520" w:lineRule="exact"/>
      <w:ind w:left="0" w:firstLine="0"/>
      <w:outlineLvl w:val="0"/>
    </w:pPr>
    <w:rPr>
      <w:rFonts w:ascii="宋体" w:hAnsi="宋体" w:eastAsia="宋体" w:cs="宋体"/>
      <w:b/>
      <w:bCs/>
      <w:sz w:val="32"/>
      <w:szCs w:val="32"/>
      <w:lang w:val="zh-CN" w:bidi="zh-CN"/>
    </w:rPr>
  </w:style>
  <w:style w:type="paragraph" w:styleId="4">
    <w:name w:val="heading 2"/>
    <w:basedOn w:val="1"/>
    <w:next w:val="1"/>
    <w:link w:val="41"/>
    <w:unhideWhenUsed/>
    <w:qFormat/>
    <w:uiPriority w:val="0"/>
    <w:pPr>
      <w:keepNext/>
      <w:keepLines/>
      <w:numPr>
        <w:ilvl w:val="1"/>
        <w:numId w:val="1"/>
      </w:numPr>
      <w:spacing w:before="120" w:after="120" w:line="520" w:lineRule="exact"/>
      <w:outlineLvl w:val="1"/>
    </w:pPr>
    <w:rPr>
      <w:rFonts w:ascii="Cambria" w:hAnsi="Cambria" w:eastAsiaTheme="minorEastAsia"/>
      <w:b/>
      <w:bCs/>
      <w:sz w:val="28"/>
      <w:szCs w:val="32"/>
    </w:rPr>
  </w:style>
  <w:style w:type="paragraph" w:styleId="5">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6">
    <w:name w:val="Normal Indent"/>
    <w:basedOn w:val="1"/>
    <w:qFormat/>
    <w:uiPriority w:val="0"/>
  </w:style>
  <w:style w:type="paragraph" w:styleId="7">
    <w:name w:val="Body Text"/>
    <w:basedOn w:val="1"/>
    <w:next w:val="8"/>
    <w:qFormat/>
    <w:uiPriority w:val="1"/>
    <w:rPr>
      <w:rFonts w:ascii="宋体" w:hAnsi="宋体" w:eastAsia="宋体" w:cs="宋体"/>
      <w:sz w:val="28"/>
      <w:szCs w:val="28"/>
      <w:lang w:val="zh-CN" w:eastAsia="zh-CN" w:bidi="zh-CN"/>
    </w:rPr>
  </w:style>
  <w:style w:type="paragraph" w:styleId="8">
    <w:name w:val="Body Text 2"/>
    <w:basedOn w:val="1"/>
    <w:link w:val="45"/>
    <w:unhideWhenUsed/>
    <w:qFormat/>
    <w:uiPriority w:val="99"/>
    <w:pPr>
      <w:widowControl w:val="0"/>
      <w:spacing w:line="360" w:lineRule="auto"/>
      <w:ind w:firstLine="200" w:firstLineChars="200"/>
      <w:jc w:val="both"/>
    </w:pPr>
    <w:rPr>
      <w:rFonts w:ascii="Calibri" w:hAnsi="Calibri" w:eastAsia="楷体_GB2312" w:cs="Times New Roman"/>
      <w:kern w:val="2"/>
      <w:sz w:val="32"/>
      <w:szCs w:val="24"/>
      <w:lang w:val="en-US" w:eastAsia="zh-CN" w:bidi="ar-SA"/>
    </w:rPr>
  </w:style>
  <w:style w:type="paragraph" w:styleId="9">
    <w:name w:val="Body Text Indent"/>
    <w:basedOn w:val="1"/>
    <w:unhideWhenUsed/>
    <w:qFormat/>
    <w:uiPriority w:val="99"/>
    <w:pPr>
      <w:spacing w:after="120"/>
      <w:ind w:left="420" w:leftChars="200"/>
    </w:pPr>
  </w:style>
  <w:style w:type="paragraph" w:styleId="10">
    <w:name w:val="Block Text"/>
    <w:basedOn w:val="1"/>
    <w:next w:val="1"/>
    <w:qFormat/>
    <w:uiPriority w:val="0"/>
    <w:pPr>
      <w:snapToGrid w:val="0"/>
      <w:spacing w:line="408" w:lineRule="auto"/>
      <w:ind w:left="-113" w:right="-510" w:firstLine="510"/>
    </w:pPr>
    <w:rPr>
      <w:sz w:val="24"/>
      <w:szCs w:val="20"/>
    </w:rPr>
  </w:style>
  <w:style w:type="paragraph" w:styleId="11">
    <w:name w:val="Plain Text"/>
    <w:basedOn w:val="1"/>
    <w:qFormat/>
    <w:uiPriority w:val="0"/>
    <w:rPr>
      <w:rFonts w:ascii="宋体" w:hAnsi="Courier New"/>
    </w:rPr>
  </w:style>
  <w:style w:type="paragraph" w:styleId="12">
    <w:name w:val="footer"/>
    <w:basedOn w:val="1"/>
    <w:qFormat/>
    <w:uiPriority w:val="99"/>
    <w:pPr>
      <w:tabs>
        <w:tab w:val="center" w:pos="4153"/>
        <w:tab w:val="right" w:pos="8306"/>
      </w:tabs>
      <w:snapToGrid w:val="0"/>
      <w:jc w:val="left"/>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rPr>
      <w:sz w:val="24"/>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7"/>
    <w:next w:val="18"/>
    <w:qFormat/>
    <w:uiPriority w:val="0"/>
    <w:pPr>
      <w:spacing w:after="0"/>
      <w:ind w:firstLine="420" w:firstLineChars="100"/>
    </w:pPr>
    <w:rPr>
      <w:rFonts w:eastAsia="仿宋_GB2312" w:cs="Times New Roman"/>
      <w:kern w:val="0"/>
      <w:sz w:val="32"/>
      <w:szCs w:val="24"/>
    </w:rPr>
  </w:style>
  <w:style w:type="paragraph" w:styleId="18">
    <w:name w:val="Body Text First Indent 2"/>
    <w:basedOn w:val="9"/>
    <w:next w:val="1"/>
    <w:link w:val="46"/>
    <w:qFormat/>
    <w:uiPriority w:val="0"/>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WPSOffice手动目录 1"/>
    <w:qFormat/>
    <w:uiPriority w:val="0"/>
    <w:rPr>
      <w:rFonts w:ascii="Calibri" w:hAnsi="Calibri" w:eastAsia="Calibri" w:cs="Times New Roman"/>
      <w:lang w:val="en-US" w:eastAsia="zh-CN" w:bidi="ar-SA"/>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 w:type="paragraph" w:customStyle="1" w:styleId="25">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6">
    <w:name w:val="正文缩进1"/>
    <w:basedOn w:val="1"/>
    <w:qFormat/>
    <w:uiPriority w:val="0"/>
    <w:pPr>
      <w:widowControl/>
      <w:adjustRightInd w:val="0"/>
      <w:snapToGrid w:val="0"/>
      <w:spacing w:line="520" w:lineRule="exact"/>
      <w:ind w:firstLine="200" w:firstLineChars="200"/>
      <w:jc w:val="left"/>
    </w:pPr>
    <w:rPr>
      <w:rFonts w:ascii="Times New Roman" w:hAnsi="Times New Roman"/>
      <w:kern w:val="0"/>
      <w:sz w:val="28"/>
      <w:szCs w:val="22"/>
    </w:rPr>
  </w:style>
  <w:style w:type="table" w:customStyle="1" w:styleId="27">
    <w:name w:val="网格型3"/>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4"/>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TableStyle10.5"/>
    <w:basedOn w:val="1"/>
    <w:qFormat/>
    <w:uiPriority w:val="0"/>
    <w:pPr>
      <w:jc w:val="center"/>
    </w:pPr>
    <w:rPr>
      <w:sz w:val="21"/>
    </w:rPr>
  </w:style>
  <w:style w:type="character" w:customStyle="1" w:styleId="31">
    <w:name w:val="font61"/>
    <w:basedOn w:val="21"/>
    <w:qFormat/>
    <w:uiPriority w:val="0"/>
    <w:rPr>
      <w:rFonts w:hint="default" w:ascii="Cambria" w:hAnsi="Cambria" w:eastAsia="Cambria" w:cs="Cambria"/>
      <w:color w:val="000000"/>
      <w:sz w:val="20"/>
      <w:szCs w:val="20"/>
      <w:u w:val="none"/>
    </w:rPr>
  </w:style>
  <w:style w:type="character" w:customStyle="1" w:styleId="32">
    <w:name w:val="font12"/>
    <w:basedOn w:val="21"/>
    <w:qFormat/>
    <w:uiPriority w:val="0"/>
    <w:rPr>
      <w:rFonts w:hint="eastAsia" w:ascii="宋体" w:hAnsi="宋体" w:eastAsia="宋体" w:cs="宋体"/>
      <w:color w:val="000000"/>
      <w:sz w:val="18"/>
      <w:szCs w:val="18"/>
      <w:u w:val="none"/>
    </w:rPr>
  </w:style>
  <w:style w:type="character" w:customStyle="1" w:styleId="33">
    <w:name w:val="font91"/>
    <w:basedOn w:val="21"/>
    <w:qFormat/>
    <w:uiPriority w:val="0"/>
    <w:rPr>
      <w:rFonts w:hint="default" w:ascii="Times New Roman" w:hAnsi="Times New Roman" w:cs="Times New Roman"/>
      <w:color w:val="000000"/>
      <w:sz w:val="22"/>
      <w:szCs w:val="22"/>
      <w:u w:val="none"/>
    </w:rPr>
  </w:style>
  <w:style w:type="paragraph" w:customStyle="1" w:styleId="34">
    <w:name w:val="表格"/>
    <w:basedOn w:val="1"/>
    <w:qFormat/>
    <w:uiPriority w:val="0"/>
    <w:pPr>
      <w:keepNext/>
      <w:widowControl w:val="0"/>
      <w:adjustRightInd w:val="0"/>
      <w:spacing w:line="312" w:lineRule="atLeast"/>
      <w:jc w:val="center"/>
      <w:textAlignment w:val="baseline"/>
    </w:pPr>
    <w:rPr>
      <w:sz w:val="21"/>
    </w:rPr>
  </w:style>
  <w:style w:type="character" w:customStyle="1" w:styleId="35">
    <w:name w:val="font51"/>
    <w:basedOn w:val="21"/>
    <w:qFormat/>
    <w:uiPriority w:val="0"/>
    <w:rPr>
      <w:rFonts w:hint="eastAsia" w:ascii="宋体" w:hAnsi="宋体" w:eastAsia="宋体" w:cs="宋体"/>
      <w:color w:val="000000"/>
      <w:sz w:val="20"/>
      <w:szCs w:val="20"/>
      <w:u w:val="none"/>
    </w:rPr>
  </w:style>
  <w:style w:type="character" w:customStyle="1" w:styleId="36">
    <w:name w:val="font41"/>
    <w:qFormat/>
    <w:uiPriority w:val="0"/>
    <w:rPr>
      <w:rFonts w:hint="default" w:ascii="Times New Roman" w:hAnsi="Times New Roman" w:cs="Times New Roman"/>
      <w:color w:val="000000"/>
      <w:sz w:val="22"/>
      <w:szCs w:val="22"/>
      <w:u w:val="none"/>
    </w:rPr>
  </w:style>
  <w:style w:type="character" w:customStyle="1" w:styleId="37">
    <w:name w:val="font21"/>
    <w:basedOn w:val="21"/>
    <w:qFormat/>
    <w:uiPriority w:val="0"/>
    <w:rPr>
      <w:rFonts w:hint="default" w:ascii="Times New Roman" w:hAnsi="Times New Roman" w:cs="Times New Roman"/>
      <w:color w:val="000000"/>
      <w:sz w:val="22"/>
      <w:szCs w:val="22"/>
      <w:u w:val="none"/>
      <w:vertAlign w:val="superscript"/>
    </w:rPr>
  </w:style>
  <w:style w:type="character" w:customStyle="1" w:styleId="38">
    <w:name w:val="font111"/>
    <w:basedOn w:val="21"/>
    <w:qFormat/>
    <w:uiPriority w:val="0"/>
    <w:rPr>
      <w:rFonts w:hint="default" w:ascii="Times New Roman" w:hAnsi="Times New Roman" w:cs="Times New Roman"/>
      <w:color w:val="000000"/>
      <w:sz w:val="22"/>
      <w:szCs w:val="22"/>
      <w:u w:val="none"/>
      <w:vertAlign w:val="subscript"/>
    </w:rPr>
  </w:style>
  <w:style w:type="character" w:customStyle="1" w:styleId="39">
    <w:name w:val="font101"/>
    <w:qFormat/>
    <w:uiPriority w:val="0"/>
    <w:rPr>
      <w:rFonts w:hint="default" w:ascii="Cambria" w:hAnsi="Cambria" w:eastAsia="Cambria" w:cs="Cambria"/>
      <w:color w:val="000000"/>
      <w:sz w:val="20"/>
      <w:szCs w:val="20"/>
      <w:u w:val="none"/>
      <w:vertAlign w:val="superscript"/>
    </w:rPr>
  </w:style>
  <w:style w:type="paragraph" w:styleId="40">
    <w:name w:val="List Paragraph"/>
    <w:basedOn w:val="1"/>
    <w:qFormat/>
    <w:uiPriority w:val="1"/>
    <w:pPr>
      <w:ind w:left="222" w:firstLine="561"/>
    </w:pPr>
    <w:rPr>
      <w:rFonts w:ascii="宋体" w:hAnsi="宋体" w:eastAsia="宋体" w:cs="宋体"/>
      <w:lang w:val="zh-CN" w:eastAsia="zh-CN" w:bidi="zh-CN"/>
    </w:rPr>
  </w:style>
  <w:style w:type="character" w:customStyle="1" w:styleId="41">
    <w:name w:val=" Char Char12"/>
    <w:basedOn w:val="21"/>
    <w:link w:val="4"/>
    <w:qFormat/>
    <w:uiPriority w:val="9"/>
    <w:rPr>
      <w:rFonts w:ascii="Cambria" w:hAnsi="Cambria" w:eastAsiaTheme="minorEastAsia"/>
      <w:b/>
      <w:bCs/>
      <w:sz w:val="28"/>
      <w:szCs w:val="32"/>
    </w:rPr>
  </w:style>
  <w:style w:type="paragraph" w:customStyle="1" w:styleId="4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43">
    <w:name w:val="Table Text"/>
    <w:basedOn w:val="1"/>
    <w:semiHidden/>
    <w:qFormat/>
    <w:uiPriority w:val="0"/>
    <w:rPr>
      <w:rFonts w:ascii="宋体" w:hAnsi="宋体" w:eastAsia="宋体" w:cs="宋体"/>
      <w:sz w:val="21"/>
      <w:szCs w:val="21"/>
      <w:lang w:val="en-US" w:eastAsia="en-US" w:bidi="ar-SA"/>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正文文本 2 Char"/>
    <w:link w:val="8"/>
    <w:qFormat/>
    <w:uiPriority w:val="99"/>
    <w:rPr>
      <w:rFonts w:ascii="Calibri" w:hAnsi="Calibri" w:eastAsia="楷体_GB2312" w:cs="Times New Roman"/>
      <w:kern w:val="2"/>
      <w:sz w:val="32"/>
      <w:szCs w:val="24"/>
      <w:lang w:val="en-US" w:eastAsia="zh-CN" w:bidi="ar-SA"/>
    </w:rPr>
  </w:style>
  <w:style w:type="character" w:customStyle="1" w:styleId="46">
    <w:name w:val="正文首行缩进 2 Char"/>
    <w:link w:val="18"/>
    <w:qFormat/>
    <w:uiPriority w:val="0"/>
  </w:style>
  <w:style w:type="character" w:customStyle="1" w:styleId="47">
    <w:name w:val="标题 1 Char"/>
    <w:link w:val="3"/>
    <w:qFormat/>
    <w:uiPriority w:val="0"/>
    <w:rPr>
      <w:rFonts w:ascii="宋体" w:hAnsi="宋体" w:eastAsia="宋体" w:cs="宋体"/>
      <w:b/>
      <w:bCs/>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png"/><Relationship Id="rId52" Type="http://schemas.openxmlformats.org/officeDocument/2006/relationships/image" Target="media/image43.jpeg"/><Relationship Id="rId51" Type="http://schemas.openxmlformats.org/officeDocument/2006/relationships/image" Target="media/image42.png"/><Relationship Id="rId50" Type="http://schemas.openxmlformats.org/officeDocument/2006/relationships/image" Target="media/image41.jpeg"/><Relationship Id="rId5" Type="http://schemas.openxmlformats.org/officeDocument/2006/relationships/header" Target="head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2023-10-28T10:22:00Z</dcterms:created>
  <dc:creator>宁静致远</dc:creator>
  <cp:lastModifiedBy>西瓜</cp:lastModifiedBy>
  <dcterms:modified xsi:type="dcterms:W3CDTF">2023-10-30T08:56:52Z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6384CDBF31FB42C2A4A0130B0BE655A9_11</vt:lpwstr>
  </property>
</Properties>
</file>