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widowControl/>
        <w:ind w:firstLine="1960" w:firstLineChars="700"/>
        <w:jc w:val="left"/>
        <w:rPr>
          <w:rFonts w:hint="eastAsia" w:ascii="宋体" w:hAnsi="宋体" w:eastAsia="宋体" w:cs="宋体"/>
          <w:color w:val="auto"/>
          <w:kern w:val="0"/>
          <w:sz w:val="28"/>
          <w:szCs w:val="28"/>
          <w:highlight w:val="none"/>
          <w:lang w:bidi="ar"/>
        </w:rPr>
      </w:pPr>
    </w:p>
    <w:p>
      <w:pPr>
        <w:pStyle w:val="7"/>
        <w:outlineLvl w:val="9"/>
        <w:rPr>
          <w:rFonts w:hint="eastAsia" w:ascii="宋体" w:hAnsi="宋体" w:eastAsia="宋体" w:cs="宋体"/>
          <w:color w:val="auto"/>
          <w:highlight w:val="none"/>
        </w:rPr>
      </w:pPr>
    </w:p>
    <w:p>
      <w:pPr>
        <w:outlineLvl w:val="9"/>
        <w:rPr>
          <w:rFonts w:hint="eastAsia" w:ascii="宋体" w:hAnsi="宋体" w:eastAsia="宋体" w:cs="宋体"/>
          <w:color w:val="auto"/>
          <w:highlight w:val="none"/>
        </w:rPr>
      </w:pPr>
    </w:p>
    <w:p>
      <w:pPr>
        <w:outlineLvl w:val="9"/>
        <w:rPr>
          <w:rFonts w:hint="eastAsia" w:ascii="宋体" w:hAnsi="宋体" w:eastAsia="宋体" w:cs="宋体"/>
          <w:highlight w:val="none"/>
        </w:rPr>
      </w:pPr>
    </w:p>
    <w:p>
      <w:pPr>
        <w:widowControl/>
        <w:jc w:val="center"/>
        <w:outlineLvl w:val="9"/>
        <w:rPr>
          <w:rFonts w:hint="eastAsia" w:ascii="宋体" w:hAnsi="宋体" w:eastAsia="宋体" w:cs="宋体"/>
          <w:b/>
          <w:bCs/>
          <w:color w:val="auto"/>
          <w:kern w:val="0"/>
          <w:sz w:val="44"/>
          <w:szCs w:val="44"/>
          <w:highlight w:val="none"/>
          <w:lang w:bidi="ar"/>
        </w:rPr>
      </w:pPr>
    </w:p>
    <w:p>
      <w:pPr>
        <w:keepNext w:val="0"/>
        <w:keepLines w:val="0"/>
        <w:pageBreakBefore w:val="0"/>
        <w:widowControl/>
        <w:kinsoku/>
        <w:wordWrap/>
        <w:overflowPunct/>
        <w:topLinePunct w:val="0"/>
        <w:autoSpaceDE/>
        <w:autoSpaceDN/>
        <w:bidi w:val="0"/>
        <w:adjustRightInd/>
        <w:snapToGrid/>
        <w:spacing w:line="360" w:lineRule="auto"/>
        <w:jc w:val="center"/>
        <w:textAlignment w:val="auto"/>
        <w:outlineLvl w:val="9"/>
        <w:rPr>
          <w:rFonts w:hint="eastAsia" w:ascii="华文中宋" w:hAnsi="华文中宋" w:eastAsia="华文中宋" w:cs="华文中宋"/>
          <w:b/>
          <w:bCs/>
          <w:color w:val="auto"/>
          <w:kern w:val="0"/>
          <w:sz w:val="56"/>
          <w:szCs w:val="56"/>
          <w:highlight w:val="none"/>
          <w:lang w:eastAsia="zh-CN" w:bidi="ar"/>
        </w:rPr>
      </w:pPr>
      <w:r>
        <w:rPr>
          <w:rFonts w:hint="eastAsia" w:ascii="华文中宋" w:hAnsi="华文中宋" w:eastAsia="华文中宋" w:cs="华文中宋"/>
          <w:b/>
          <w:bCs/>
          <w:color w:val="auto"/>
          <w:kern w:val="0"/>
          <w:sz w:val="56"/>
          <w:szCs w:val="56"/>
          <w:highlight w:val="none"/>
          <w:lang w:eastAsia="zh-CN" w:bidi="ar"/>
        </w:rPr>
        <w:t>三门峡新鑫源科技有限公司</w:t>
      </w:r>
    </w:p>
    <w:p>
      <w:pPr>
        <w:keepNext w:val="0"/>
        <w:keepLines w:val="0"/>
        <w:pageBreakBefore w:val="0"/>
        <w:widowControl/>
        <w:kinsoku/>
        <w:wordWrap/>
        <w:overflowPunct/>
        <w:topLinePunct w:val="0"/>
        <w:autoSpaceDE/>
        <w:autoSpaceDN/>
        <w:bidi w:val="0"/>
        <w:adjustRightInd/>
        <w:snapToGrid/>
        <w:spacing w:line="360" w:lineRule="auto"/>
        <w:jc w:val="center"/>
        <w:textAlignment w:val="auto"/>
        <w:outlineLvl w:val="9"/>
        <w:rPr>
          <w:rFonts w:hint="eastAsia" w:ascii="宋体" w:hAnsi="宋体" w:eastAsia="宋体" w:cs="宋体"/>
          <w:b/>
          <w:bCs/>
          <w:color w:val="auto"/>
          <w:sz w:val="56"/>
          <w:szCs w:val="56"/>
          <w:highlight w:val="none"/>
        </w:rPr>
      </w:pPr>
      <w:bookmarkStart w:id="0" w:name="_Toc31105"/>
      <w:bookmarkStart w:id="1" w:name="_Toc2657"/>
      <w:bookmarkStart w:id="2" w:name="_Toc30336"/>
      <w:r>
        <w:rPr>
          <w:rFonts w:hint="eastAsia" w:ascii="华文中宋" w:hAnsi="华文中宋" w:eastAsia="华文中宋" w:cs="华文中宋"/>
          <w:b/>
          <w:color w:val="auto"/>
          <w:kern w:val="0"/>
          <w:sz w:val="56"/>
          <w:szCs w:val="56"/>
          <w:highlight w:val="none"/>
        </w:rPr>
        <w:t>土壤</w:t>
      </w:r>
      <w:r>
        <w:rPr>
          <w:rFonts w:hint="eastAsia" w:ascii="华文中宋" w:hAnsi="华文中宋" w:eastAsia="华文中宋" w:cs="华文中宋"/>
          <w:b/>
          <w:color w:val="auto"/>
          <w:kern w:val="0"/>
          <w:sz w:val="56"/>
          <w:szCs w:val="56"/>
          <w:highlight w:val="none"/>
          <w:lang w:val="en-US" w:eastAsia="zh-CN"/>
        </w:rPr>
        <w:t>和地下水</w:t>
      </w:r>
      <w:r>
        <w:rPr>
          <w:rFonts w:hint="eastAsia" w:ascii="华文中宋" w:hAnsi="华文中宋" w:eastAsia="华文中宋" w:cs="华文中宋"/>
          <w:b/>
          <w:color w:val="auto"/>
          <w:kern w:val="0"/>
          <w:sz w:val="56"/>
          <w:szCs w:val="56"/>
          <w:highlight w:val="none"/>
        </w:rPr>
        <w:t>自行监测报告</w:t>
      </w:r>
      <w:bookmarkEnd w:id="0"/>
      <w:bookmarkEnd w:id="1"/>
      <w:bookmarkEnd w:id="2"/>
    </w:p>
    <w:p>
      <w:pPr>
        <w:jc w:val="center"/>
        <w:outlineLvl w:val="9"/>
        <w:rPr>
          <w:rFonts w:hint="eastAsia" w:ascii="宋体" w:hAnsi="宋体" w:eastAsia="宋体" w:cs="宋体"/>
          <w:b/>
          <w:bCs/>
          <w:color w:val="auto"/>
          <w:sz w:val="44"/>
          <w:szCs w:val="44"/>
          <w:highlight w:val="none"/>
        </w:rPr>
      </w:pPr>
    </w:p>
    <w:p>
      <w:pPr>
        <w:jc w:val="center"/>
        <w:outlineLvl w:val="9"/>
        <w:rPr>
          <w:rFonts w:hint="eastAsia" w:ascii="宋体" w:hAnsi="宋体" w:eastAsia="宋体" w:cs="宋体"/>
          <w:b/>
          <w:bCs/>
          <w:color w:val="auto"/>
          <w:sz w:val="44"/>
          <w:szCs w:val="44"/>
          <w:highlight w:val="none"/>
        </w:rPr>
      </w:pPr>
    </w:p>
    <w:p>
      <w:pPr>
        <w:jc w:val="center"/>
        <w:outlineLvl w:val="9"/>
        <w:rPr>
          <w:rFonts w:hint="eastAsia" w:ascii="宋体" w:hAnsi="宋体" w:eastAsia="宋体" w:cs="宋体"/>
          <w:b/>
          <w:bCs/>
          <w:color w:val="auto"/>
          <w:sz w:val="44"/>
          <w:szCs w:val="44"/>
          <w:highlight w:val="none"/>
        </w:rPr>
      </w:pPr>
    </w:p>
    <w:p>
      <w:pPr>
        <w:outlineLvl w:val="9"/>
        <w:rPr>
          <w:rFonts w:hint="eastAsia" w:ascii="宋体" w:hAnsi="宋体" w:eastAsia="宋体" w:cs="宋体"/>
          <w:highlight w:val="none"/>
        </w:rPr>
      </w:pPr>
    </w:p>
    <w:p>
      <w:pPr>
        <w:jc w:val="center"/>
        <w:outlineLvl w:val="9"/>
        <w:rPr>
          <w:rFonts w:hint="eastAsia" w:ascii="宋体" w:hAnsi="宋体" w:eastAsia="宋体" w:cs="宋体"/>
          <w:b/>
          <w:bCs/>
          <w:color w:val="auto"/>
          <w:sz w:val="44"/>
          <w:szCs w:val="44"/>
          <w:highlight w:val="none"/>
        </w:rPr>
      </w:pPr>
    </w:p>
    <w:p>
      <w:pPr>
        <w:jc w:val="center"/>
        <w:outlineLvl w:val="9"/>
        <w:rPr>
          <w:rFonts w:hint="eastAsia" w:ascii="宋体" w:hAnsi="宋体" w:eastAsia="宋体" w:cs="宋体"/>
          <w:b/>
          <w:bCs/>
          <w:color w:val="auto"/>
          <w:sz w:val="44"/>
          <w:szCs w:val="44"/>
          <w:highlight w:val="none"/>
        </w:rPr>
      </w:pPr>
    </w:p>
    <w:p>
      <w:pPr>
        <w:outlineLvl w:val="9"/>
        <w:rPr>
          <w:rFonts w:hint="eastAsia" w:ascii="宋体" w:hAnsi="宋体" w:eastAsia="宋体" w:cs="宋体"/>
          <w:color w:val="auto"/>
          <w:highlight w:val="none"/>
        </w:rPr>
      </w:pPr>
    </w:p>
    <w:p>
      <w:pPr>
        <w:outlineLvl w:val="9"/>
        <w:rPr>
          <w:rFonts w:hint="eastAsia" w:ascii="宋体" w:hAnsi="宋体" w:eastAsia="宋体" w:cs="宋体"/>
          <w:color w:val="auto"/>
          <w:highlight w:val="none"/>
        </w:rPr>
      </w:pPr>
    </w:p>
    <w:p>
      <w:pPr>
        <w:jc w:val="center"/>
        <w:outlineLvl w:val="9"/>
        <w:rPr>
          <w:rFonts w:hint="eastAsia" w:ascii="宋体" w:hAnsi="宋体" w:eastAsia="宋体" w:cs="宋体"/>
          <w:b/>
          <w:bCs/>
          <w:color w:val="auto"/>
          <w:sz w:val="44"/>
          <w:szCs w:val="44"/>
          <w:highlight w:val="none"/>
        </w:rPr>
      </w:pPr>
    </w:p>
    <w:p>
      <w:pPr>
        <w:pStyle w:val="5"/>
        <w:outlineLvl w:val="9"/>
        <w:rPr>
          <w:rFonts w:hint="eastAsia" w:ascii="宋体" w:hAnsi="宋体" w:eastAsia="宋体" w:cs="宋体"/>
          <w:b/>
          <w:bCs/>
          <w:color w:val="auto"/>
          <w:sz w:val="44"/>
          <w:szCs w:val="44"/>
          <w:highlight w:val="none"/>
        </w:rPr>
      </w:pPr>
    </w:p>
    <w:p>
      <w:pPr>
        <w:outlineLvl w:val="9"/>
        <w:rPr>
          <w:rFonts w:hint="eastAsia" w:ascii="宋体" w:hAnsi="宋体" w:eastAsia="宋体" w:cs="宋体"/>
        </w:rPr>
      </w:pPr>
    </w:p>
    <w:p>
      <w:pPr>
        <w:ind w:firstLine="964" w:firstLineChars="300"/>
        <w:outlineLvl w:val="9"/>
        <w:rPr>
          <w:rFonts w:hint="eastAsia" w:ascii="宋体" w:hAnsi="宋体" w:eastAsia="宋体" w:cs="宋体"/>
          <w:b/>
          <w:bCs/>
          <w:color w:val="auto"/>
          <w:sz w:val="32"/>
          <w:szCs w:val="32"/>
          <w:highlight w:val="none"/>
          <w:lang w:eastAsia="zh-CN"/>
        </w:rPr>
      </w:pPr>
    </w:p>
    <w:p>
      <w:pPr>
        <w:spacing w:line="360" w:lineRule="auto"/>
        <w:ind w:firstLine="964" w:firstLineChars="300"/>
        <w:outlineLvl w:val="9"/>
        <w:rPr>
          <w:rFonts w:hint="eastAsia" w:ascii="宋体" w:hAnsi="宋体" w:eastAsia="宋体" w:cs="宋体"/>
          <w:b/>
          <w:bCs/>
          <w:color w:val="auto"/>
          <w:sz w:val="32"/>
          <w:szCs w:val="32"/>
          <w:highlight w:val="none"/>
          <w:u w:val="single"/>
          <w:lang w:val="en-US" w:eastAsia="zh-CN"/>
        </w:rPr>
      </w:pPr>
      <w:r>
        <w:rPr>
          <w:rFonts w:hint="eastAsia" w:ascii="宋体" w:hAnsi="宋体" w:eastAsia="宋体" w:cs="宋体"/>
          <w:b/>
          <w:bCs/>
          <w:color w:val="auto"/>
          <w:sz w:val="32"/>
          <w:szCs w:val="32"/>
          <w:highlight w:val="none"/>
        </w:rPr>
        <w:t>呈报单位：</w:t>
      </w:r>
      <w:r>
        <w:rPr>
          <w:rFonts w:hint="eastAsia" w:ascii="宋体" w:hAnsi="宋体" w:eastAsia="宋体" w:cs="宋体"/>
          <w:b/>
          <w:bCs/>
          <w:color w:val="auto"/>
          <w:sz w:val="32"/>
          <w:szCs w:val="32"/>
          <w:highlight w:val="none"/>
          <w:u w:val="single"/>
          <w:lang w:val="en-US" w:eastAsia="zh-CN"/>
        </w:rPr>
        <w:t xml:space="preserve">  </w:t>
      </w:r>
      <w:r>
        <w:rPr>
          <w:rFonts w:hint="eastAsia" w:ascii="宋体" w:hAnsi="宋体" w:eastAsia="宋体" w:cs="宋体"/>
          <w:b/>
          <w:bCs/>
          <w:color w:val="auto"/>
          <w:sz w:val="32"/>
          <w:szCs w:val="32"/>
          <w:highlight w:val="none"/>
          <w:u w:val="single"/>
          <w:lang w:eastAsia="zh-CN"/>
        </w:rPr>
        <w:t>三门峡新鑫源科技有限公司</w:t>
      </w:r>
      <w:r>
        <w:rPr>
          <w:rFonts w:hint="eastAsia" w:ascii="宋体" w:hAnsi="宋体" w:eastAsia="宋体" w:cs="宋体"/>
          <w:b/>
          <w:bCs/>
          <w:color w:val="auto"/>
          <w:sz w:val="32"/>
          <w:szCs w:val="32"/>
          <w:highlight w:val="none"/>
          <w:u w:val="single"/>
          <w:lang w:val="en-US" w:eastAsia="zh-CN"/>
        </w:rPr>
        <w:t xml:space="preserve"> </w:t>
      </w:r>
    </w:p>
    <w:p>
      <w:pPr>
        <w:spacing w:line="360" w:lineRule="auto"/>
        <w:ind w:firstLine="964" w:firstLineChars="300"/>
        <w:outlineLvl w:val="9"/>
        <w:rPr>
          <w:rFonts w:hint="eastAsia" w:ascii="宋体" w:hAnsi="宋体" w:eastAsia="宋体" w:cs="宋体"/>
          <w:b/>
          <w:bCs/>
          <w:color w:val="auto"/>
          <w:sz w:val="32"/>
          <w:szCs w:val="32"/>
          <w:highlight w:val="none"/>
          <w:u w:val="single"/>
          <w:lang w:val="en-US" w:eastAsia="zh-CN"/>
        </w:rPr>
      </w:pPr>
      <w:bookmarkStart w:id="3" w:name="_Toc3483"/>
      <w:bookmarkStart w:id="4" w:name="_Toc19383"/>
      <w:bookmarkStart w:id="5" w:name="_Toc30912"/>
      <w:r>
        <w:rPr>
          <w:rFonts w:hint="eastAsia" w:ascii="宋体" w:hAnsi="宋体" w:eastAsia="宋体" w:cs="宋体"/>
          <w:b/>
          <w:bCs/>
          <w:color w:val="auto"/>
          <w:sz w:val="32"/>
          <w:szCs w:val="32"/>
          <w:highlight w:val="none"/>
        </w:rPr>
        <w:t>编制单位：</w:t>
      </w:r>
      <w:bookmarkEnd w:id="3"/>
      <w:bookmarkEnd w:id="4"/>
      <w:bookmarkEnd w:id="5"/>
      <w:r>
        <w:rPr>
          <w:rFonts w:hint="eastAsia" w:ascii="宋体" w:hAnsi="宋体" w:eastAsia="宋体" w:cs="宋体"/>
          <w:b/>
          <w:bCs/>
          <w:color w:val="auto"/>
          <w:sz w:val="32"/>
          <w:szCs w:val="32"/>
          <w:highlight w:val="none"/>
          <w:u w:val="single"/>
          <w:lang w:val="en-US" w:eastAsia="zh-CN"/>
        </w:rPr>
        <w:t xml:space="preserve">  </w:t>
      </w:r>
      <w:r>
        <w:rPr>
          <w:rFonts w:hint="eastAsia" w:ascii="宋体" w:hAnsi="宋体" w:eastAsia="宋体" w:cs="宋体"/>
          <w:b/>
          <w:bCs/>
          <w:color w:val="auto"/>
          <w:sz w:val="32"/>
          <w:szCs w:val="32"/>
          <w:highlight w:val="none"/>
          <w:u w:val="single"/>
          <w:lang w:eastAsia="zh-CN"/>
        </w:rPr>
        <w:t>三门峡新鑫源科技有限公司</w:t>
      </w:r>
      <w:r>
        <w:rPr>
          <w:rFonts w:hint="eastAsia" w:ascii="宋体" w:hAnsi="宋体" w:eastAsia="宋体" w:cs="宋体"/>
          <w:b/>
          <w:bCs/>
          <w:color w:val="auto"/>
          <w:sz w:val="32"/>
          <w:szCs w:val="32"/>
          <w:highlight w:val="none"/>
          <w:u w:val="single"/>
          <w:lang w:val="en-US" w:eastAsia="zh-CN"/>
        </w:rPr>
        <w:t xml:space="preserve"> </w:t>
      </w:r>
    </w:p>
    <w:p>
      <w:pPr>
        <w:spacing w:line="360" w:lineRule="auto"/>
        <w:ind w:firstLine="964" w:firstLineChars="300"/>
        <w:outlineLvl w:val="9"/>
        <w:rPr>
          <w:rFonts w:hint="eastAsia" w:ascii="宋体" w:hAnsi="宋体" w:eastAsia="宋体" w:cs="宋体"/>
          <w:b/>
          <w:bCs/>
          <w:color w:val="auto"/>
          <w:sz w:val="32"/>
          <w:szCs w:val="32"/>
          <w:highlight w:val="none"/>
          <w:u w:val="single"/>
          <w:lang w:val="en-US" w:eastAsia="zh-CN"/>
        </w:rPr>
      </w:pPr>
      <w:r>
        <w:rPr>
          <w:rFonts w:hint="eastAsia" w:ascii="宋体" w:hAnsi="宋体" w:eastAsia="宋体" w:cs="宋体"/>
          <w:b/>
          <w:bCs/>
          <w:color w:val="auto"/>
          <w:sz w:val="32"/>
          <w:szCs w:val="32"/>
          <w:highlight w:val="none"/>
        </w:rPr>
        <w:t>编制日期：</w:t>
      </w:r>
      <w:r>
        <w:rPr>
          <w:rFonts w:hint="eastAsia" w:ascii="宋体" w:hAnsi="宋体" w:eastAsia="宋体" w:cs="宋体"/>
          <w:b/>
          <w:bCs/>
          <w:color w:val="auto"/>
          <w:sz w:val="32"/>
          <w:szCs w:val="32"/>
          <w:highlight w:val="none"/>
          <w:u w:val="single"/>
          <w:lang w:val="en-US" w:eastAsia="zh-CN"/>
        </w:rPr>
        <w:t xml:space="preserve">       </w:t>
      </w:r>
      <w:r>
        <w:rPr>
          <w:rFonts w:hint="eastAsia" w:ascii="宋体" w:hAnsi="宋体" w:eastAsia="宋体" w:cs="宋体"/>
          <w:b/>
          <w:bCs/>
          <w:color w:val="auto"/>
          <w:sz w:val="32"/>
          <w:szCs w:val="32"/>
          <w:highlight w:val="none"/>
          <w:u w:val="single"/>
        </w:rPr>
        <w:t>二零二</w:t>
      </w:r>
      <w:r>
        <w:rPr>
          <w:rFonts w:hint="eastAsia" w:ascii="宋体" w:hAnsi="宋体" w:eastAsia="宋体" w:cs="宋体"/>
          <w:b/>
          <w:bCs/>
          <w:color w:val="auto"/>
          <w:sz w:val="32"/>
          <w:szCs w:val="32"/>
          <w:highlight w:val="none"/>
          <w:u w:val="single"/>
          <w:lang w:val="en-US" w:eastAsia="zh-CN"/>
        </w:rPr>
        <w:t>三</w:t>
      </w:r>
      <w:r>
        <w:rPr>
          <w:rFonts w:hint="eastAsia" w:ascii="宋体" w:hAnsi="宋体" w:eastAsia="宋体" w:cs="宋体"/>
          <w:b/>
          <w:bCs/>
          <w:color w:val="auto"/>
          <w:sz w:val="32"/>
          <w:szCs w:val="32"/>
          <w:highlight w:val="none"/>
          <w:u w:val="single"/>
        </w:rPr>
        <w:t>年</w:t>
      </w:r>
      <w:r>
        <w:rPr>
          <w:rFonts w:hint="eastAsia" w:ascii="宋体" w:hAnsi="宋体" w:eastAsia="宋体" w:cs="宋体"/>
          <w:b/>
          <w:bCs/>
          <w:color w:val="auto"/>
          <w:sz w:val="32"/>
          <w:szCs w:val="32"/>
          <w:highlight w:val="none"/>
          <w:u w:val="single"/>
          <w:lang w:val="en-US" w:eastAsia="zh-CN"/>
        </w:rPr>
        <w:t>八</w:t>
      </w:r>
      <w:r>
        <w:rPr>
          <w:rFonts w:hint="eastAsia" w:ascii="宋体" w:hAnsi="宋体" w:eastAsia="宋体" w:cs="宋体"/>
          <w:b/>
          <w:bCs/>
          <w:color w:val="auto"/>
          <w:sz w:val="32"/>
          <w:szCs w:val="32"/>
          <w:highlight w:val="none"/>
          <w:u w:val="single"/>
        </w:rPr>
        <w:t>月</w:t>
      </w:r>
      <w:r>
        <w:rPr>
          <w:rFonts w:hint="eastAsia" w:ascii="宋体" w:hAnsi="宋体" w:eastAsia="宋体" w:cs="宋体"/>
          <w:b/>
          <w:bCs/>
          <w:color w:val="auto"/>
          <w:sz w:val="32"/>
          <w:szCs w:val="32"/>
          <w:highlight w:val="none"/>
          <w:u w:val="single"/>
          <w:lang w:val="en-US" w:eastAsia="zh-CN"/>
        </w:rPr>
        <w:t xml:space="preserve">        </w:t>
      </w:r>
    </w:p>
    <w:p>
      <w:pPr>
        <w:ind w:firstLine="964" w:firstLineChars="300"/>
        <w:rPr>
          <w:rFonts w:hint="eastAsia" w:ascii="宋体" w:hAnsi="宋体" w:eastAsia="宋体" w:cs="宋体"/>
          <w:b/>
          <w:bCs/>
          <w:color w:val="auto"/>
          <w:sz w:val="32"/>
          <w:szCs w:val="32"/>
          <w:highlight w:val="none"/>
          <w:u w:val="single"/>
        </w:rPr>
      </w:pPr>
    </w:p>
    <w:p>
      <w:pPr>
        <w:rPr>
          <w:rFonts w:hint="eastAsia"/>
        </w:rPr>
        <w:sectPr>
          <w:headerReference r:id="rId3" w:type="default"/>
          <w:type w:val="continuous"/>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rPr>
        <w:br w:type="textWrapping"/>
      </w:r>
    </w:p>
    <w:sdt>
      <w:sdtPr>
        <w:rPr>
          <w:rFonts w:ascii="宋体" w:hAnsi="宋体" w:eastAsia="宋体" w:cs="Times New Roman"/>
          <w:kern w:val="2"/>
          <w:sz w:val="21"/>
          <w:szCs w:val="24"/>
          <w:lang w:val="en-US" w:eastAsia="zh-CN" w:bidi="ar-SA"/>
        </w:rPr>
        <w:id w:val="147451507"/>
        <w15:color w:val="DBDBDB"/>
        <w:docPartObj>
          <w:docPartGallery w:val="Table of Contents"/>
          <w:docPartUnique/>
        </w:docPartObj>
      </w:sdtPr>
      <w:sdtEndPr>
        <w:rPr>
          <w:rFonts w:ascii="宋体" w:hAnsi="宋体" w:eastAsia="宋体" w:cs="Times New Roman"/>
          <w:b/>
          <w:kern w:val="2"/>
          <w:sz w:val="21"/>
          <w:szCs w:val="24"/>
          <w:lang w:val="en-US" w:eastAsia="zh-CN" w:bidi="ar-SA"/>
        </w:rPr>
      </w:sdtEndPr>
      <w:sdtContent>
        <w:p>
          <w:pPr>
            <w:spacing w:before="0" w:beforeLines="0" w:after="0" w:afterLines="0" w:line="240" w:lineRule="auto"/>
            <w:ind w:left="0" w:leftChars="0" w:right="0" w:rightChars="0" w:firstLine="0" w:firstLineChars="0"/>
            <w:jc w:val="center"/>
          </w:pPr>
          <w:r>
            <w:rPr>
              <w:rFonts w:ascii="宋体" w:hAnsi="宋体" w:eastAsia="宋体"/>
              <w:sz w:val="21"/>
            </w:rPr>
            <w:t>目录</w:t>
          </w:r>
        </w:p>
        <w:p>
          <w:pPr>
            <w:pStyle w:val="17"/>
            <w:tabs>
              <w:tab w:val="right" w:leader="dot" w:pos="8306"/>
            </w:tabs>
          </w:pPr>
          <w:r>
            <w:fldChar w:fldCharType="begin"/>
          </w:r>
          <w:r>
            <w:instrText xml:space="preserve">TOC \o "1-2" \h \u </w:instrText>
          </w:r>
          <w:r>
            <w:fldChar w:fldCharType="separate"/>
          </w:r>
          <w:r>
            <w:fldChar w:fldCharType="begin"/>
          </w:r>
          <w:r>
            <w:instrText xml:space="preserve"> HYPERLINK \l _Toc28203 </w:instrText>
          </w:r>
          <w:r>
            <w:fldChar w:fldCharType="separate"/>
          </w:r>
          <w:r>
            <w:rPr>
              <w:rFonts w:hint="eastAsia" w:ascii="宋体" w:hAnsi="宋体" w:eastAsia="宋体" w:cs="宋体"/>
              <w:bCs/>
              <w:kern w:val="2"/>
              <w:szCs w:val="32"/>
              <w:highlight w:val="none"/>
              <w:lang w:val="en-US" w:eastAsia="zh-CN" w:bidi="zh-CN"/>
            </w:rPr>
            <w:t>1.工作背景</w:t>
          </w:r>
          <w:r>
            <w:tab/>
          </w:r>
          <w:r>
            <w:fldChar w:fldCharType="begin"/>
          </w:r>
          <w:r>
            <w:instrText xml:space="preserve"> PAGEREF _Toc28203 \h </w:instrText>
          </w:r>
          <w:r>
            <w:fldChar w:fldCharType="separate"/>
          </w:r>
          <w:r>
            <w:t>1</w:t>
          </w:r>
          <w:r>
            <w:fldChar w:fldCharType="end"/>
          </w:r>
          <w:r>
            <w:fldChar w:fldCharType="end"/>
          </w:r>
        </w:p>
        <w:p>
          <w:pPr>
            <w:pStyle w:val="18"/>
            <w:tabs>
              <w:tab w:val="right" w:leader="dot" w:pos="8306"/>
            </w:tabs>
          </w:pPr>
          <w:r>
            <w:fldChar w:fldCharType="begin"/>
          </w:r>
          <w:r>
            <w:instrText xml:space="preserve"> HYPERLINK \l _Toc789 </w:instrText>
          </w:r>
          <w:r>
            <w:fldChar w:fldCharType="separate"/>
          </w:r>
          <w:r>
            <w:rPr>
              <w:rFonts w:hint="eastAsia" w:ascii="宋体" w:hAnsi="宋体" w:eastAsia="宋体" w:cs="宋体"/>
              <w:highlight w:val="none"/>
            </w:rPr>
            <w:t>1.1编制背景</w:t>
          </w:r>
          <w:r>
            <w:tab/>
          </w:r>
          <w:r>
            <w:fldChar w:fldCharType="begin"/>
          </w:r>
          <w:r>
            <w:instrText xml:space="preserve"> PAGEREF _Toc789 \h </w:instrText>
          </w:r>
          <w:r>
            <w:fldChar w:fldCharType="separate"/>
          </w:r>
          <w:r>
            <w:t>1</w:t>
          </w:r>
          <w:r>
            <w:fldChar w:fldCharType="end"/>
          </w:r>
          <w:r>
            <w:fldChar w:fldCharType="end"/>
          </w:r>
        </w:p>
        <w:p>
          <w:pPr>
            <w:pStyle w:val="18"/>
            <w:tabs>
              <w:tab w:val="right" w:leader="dot" w:pos="8306"/>
            </w:tabs>
          </w:pPr>
          <w:r>
            <w:fldChar w:fldCharType="begin"/>
          </w:r>
          <w:r>
            <w:instrText xml:space="preserve"> HYPERLINK \l _Toc7866 </w:instrText>
          </w:r>
          <w:r>
            <w:fldChar w:fldCharType="separate"/>
          </w:r>
          <w:r>
            <w:rPr>
              <w:rFonts w:hint="eastAsia" w:ascii="宋体" w:hAnsi="宋体" w:eastAsia="宋体" w:cs="宋体"/>
              <w:highlight w:val="none"/>
            </w:rPr>
            <w:t>1.2</w:t>
          </w:r>
          <w:r>
            <w:rPr>
              <w:rFonts w:hint="eastAsia" w:ascii="宋体" w:hAnsi="宋体" w:eastAsia="宋体" w:cs="宋体"/>
              <w:highlight w:val="none"/>
              <w:lang w:eastAsia="zh-CN"/>
            </w:rPr>
            <w:t>工作</w:t>
          </w:r>
          <w:r>
            <w:rPr>
              <w:rFonts w:hint="eastAsia" w:ascii="宋体" w:hAnsi="宋体" w:eastAsia="宋体" w:cs="宋体"/>
              <w:highlight w:val="none"/>
            </w:rPr>
            <w:t>依据</w:t>
          </w:r>
          <w:r>
            <w:tab/>
          </w:r>
          <w:r>
            <w:fldChar w:fldCharType="begin"/>
          </w:r>
          <w:r>
            <w:instrText xml:space="preserve"> PAGEREF _Toc7866 \h </w:instrText>
          </w:r>
          <w:r>
            <w:fldChar w:fldCharType="separate"/>
          </w:r>
          <w:r>
            <w:t>4</w:t>
          </w:r>
          <w:r>
            <w:fldChar w:fldCharType="end"/>
          </w:r>
          <w:r>
            <w:fldChar w:fldCharType="end"/>
          </w:r>
        </w:p>
        <w:p>
          <w:pPr>
            <w:pStyle w:val="18"/>
            <w:tabs>
              <w:tab w:val="right" w:leader="dot" w:pos="8306"/>
            </w:tabs>
          </w:pPr>
          <w:r>
            <w:fldChar w:fldCharType="begin"/>
          </w:r>
          <w:r>
            <w:instrText xml:space="preserve"> HYPERLINK \l _Toc8212 </w:instrText>
          </w:r>
          <w:r>
            <w:fldChar w:fldCharType="separate"/>
          </w:r>
          <w:r>
            <w:rPr>
              <w:rFonts w:hint="eastAsia" w:ascii="宋体" w:hAnsi="宋体" w:eastAsia="宋体" w:cs="宋体"/>
              <w:highlight w:val="none"/>
              <w:lang w:val="en-US" w:eastAsia="zh-CN"/>
            </w:rPr>
            <w:t>1.3工作内容及技术路线</w:t>
          </w:r>
          <w:r>
            <w:tab/>
          </w:r>
          <w:r>
            <w:fldChar w:fldCharType="begin"/>
          </w:r>
          <w:r>
            <w:instrText xml:space="preserve"> PAGEREF _Toc8212 \h </w:instrText>
          </w:r>
          <w:r>
            <w:fldChar w:fldCharType="separate"/>
          </w:r>
          <w:r>
            <w:t>7</w:t>
          </w:r>
          <w:r>
            <w:fldChar w:fldCharType="end"/>
          </w:r>
          <w:r>
            <w:fldChar w:fldCharType="end"/>
          </w:r>
        </w:p>
        <w:p>
          <w:pPr>
            <w:pStyle w:val="17"/>
            <w:tabs>
              <w:tab w:val="right" w:leader="dot" w:pos="8306"/>
            </w:tabs>
          </w:pPr>
          <w:r>
            <w:fldChar w:fldCharType="begin"/>
          </w:r>
          <w:r>
            <w:instrText xml:space="preserve"> HYPERLINK \l _Toc13529 </w:instrText>
          </w:r>
          <w:r>
            <w:fldChar w:fldCharType="separate"/>
          </w:r>
          <w:r>
            <w:rPr>
              <w:rFonts w:hint="eastAsia" w:ascii="宋体" w:hAnsi="宋体" w:eastAsia="宋体" w:cs="宋体"/>
              <w:highlight w:val="none"/>
              <w:lang w:val="en-US" w:eastAsia="zh-CN"/>
            </w:rPr>
            <w:t>2.企业概况</w:t>
          </w:r>
          <w:r>
            <w:tab/>
          </w:r>
          <w:r>
            <w:fldChar w:fldCharType="begin"/>
          </w:r>
          <w:r>
            <w:instrText xml:space="preserve"> PAGEREF _Toc13529 \h </w:instrText>
          </w:r>
          <w:r>
            <w:fldChar w:fldCharType="separate"/>
          </w:r>
          <w:r>
            <w:t>9</w:t>
          </w:r>
          <w:r>
            <w:fldChar w:fldCharType="end"/>
          </w:r>
          <w:r>
            <w:fldChar w:fldCharType="end"/>
          </w:r>
        </w:p>
        <w:p>
          <w:pPr>
            <w:pStyle w:val="18"/>
            <w:tabs>
              <w:tab w:val="right" w:leader="dot" w:pos="8306"/>
            </w:tabs>
          </w:pPr>
          <w:r>
            <w:fldChar w:fldCharType="begin"/>
          </w:r>
          <w:r>
            <w:instrText xml:space="preserve"> HYPERLINK \l _Toc11007 </w:instrText>
          </w:r>
          <w:r>
            <w:fldChar w:fldCharType="separate"/>
          </w:r>
          <w:r>
            <w:rPr>
              <w:rFonts w:hint="eastAsia" w:ascii="宋体" w:hAnsi="宋体" w:eastAsia="宋体" w:cs="宋体"/>
              <w:highlight w:val="none"/>
              <w:lang w:val="en-US" w:eastAsia="zh-CN"/>
            </w:rPr>
            <w:t>2.1企业基本情况</w:t>
          </w:r>
          <w:r>
            <w:tab/>
          </w:r>
          <w:r>
            <w:fldChar w:fldCharType="begin"/>
          </w:r>
          <w:r>
            <w:instrText xml:space="preserve"> PAGEREF _Toc11007 \h </w:instrText>
          </w:r>
          <w:r>
            <w:fldChar w:fldCharType="separate"/>
          </w:r>
          <w:r>
            <w:t>9</w:t>
          </w:r>
          <w:r>
            <w:fldChar w:fldCharType="end"/>
          </w:r>
          <w:r>
            <w:fldChar w:fldCharType="end"/>
          </w:r>
        </w:p>
        <w:p>
          <w:pPr>
            <w:pStyle w:val="18"/>
            <w:tabs>
              <w:tab w:val="right" w:leader="dot" w:pos="8306"/>
            </w:tabs>
          </w:pPr>
          <w:r>
            <w:fldChar w:fldCharType="begin"/>
          </w:r>
          <w:r>
            <w:instrText xml:space="preserve"> HYPERLINK \l _Toc28248 </w:instrText>
          </w:r>
          <w:r>
            <w:fldChar w:fldCharType="separate"/>
          </w:r>
          <w:r>
            <w:rPr>
              <w:rFonts w:hint="eastAsia" w:ascii="宋体" w:hAnsi="宋体" w:eastAsia="宋体" w:cs="宋体"/>
              <w:highlight w:val="none"/>
              <w:lang w:val="en-US" w:eastAsia="zh-CN"/>
            </w:rPr>
            <w:t>2.2企业用地历史沿革</w:t>
          </w:r>
          <w:r>
            <w:tab/>
          </w:r>
          <w:r>
            <w:fldChar w:fldCharType="begin"/>
          </w:r>
          <w:r>
            <w:instrText xml:space="preserve"> PAGEREF _Toc28248 \h </w:instrText>
          </w:r>
          <w:r>
            <w:fldChar w:fldCharType="separate"/>
          </w:r>
          <w:r>
            <w:t>11</w:t>
          </w:r>
          <w:r>
            <w:fldChar w:fldCharType="end"/>
          </w:r>
          <w:r>
            <w:fldChar w:fldCharType="end"/>
          </w:r>
        </w:p>
        <w:p>
          <w:pPr>
            <w:pStyle w:val="18"/>
            <w:tabs>
              <w:tab w:val="right" w:leader="dot" w:pos="8306"/>
            </w:tabs>
          </w:pPr>
          <w:r>
            <w:fldChar w:fldCharType="begin"/>
          </w:r>
          <w:r>
            <w:instrText xml:space="preserve"> HYPERLINK \l _Toc10588 </w:instrText>
          </w:r>
          <w:r>
            <w:fldChar w:fldCharType="separate"/>
          </w:r>
          <w:r>
            <w:rPr>
              <w:rFonts w:hint="eastAsia" w:ascii="宋体" w:hAnsi="宋体" w:eastAsia="宋体" w:cs="宋体"/>
              <w:bCs/>
              <w:kern w:val="2"/>
              <w:szCs w:val="32"/>
              <w:highlight w:val="none"/>
              <w:lang w:val="en-US" w:eastAsia="zh-CN" w:bidi="ar-SA"/>
            </w:rPr>
            <w:t>2.3企业用地已有的环境调查与监测信息</w:t>
          </w:r>
          <w:r>
            <w:tab/>
          </w:r>
          <w:r>
            <w:fldChar w:fldCharType="begin"/>
          </w:r>
          <w:r>
            <w:instrText xml:space="preserve"> PAGEREF _Toc10588 \h </w:instrText>
          </w:r>
          <w:r>
            <w:fldChar w:fldCharType="separate"/>
          </w:r>
          <w:r>
            <w:t>13</w:t>
          </w:r>
          <w:r>
            <w:fldChar w:fldCharType="end"/>
          </w:r>
          <w:r>
            <w:fldChar w:fldCharType="end"/>
          </w:r>
        </w:p>
        <w:p>
          <w:pPr>
            <w:pStyle w:val="17"/>
            <w:tabs>
              <w:tab w:val="right" w:leader="dot" w:pos="8306"/>
            </w:tabs>
          </w:pPr>
          <w:r>
            <w:fldChar w:fldCharType="begin"/>
          </w:r>
          <w:r>
            <w:instrText xml:space="preserve"> HYPERLINK \l _Toc17875 </w:instrText>
          </w:r>
          <w:r>
            <w:fldChar w:fldCharType="separate"/>
          </w:r>
          <w:r>
            <w:rPr>
              <w:rFonts w:hint="eastAsia" w:ascii="宋体" w:hAnsi="宋体" w:eastAsia="宋体" w:cs="宋体"/>
              <w:lang w:val="en-US" w:eastAsia="zh-CN"/>
            </w:rPr>
            <w:t>3地勘资料</w:t>
          </w:r>
          <w:r>
            <w:tab/>
          </w:r>
          <w:r>
            <w:fldChar w:fldCharType="begin"/>
          </w:r>
          <w:r>
            <w:instrText xml:space="preserve"> PAGEREF _Toc17875 \h </w:instrText>
          </w:r>
          <w:r>
            <w:fldChar w:fldCharType="separate"/>
          </w:r>
          <w:r>
            <w:t>13</w:t>
          </w:r>
          <w:r>
            <w:fldChar w:fldCharType="end"/>
          </w:r>
          <w:r>
            <w:fldChar w:fldCharType="end"/>
          </w:r>
        </w:p>
        <w:p>
          <w:pPr>
            <w:pStyle w:val="18"/>
            <w:tabs>
              <w:tab w:val="right" w:leader="dot" w:pos="8306"/>
            </w:tabs>
          </w:pPr>
          <w:r>
            <w:fldChar w:fldCharType="begin"/>
          </w:r>
          <w:r>
            <w:instrText xml:space="preserve"> HYPERLINK \l _Toc12761 </w:instrText>
          </w:r>
          <w:r>
            <w:fldChar w:fldCharType="separate"/>
          </w:r>
          <w:r>
            <w:rPr>
              <w:rFonts w:hint="eastAsia" w:ascii="宋体" w:hAnsi="宋体" w:eastAsia="宋体" w:cs="宋体"/>
              <w:szCs w:val="28"/>
              <w:lang w:val="en-US" w:eastAsia="zh-CN"/>
            </w:rPr>
            <w:t>3.1地质信息</w:t>
          </w:r>
          <w:r>
            <w:tab/>
          </w:r>
          <w:r>
            <w:fldChar w:fldCharType="begin"/>
          </w:r>
          <w:r>
            <w:instrText xml:space="preserve"> PAGEREF _Toc12761 \h </w:instrText>
          </w:r>
          <w:r>
            <w:fldChar w:fldCharType="separate"/>
          </w:r>
          <w:r>
            <w:t>13</w:t>
          </w:r>
          <w:r>
            <w:fldChar w:fldCharType="end"/>
          </w:r>
          <w:r>
            <w:fldChar w:fldCharType="end"/>
          </w:r>
        </w:p>
        <w:p>
          <w:pPr>
            <w:pStyle w:val="18"/>
            <w:tabs>
              <w:tab w:val="right" w:leader="dot" w:pos="8306"/>
            </w:tabs>
          </w:pPr>
          <w:r>
            <w:fldChar w:fldCharType="begin"/>
          </w:r>
          <w:r>
            <w:instrText xml:space="preserve"> HYPERLINK \l _Toc27574 </w:instrText>
          </w:r>
          <w:r>
            <w:fldChar w:fldCharType="separate"/>
          </w:r>
          <w:r>
            <w:rPr>
              <w:rFonts w:hint="eastAsia" w:ascii="宋体" w:hAnsi="宋体" w:eastAsia="宋体" w:cs="宋体"/>
              <w:bCs/>
              <w:kern w:val="2"/>
              <w:szCs w:val="32"/>
              <w:highlight w:val="none"/>
              <w:lang w:val="en-US" w:eastAsia="zh-CN" w:bidi="ar-SA"/>
            </w:rPr>
            <w:t>3.2水文地质信息</w:t>
          </w:r>
          <w:r>
            <w:tab/>
          </w:r>
          <w:r>
            <w:fldChar w:fldCharType="begin"/>
          </w:r>
          <w:r>
            <w:instrText xml:space="preserve"> PAGEREF _Toc27574 \h </w:instrText>
          </w:r>
          <w:r>
            <w:fldChar w:fldCharType="separate"/>
          </w:r>
          <w:r>
            <w:t>15</w:t>
          </w:r>
          <w:r>
            <w:fldChar w:fldCharType="end"/>
          </w:r>
          <w:r>
            <w:fldChar w:fldCharType="end"/>
          </w:r>
        </w:p>
        <w:p>
          <w:pPr>
            <w:pStyle w:val="17"/>
            <w:tabs>
              <w:tab w:val="right" w:leader="dot" w:pos="8306"/>
            </w:tabs>
          </w:pPr>
          <w:r>
            <w:fldChar w:fldCharType="begin"/>
          </w:r>
          <w:r>
            <w:instrText xml:space="preserve"> HYPERLINK \l _Toc15808 </w:instrText>
          </w:r>
          <w:r>
            <w:fldChar w:fldCharType="separate"/>
          </w:r>
          <w:r>
            <w:rPr>
              <w:rFonts w:hint="eastAsia" w:ascii="宋体" w:hAnsi="宋体" w:eastAsia="宋体" w:cs="宋体"/>
              <w:lang w:val="en-US" w:eastAsia="zh-CN"/>
            </w:rPr>
            <w:t>4企业生产及污染防治情况</w:t>
          </w:r>
          <w:r>
            <w:tab/>
          </w:r>
          <w:r>
            <w:fldChar w:fldCharType="begin"/>
          </w:r>
          <w:r>
            <w:instrText xml:space="preserve"> PAGEREF _Toc15808 \h </w:instrText>
          </w:r>
          <w:r>
            <w:fldChar w:fldCharType="separate"/>
          </w:r>
          <w:r>
            <w:t>16</w:t>
          </w:r>
          <w:r>
            <w:fldChar w:fldCharType="end"/>
          </w:r>
          <w:r>
            <w:fldChar w:fldCharType="end"/>
          </w:r>
        </w:p>
        <w:p>
          <w:pPr>
            <w:pStyle w:val="18"/>
            <w:tabs>
              <w:tab w:val="right" w:leader="dot" w:pos="8306"/>
            </w:tabs>
          </w:pPr>
          <w:r>
            <w:fldChar w:fldCharType="begin"/>
          </w:r>
          <w:r>
            <w:instrText xml:space="preserve"> HYPERLINK \l _Toc7280 </w:instrText>
          </w:r>
          <w:r>
            <w:fldChar w:fldCharType="separate"/>
          </w:r>
          <w:r>
            <w:rPr>
              <w:rFonts w:hint="eastAsia" w:ascii="宋体" w:hAnsi="宋体" w:eastAsia="宋体" w:cs="宋体"/>
              <w:bCs/>
              <w:kern w:val="2"/>
              <w:szCs w:val="32"/>
              <w:lang w:val="en-US" w:eastAsia="zh-CN" w:bidi="ar-SA"/>
            </w:rPr>
            <w:t>4.1企业生产概况</w:t>
          </w:r>
          <w:r>
            <w:tab/>
          </w:r>
          <w:r>
            <w:fldChar w:fldCharType="begin"/>
          </w:r>
          <w:r>
            <w:instrText xml:space="preserve"> PAGEREF _Toc7280 \h </w:instrText>
          </w:r>
          <w:r>
            <w:fldChar w:fldCharType="separate"/>
          </w:r>
          <w:r>
            <w:t>16</w:t>
          </w:r>
          <w:r>
            <w:fldChar w:fldCharType="end"/>
          </w:r>
          <w:r>
            <w:fldChar w:fldCharType="end"/>
          </w:r>
        </w:p>
        <w:p>
          <w:pPr>
            <w:pStyle w:val="18"/>
            <w:tabs>
              <w:tab w:val="right" w:leader="dot" w:pos="8306"/>
            </w:tabs>
          </w:pPr>
          <w:r>
            <w:fldChar w:fldCharType="begin"/>
          </w:r>
          <w:r>
            <w:instrText xml:space="preserve"> HYPERLINK \l _Toc18154 </w:instrText>
          </w:r>
          <w:r>
            <w:fldChar w:fldCharType="separate"/>
          </w:r>
          <w:r>
            <w:rPr>
              <w:rFonts w:hint="eastAsia" w:ascii="宋体" w:hAnsi="宋体" w:eastAsia="宋体" w:cs="宋体"/>
              <w:bCs/>
              <w:kern w:val="2"/>
              <w:szCs w:val="32"/>
              <w:lang w:val="en-US" w:eastAsia="zh-CN" w:bidi="ar-SA"/>
            </w:rPr>
            <w:t>4.2企业生产工艺及产排污环节</w:t>
          </w:r>
          <w:r>
            <w:tab/>
          </w:r>
          <w:r>
            <w:fldChar w:fldCharType="begin"/>
          </w:r>
          <w:r>
            <w:instrText xml:space="preserve"> PAGEREF _Toc18154 \h </w:instrText>
          </w:r>
          <w:r>
            <w:fldChar w:fldCharType="separate"/>
          </w:r>
          <w:r>
            <w:t>24</w:t>
          </w:r>
          <w:r>
            <w:fldChar w:fldCharType="end"/>
          </w:r>
          <w:r>
            <w:fldChar w:fldCharType="end"/>
          </w:r>
        </w:p>
        <w:p>
          <w:pPr>
            <w:pStyle w:val="18"/>
            <w:tabs>
              <w:tab w:val="right" w:leader="dot" w:pos="8306"/>
            </w:tabs>
          </w:pPr>
          <w:r>
            <w:fldChar w:fldCharType="begin"/>
          </w:r>
          <w:r>
            <w:instrText xml:space="preserve"> HYPERLINK \l _Toc25868 </w:instrText>
          </w:r>
          <w:r>
            <w:fldChar w:fldCharType="separate"/>
          </w:r>
          <w:r>
            <w:rPr>
              <w:rFonts w:hint="eastAsia" w:ascii="宋体" w:hAnsi="宋体" w:eastAsia="宋体" w:cs="宋体"/>
              <w:spacing w:val="0"/>
              <w:szCs w:val="28"/>
              <w:highlight w:val="none"/>
              <w:lang w:val="en-US" w:eastAsia="zh-CN"/>
            </w:rPr>
            <w:t>4.3环境风险防控和应急措施</w:t>
          </w:r>
          <w:r>
            <w:tab/>
          </w:r>
          <w:r>
            <w:fldChar w:fldCharType="begin"/>
          </w:r>
          <w:r>
            <w:instrText xml:space="preserve"> PAGEREF _Toc25868 \h </w:instrText>
          </w:r>
          <w:r>
            <w:fldChar w:fldCharType="separate"/>
          </w:r>
          <w:r>
            <w:t>47</w:t>
          </w:r>
          <w:r>
            <w:fldChar w:fldCharType="end"/>
          </w:r>
          <w:r>
            <w:fldChar w:fldCharType="end"/>
          </w:r>
        </w:p>
        <w:p>
          <w:pPr>
            <w:pStyle w:val="18"/>
            <w:tabs>
              <w:tab w:val="right" w:leader="dot" w:pos="8306"/>
            </w:tabs>
          </w:pPr>
          <w:r>
            <w:fldChar w:fldCharType="begin"/>
          </w:r>
          <w:r>
            <w:instrText xml:space="preserve"> HYPERLINK \l _Toc7781 </w:instrText>
          </w:r>
          <w:r>
            <w:fldChar w:fldCharType="separate"/>
          </w:r>
          <w:r>
            <w:rPr>
              <w:rFonts w:hint="eastAsia" w:ascii="宋体" w:hAnsi="宋体" w:eastAsia="宋体" w:cs="宋体"/>
              <w:bCs/>
              <w:kern w:val="2"/>
              <w:szCs w:val="32"/>
              <w:lang w:val="en-US" w:eastAsia="zh-CN" w:bidi="ar-SA"/>
            </w:rPr>
            <w:t>4.4企业总平面布置</w:t>
          </w:r>
          <w:r>
            <w:tab/>
          </w:r>
          <w:r>
            <w:fldChar w:fldCharType="begin"/>
          </w:r>
          <w:r>
            <w:instrText xml:space="preserve"> PAGEREF _Toc7781 \h </w:instrText>
          </w:r>
          <w:r>
            <w:fldChar w:fldCharType="separate"/>
          </w:r>
          <w:r>
            <w:t>48</w:t>
          </w:r>
          <w:r>
            <w:fldChar w:fldCharType="end"/>
          </w:r>
          <w:r>
            <w:fldChar w:fldCharType="end"/>
          </w:r>
        </w:p>
        <w:p>
          <w:pPr>
            <w:pStyle w:val="18"/>
            <w:tabs>
              <w:tab w:val="right" w:leader="dot" w:pos="8306"/>
            </w:tabs>
          </w:pPr>
          <w:r>
            <w:fldChar w:fldCharType="begin"/>
          </w:r>
          <w:r>
            <w:instrText xml:space="preserve"> HYPERLINK \l _Toc12751 </w:instrText>
          </w:r>
          <w:r>
            <w:fldChar w:fldCharType="separate"/>
          </w:r>
          <w:r>
            <w:rPr>
              <w:rFonts w:hint="eastAsia" w:ascii="宋体" w:hAnsi="宋体" w:eastAsia="宋体" w:cs="宋体"/>
              <w:bCs/>
              <w:kern w:val="2"/>
              <w:szCs w:val="32"/>
              <w:lang w:val="en-US" w:eastAsia="zh-CN" w:bidi="ar-SA"/>
            </w:rPr>
            <w:t>4.5各重点场所、重点设施设备情况</w:t>
          </w:r>
          <w:r>
            <w:tab/>
          </w:r>
          <w:r>
            <w:fldChar w:fldCharType="begin"/>
          </w:r>
          <w:r>
            <w:instrText xml:space="preserve"> PAGEREF _Toc12751 \h </w:instrText>
          </w:r>
          <w:r>
            <w:fldChar w:fldCharType="separate"/>
          </w:r>
          <w:r>
            <w:t>48</w:t>
          </w:r>
          <w:r>
            <w:fldChar w:fldCharType="end"/>
          </w:r>
          <w:r>
            <w:fldChar w:fldCharType="end"/>
          </w:r>
        </w:p>
        <w:p>
          <w:pPr>
            <w:pStyle w:val="17"/>
            <w:tabs>
              <w:tab w:val="right" w:leader="dot" w:pos="8306"/>
            </w:tabs>
          </w:pPr>
          <w:r>
            <w:fldChar w:fldCharType="begin"/>
          </w:r>
          <w:r>
            <w:instrText xml:space="preserve"> HYPERLINK \l _Toc2343 </w:instrText>
          </w:r>
          <w:r>
            <w:fldChar w:fldCharType="separate"/>
          </w:r>
          <w:r>
            <w:rPr>
              <w:rFonts w:hint="eastAsia" w:ascii="宋体" w:hAnsi="宋体" w:eastAsia="宋体" w:cs="宋体"/>
              <w:bCs/>
              <w:kern w:val="2"/>
              <w:szCs w:val="32"/>
              <w:lang w:val="en-US" w:eastAsia="zh-CN" w:bidi="zh-CN"/>
            </w:rPr>
            <w:t>5重点监测单元识别与分类</w:t>
          </w:r>
          <w:r>
            <w:tab/>
          </w:r>
          <w:r>
            <w:fldChar w:fldCharType="begin"/>
          </w:r>
          <w:r>
            <w:instrText xml:space="preserve"> PAGEREF _Toc2343 \h </w:instrText>
          </w:r>
          <w:r>
            <w:fldChar w:fldCharType="separate"/>
          </w:r>
          <w:r>
            <w:t>51</w:t>
          </w:r>
          <w:r>
            <w:fldChar w:fldCharType="end"/>
          </w:r>
          <w:r>
            <w:fldChar w:fldCharType="end"/>
          </w:r>
        </w:p>
        <w:p>
          <w:pPr>
            <w:pStyle w:val="18"/>
            <w:tabs>
              <w:tab w:val="right" w:leader="dot" w:pos="8306"/>
            </w:tabs>
          </w:pPr>
          <w:r>
            <w:fldChar w:fldCharType="begin"/>
          </w:r>
          <w:r>
            <w:instrText xml:space="preserve"> HYPERLINK \l _Toc7819 </w:instrText>
          </w:r>
          <w:r>
            <w:fldChar w:fldCharType="separate"/>
          </w:r>
          <w:r>
            <w:rPr>
              <w:rFonts w:hint="eastAsia" w:ascii="宋体" w:hAnsi="宋体" w:eastAsia="宋体" w:cs="宋体"/>
              <w:bCs/>
              <w:kern w:val="2"/>
              <w:szCs w:val="32"/>
              <w:lang w:val="en-US" w:eastAsia="zh-CN" w:bidi="ar-SA"/>
            </w:rPr>
            <w:t>5.1重点监测单元识别</w:t>
          </w:r>
          <w:r>
            <w:tab/>
          </w:r>
          <w:r>
            <w:fldChar w:fldCharType="begin"/>
          </w:r>
          <w:r>
            <w:instrText xml:space="preserve"> PAGEREF _Toc7819 \h </w:instrText>
          </w:r>
          <w:r>
            <w:fldChar w:fldCharType="separate"/>
          </w:r>
          <w:r>
            <w:t>51</w:t>
          </w:r>
          <w:r>
            <w:fldChar w:fldCharType="end"/>
          </w:r>
          <w:r>
            <w:fldChar w:fldCharType="end"/>
          </w:r>
        </w:p>
        <w:p>
          <w:pPr>
            <w:pStyle w:val="18"/>
            <w:tabs>
              <w:tab w:val="right" w:leader="dot" w:pos="8306"/>
            </w:tabs>
          </w:pPr>
          <w:r>
            <w:fldChar w:fldCharType="begin"/>
          </w:r>
          <w:r>
            <w:instrText xml:space="preserve"> HYPERLINK \l _Toc23432 </w:instrText>
          </w:r>
          <w:r>
            <w:fldChar w:fldCharType="separate"/>
          </w:r>
          <w:r>
            <w:rPr>
              <w:rFonts w:hint="eastAsia" w:ascii="宋体" w:hAnsi="宋体" w:eastAsia="宋体" w:cs="宋体"/>
              <w:bCs/>
              <w:kern w:val="2"/>
              <w:szCs w:val="32"/>
              <w:lang w:val="en-US" w:eastAsia="zh-CN" w:bidi="ar-SA"/>
            </w:rPr>
            <w:t>5.2识别/分类结果及原因</w:t>
          </w:r>
          <w:r>
            <w:tab/>
          </w:r>
          <w:r>
            <w:fldChar w:fldCharType="begin"/>
          </w:r>
          <w:r>
            <w:instrText xml:space="preserve"> PAGEREF _Toc23432 \h </w:instrText>
          </w:r>
          <w:r>
            <w:fldChar w:fldCharType="separate"/>
          </w:r>
          <w:r>
            <w:t>53</w:t>
          </w:r>
          <w:r>
            <w:fldChar w:fldCharType="end"/>
          </w:r>
          <w:r>
            <w:fldChar w:fldCharType="end"/>
          </w:r>
        </w:p>
        <w:p>
          <w:pPr>
            <w:pStyle w:val="18"/>
            <w:tabs>
              <w:tab w:val="right" w:leader="dot" w:pos="8306"/>
            </w:tabs>
          </w:pPr>
          <w:r>
            <w:fldChar w:fldCharType="begin"/>
          </w:r>
          <w:r>
            <w:instrText xml:space="preserve"> HYPERLINK \l _Toc32455 </w:instrText>
          </w:r>
          <w:r>
            <w:fldChar w:fldCharType="separate"/>
          </w:r>
          <w:r>
            <w:rPr>
              <w:rFonts w:hint="eastAsia" w:ascii="宋体" w:hAnsi="宋体" w:eastAsia="宋体" w:cs="宋体"/>
              <w:bCs/>
              <w:kern w:val="2"/>
              <w:szCs w:val="32"/>
              <w:lang w:val="en-US" w:eastAsia="zh-CN" w:bidi="ar-SA"/>
            </w:rPr>
            <w:t>5.3关注污染物</w:t>
          </w:r>
          <w:r>
            <w:tab/>
          </w:r>
          <w:r>
            <w:fldChar w:fldCharType="begin"/>
          </w:r>
          <w:r>
            <w:instrText xml:space="preserve"> PAGEREF _Toc32455 \h </w:instrText>
          </w:r>
          <w:r>
            <w:fldChar w:fldCharType="separate"/>
          </w:r>
          <w:r>
            <w:t>55</w:t>
          </w:r>
          <w:r>
            <w:fldChar w:fldCharType="end"/>
          </w:r>
          <w:r>
            <w:fldChar w:fldCharType="end"/>
          </w:r>
        </w:p>
        <w:p>
          <w:pPr>
            <w:pStyle w:val="17"/>
            <w:tabs>
              <w:tab w:val="right" w:leader="dot" w:pos="8306"/>
            </w:tabs>
          </w:pPr>
          <w:r>
            <w:fldChar w:fldCharType="begin"/>
          </w:r>
          <w:r>
            <w:instrText xml:space="preserve"> HYPERLINK \l _Toc20822 </w:instrText>
          </w:r>
          <w:r>
            <w:fldChar w:fldCharType="separate"/>
          </w:r>
          <w:r>
            <w:rPr>
              <w:rFonts w:hint="eastAsia" w:ascii="宋体" w:hAnsi="宋体" w:eastAsia="宋体" w:cs="宋体"/>
              <w:lang w:val="en-US" w:eastAsia="zh-CN"/>
            </w:rPr>
            <w:t>6监测点位布设方案</w:t>
          </w:r>
          <w:r>
            <w:tab/>
          </w:r>
          <w:r>
            <w:fldChar w:fldCharType="begin"/>
          </w:r>
          <w:r>
            <w:instrText xml:space="preserve"> PAGEREF _Toc20822 \h </w:instrText>
          </w:r>
          <w:r>
            <w:fldChar w:fldCharType="separate"/>
          </w:r>
          <w:r>
            <w:t>56</w:t>
          </w:r>
          <w:r>
            <w:fldChar w:fldCharType="end"/>
          </w:r>
          <w:r>
            <w:fldChar w:fldCharType="end"/>
          </w:r>
        </w:p>
        <w:p>
          <w:pPr>
            <w:pStyle w:val="18"/>
            <w:tabs>
              <w:tab w:val="right" w:leader="dot" w:pos="8306"/>
            </w:tabs>
          </w:pPr>
          <w:r>
            <w:fldChar w:fldCharType="begin"/>
          </w:r>
          <w:r>
            <w:instrText xml:space="preserve"> HYPERLINK \l _Toc1008 </w:instrText>
          </w:r>
          <w:r>
            <w:fldChar w:fldCharType="separate"/>
          </w:r>
          <w:r>
            <w:rPr>
              <w:rFonts w:hint="eastAsia" w:ascii="宋体" w:hAnsi="宋体" w:eastAsia="宋体" w:cs="宋体"/>
              <w:bCs/>
              <w:kern w:val="2"/>
              <w:szCs w:val="32"/>
              <w:lang w:val="en-US" w:eastAsia="zh-CN" w:bidi="ar-SA"/>
            </w:rPr>
            <w:t>6.1重点单元及相应监测点/监测井的布设位置</w:t>
          </w:r>
          <w:r>
            <w:tab/>
          </w:r>
          <w:r>
            <w:fldChar w:fldCharType="begin"/>
          </w:r>
          <w:r>
            <w:instrText xml:space="preserve"> PAGEREF _Toc1008 \h </w:instrText>
          </w:r>
          <w:r>
            <w:fldChar w:fldCharType="separate"/>
          </w:r>
          <w:r>
            <w:t>56</w:t>
          </w:r>
          <w:r>
            <w:fldChar w:fldCharType="end"/>
          </w:r>
          <w:r>
            <w:fldChar w:fldCharType="end"/>
          </w:r>
        </w:p>
        <w:p>
          <w:pPr>
            <w:pStyle w:val="18"/>
            <w:tabs>
              <w:tab w:val="right" w:leader="dot" w:pos="8306"/>
            </w:tabs>
          </w:pPr>
          <w:r>
            <w:fldChar w:fldCharType="begin"/>
          </w:r>
          <w:r>
            <w:instrText xml:space="preserve"> HYPERLINK \l _Toc4033 </w:instrText>
          </w:r>
          <w:r>
            <w:fldChar w:fldCharType="separate"/>
          </w:r>
          <w:r>
            <w:rPr>
              <w:rFonts w:hint="eastAsia" w:ascii="宋体" w:hAnsi="宋体" w:eastAsia="宋体" w:cs="宋体"/>
              <w:bCs/>
              <w:kern w:val="2"/>
              <w:szCs w:val="32"/>
              <w:lang w:val="en-US" w:eastAsia="zh-CN" w:bidi="ar-SA"/>
            </w:rPr>
            <w:t>6.2监测点位布设</w:t>
          </w:r>
          <w:r>
            <w:tab/>
          </w:r>
          <w:r>
            <w:fldChar w:fldCharType="begin"/>
          </w:r>
          <w:r>
            <w:instrText xml:space="preserve"> PAGEREF _Toc4033 \h </w:instrText>
          </w:r>
          <w:r>
            <w:fldChar w:fldCharType="separate"/>
          </w:r>
          <w:r>
            <w:t>58</w:t>
          </w:r>
          <w:r>
            <w:fldChar w:fldCharType="end"/>
          </w:r>
          <w:r>
            <w:fldChar w:fldCharType="end"/>
          </w:r>
        </w:p>
        <w:p>
          <w:pPr>
            <w:pStyle w:val="18"/>
            <w:tabs>
              <w:tab w:val="right" w:leader="dot" w:pos="8306"/>
            </w:tabs>
          </w:pPr>
          <w:r>
            <w:fldChar w:fldCharType="begin"/>
          </w:r>
          <w:r>
            <w:instrText xml:space="preserve"> HYPERLINK \l _Toc23073 </w:instrText>
          </w:r>
          <w:r>
            <w:fldChar w:fldCharType="separate"/>
          </w:r>
          <w:r>
            <w:rPr>
              <w:rFonts w:hint="eastAsia" w:ascii="宋体" w:hAnsi="宋体" w:eastAsia="宋体" w:cs="宋体"/>
              <w:bCs/>
              <w:kern w:val="2"/>
              <w:szCs w:val="32"/>
              <w:highlight w:val="none"/>
              <w:lang w:val="en-US" w:eastAsia="zh-CN" w:bidi="ar-SA"/>
            </w:rPr>
            <w:t>6.3各点位监测指标及选取原因</w:t>
          </w:r>
          <w:r>
            <w:tab/>
          </w:r>
          <w:r>
            <w:fldChar w:fldCharType="begin"/>
          </w:r>
          <w:r>
            <w:instrText xml:space="preserve"> PAGEREF _Toc23073 \h </w:instrText>
          </w:r>
          <w:r>
            <w:fldChar w:fldCharType="separate"/>
          </w:r>
          <w:r>
            <w:t>58</w:t>
          </w:r>
          <w:r>
            <w:fldChar w:fldCharType="end"/>
          </w:r>
          <w:r>
            <w:fldChar w:fldCharType="end"/>
          </w:r>
        </w:p>
        <w:p>
          <w:pPr>
            <w:pStyle w:val="18"/>
            <w:tabs>
              <w:tab w:val="right" w:leader="dot" w:pos="8306"/>
            </w:tabs>
          </w:pPr>
          <w:r>
            <w:fldChar w:fldCharType="begin"/>
          </w:r>
          <w:r>
            <w:instrText xml:space="preserve"> HYPERLINK \l _Toc26483 </w:instrText>
          </w:r>
          <w:r>
            <w:fldChar w:fldCharType="separate"/>
          </w:r>
          <w:r>
            <w:rPr>
              <w:rFonts w:hint="eastAsia" w:ascii="宋体" w:hAnsi="宋体" w:eastAsia="宋体" w:cs="宋体"/>
              <w:bCs/>
              <w:kern w:val="2"/>
              <w:szCs w:val="28"/>
              <w:highlight w:val="none"/>
              <w:lang w:val="en-US" w:eastAsia="zh-CN" w:bidi="ar-SA"/>
            </w:rPr>
            <w:t>6.4监测频次</w:t>
          </w:r>
          <w:r>
            <w:tab/>
          </w:r>
          <w:r>
            <w:fldChar w:fldCharType="begin"/>
          </w:r>
          <w:r>
            <w:instrText xml:space="preserve"> PAGEREF _Toc26483 \h </w:instrText>
          </w:r>
          <w:r>
            <w:fldChar w:fldCharType="separate"/>
          </w:r>
          <w:r>
            <w:t>59</w:t>
          </w:r>
          <w:r>
            <w:fldChar w:fldCharType="end"/>
          </w:r>
          <w:r>
            <w:fldChar w:fldCharType="end"/>
          </w:r>
        </w:p>
        <w:p>
          <w:pPr>
            <w:pStyle w:val="17"/>
            <w:tabs>
              <w:tab w:val="right" w:leader="dot" w:pos="8306"/>
            </w:tabs>
          </w:pPr>
          <w:r>
            <w:fldChar w:fldCharType="begin"/>
          </w:r>
          <w:r>
            <w:instrText xml:space="preserve"> HYPERLINK \l _Toc6232 </w:instrText>
          </w:r>
          <w:r>
            <w:fldChar w:fldCharType="separate"/>
          </w:r>
          <w:r>
            <w:rPr>
              <w:rFonts w:hint="eastAsia" w:ascii="宋体" w:hAnsi="宋体" w:eastAsia="宋体" w:cs="宋体"/>
              <w:lang w:val="en-US" w:eastAsia="zh-CN"/>
            </w:rPr>
            <w:t>7样品采集、保存、流转与制备</w:t>
          </w:r>
          <w:r>
            <w:tab/>
          </w:r>
          <w:r>
            <w:fldChar w:fldCharType="begin"/>
          </w:r>
          <w:r>
            <w:instrText xml:space="preserve"> PAGEREF _Toc6232 \h </w:instrText>
          </w:r>
          <w:r>
            <w:fldChar w:fldCharType="separate"/>
          </w:r>
          <w:r>
            <w:t>60</w:t>
          </w:r>
          <w:r>
            <w:fldChar w:fldCharType="end"/>
          </w:r>
          <w:r>
            <w:fldChar w:fldCharType="end"/>
          </w:r>
        </w:p>
        <w:p>
          <w:pPr>
            <w:pStyle w:val="18"/>
            <w:tabs>
              <w:tab w:val="right" w:leader="dot" w:pos="8306"/>
            </w:tabs>
          </w:pPr>
          <w:r>
            <w:fldChar w:fldCharType="begin"/>
          </w:r>
          <w:r>
            <w:instrText xml:space="preserve"> HYPERLINK \l _Toc24713 </w:instrText>
          </w:r>
          <w:r>
            <w:fldChar w:fldCharType="separate"/>
          </w:r>
          <w:r>
            <w:rPr>
              <w:rFonts w:hint="eastAsia" w:ascii="宋体" w:hAnsi="宋体" w:eastAsia="宋体" w:cs="宋体"/>
              <w:bCs/>
              <w:kern w:val="2"/>
              <w:szCs w:val="32"/>
              <w:lang w:val="en-US" w:eastAsia="zh-CN" w:bidi="ar-SA"/>
            </w:rPr>
            <w:t>7.1现场采样位置、数量和深度</w:t>
          </w:r>
          <w:r>
            <w:tab/>
          </w:r>
          <w:r>
            <w:fldChar w:fldCharType="begin"/>
          </w:r>
          <w:r>
            <w:instrText xml:space="preserve"> PAGEREF _Toc24713 \h </w:instrText>
          </w:r>
          <w:r>
            <w:fldChar w:fldCharType="separate"/>
          </w:r>
          <w:r>
            <w:t>60</w:t>
          </w:r>
          <w:r>
            <w:fldChar w:fldCharType="end"/>
          </w:r>
          <w:r>
            <w:fldChar w:fldCharType="end"/>
          </w:r>
        </w:p>
        <w:p>
          <w:pPr>
            <w:pStyle w:val="18"/>
            <w:tabs>
              <w:tab w:val="right" w:leader="dot" w:pos="8306"/>
            </w:tabs>
          </w:pPr>
          <w:r>
            <w:fldChar w:fldCharType="begin"/>
          </w:r>
          <w:r>
            <w:instrText xml:space="preserve"> HYPERLINK \l _Toc1797 </w:instrText>
          </w:r>
          <w:r>
            <w:fldChar w:fldCharType="separate"/>
          </w:r>
          <w:r>
            <w:rPr>
              <w:rFonts w:hint="eastAsia" w:ascii="宋体" w:hAnsi="宋体" w:eastAsia="宋体" w:cs="宋体"/>
              <w:bCs/>
              <w:kern w:val="2"/>
              <w:szCs w:val="32"/>
              <w:lang w:val="en-US" w:eastAsia="zh-CN" w:bidi="ar-SA"/>
            </w:rPr>
            <w:t>7.2现场采样工作流程</w:t>
          </w:r>
          <w:r>
            <w:tab/>
          </w:r>
          <w:r>
            <w:fldChar w:fldCharType="begin"/>
          </w:r>
          <w:r>
            <w:instrText xml:space="preserve"> PAGEREF _Toc1797 \h </w:instrText>
          </w:r>
          <w:r>
            <w:fldChar w:fldCharType="separate"/>
          </w:r>
          <w:r>
            <w:t>61</w:t>
          </w:r>
          <w:r>
            <w:fldChar w:fldCharType="end"/>
          </w:r>
          <w:r>
            <w:fldChar w:fldCharType="end"/>
          </w:r>
        </w:p>
        <w:p>
          <w:pPr>
            <w:pStyle w:val="17"/>
            <w:tabs>
              <w:tab w:val="right" w:leader="dot" w:pos="8306"/>
            </w:tabs>
          </w:pPr>
          <w:r>
            <w:fldChar w:fldCharType="begin"/>
          </w:r>
          <w:r>
            <w:instrText xml:space="preserve"> HYPERLINK \l _Toc10067 </w:instrText>
          </w:r>
          <w:r>
            <w:fldChar w:fldCharType="separate"/>
          </w:r>
          <w:r>
            <w:rPr>
              <w:rFonts w:hint="eastAsia" w:ascii="宋体" w:hAnsi="宋体" w:eastAsia="宋体" w:cs="宋体"/>
              <w:lang w:val="en-US" w:eastAsia="zh-CN"/>
            </w:rPr>
            <w:t>8监测结果分析</w:t>
          </w:r>
          <w:r>
            <w:tab/>
          </w:r>
          <w:r>
            <w:fldChar w:fldCharType="begin"/>
          </w:r>
          <w:r>
            <w:instrText xml:space="preserve"> PAGEREF _Toc10067 \h </w:instrText>
          </w:r>
          <w:r>
            <w:fldChar w:fldCharType="separate"/>
          </w:r>
          <w:r>
            <w:t>70</w:t>
          </w:r>
          <w:r>
            <w:fldChar w:fldCharType="end"/>
          </w:r>
          <w:r>
            <w:fldChar w:fldCharType="end"/>
          </w:r>
        </w:p>
        <w:p>
          <w:pPr>
            <w:pStyle w:val="18"/>
            <w:tabs>
              <w:tab w:val="right" w:leader="dot" w:pos="8306"/>
            </w:tabs>
          </w:pPr>
          <w:r>
            <w:fldChar w:fldCharType="begin"/>
          </w:r>
          <w:r>
            <w:instrText xml:space="preserve"> HYPERLINK \l _Toc6230 </w:instrText>
          </w:r>
          <w:r>
            <w:fldChar w:fldCharType="separate"/>
          </w:r>
          <w:r>
            <w:rPr>
              <w:rFonts w:hint="eastAsia" w:ascii="宋体" w:hAnsi="宋体" w:eastAsia="宋体" w:cs="宋体"/>
              <w:bCs/>
              <w:kern w:val="2"/>
              <w:szCs w:val="32"/>
              <w:lang w:val="en-US" w:eastAsia="zh-CN" w:bidi="ar-SA"/>
            </w:rPr>
            <w:t>8.1</w:t>
          </w:r>
          <w:r>
            <w:rPr>
              <w:rFonts w:hint="eastAsia" w:ascii="宋体" w:hAnsi="宋体" w:eastAsia="宋体" w:cs="宋体"/>
              <w:bCs/>
              <w:kern w:val="2"/>
              <w:szCs w:val="32"/>
              <w:highlight w:val="none"/>
              <w:lang w:val="en-US" w:eastAsia="zh-CN" w:bidi="ar-SA"/>
            </w:rPr>
            <w:t>执行及参考标准</w:t>
          </w:r>
          <w:r>
            <w:tab/>
          </w:r>
          <w:r>
            <w:fldChar w:fldCharType="begin"/>
          </w:r>
          <w:r>
            <w:instrText xml:space="preserve"> PAGEREF _Toc6230 \h </w:instrText>
          </w:r>
          <w:r>
            <w:fldChar w:fldCharType="separate"/>
          </w:r>
          <w:r>
            <w:t>70</w:t>
          </w:r>
          <w:r>
            <w:fldChar w:fldCharType="end"/>
          </w:r>
          <w:r>
            <w:fldChar w:fldCharType="end"/>
          </w:r>
        </w:p>
        <w:p>
          <w:pPr>
            <w:pStyle w:val="18"/>
            <w:tabs>
              <w:tab w:val="right" w:leader="dot" w:pos="8306"/>
            </w:tabs>
          </w:pPr>
          <w:r>
            <w:fldChar w:fldCharType="begin"/>
          </w:r>
          <w:r>
            <w:instrText xml:space="preserve"> HYPERLINK \l _Toc26619 </w:instrText>
          </w:r>
          <w:r>
            <w:fldChar w:fldCharType="separate"/>
          </w:r>
          <w:r>
            <w:rPr>
              <w:rFonts w:hint="eastAsia" w:ascii="宋体" w:hAnsi="宋体" w:eastAsia="宋体" w:cs="宋体"/>
              <w:bCs/>
              <w:kern w:val="2"/>
              <w:szCs w:val="32"/>
              <w:lang w:val="en-US" w:eastAsia="zh-CN" w:bidi="ar-SA"/>
            </w:rPr>
            <w:t>8.2监测结果</w:t>
          </w:r>
          <w:r>
            <w:tab/>
          </w:r>
          <w:r>
            <w:fldChar w:fldCharType="begin"/>
          </w:r>
          <w:r>
            <w:instrText xml:space="preserve"> PAGEREF _Toc26619 \h </w:instrText>
          </w:r>
          <w:r>
            <w:fldChar w:fldCharType="separate"/>
          </w:r>
          <w:r>
            <w:t>74</w:t>
          </w:r>
          <w:r>
            <w:fldChar w:fldCharType="end"/>
          </w:r>
          <w:r>
            <w:fldChar w:fldCharType="end"/>
          </w:r>
        </w:p>
        <w:p>
          <w:pPr>
            <w:pStyle w:val="17"/>
            <w:tabs>
              <w:tab w:val="right" w:leader="dot" w:pos="8306"/>
            </w:tabs>
          </w:pPr>
          <w:r>
            <w:fldChar w:fldCharType="begin"/>
          </w:r>
          <w:r>
            <w:instrText xml:space="preserve"> HYPERLINK \l _Toc1971 </w:instrText>
          </w:r>
          <w:r>
            <w:fldChar w:fldCharType="separate"/>
          </w:r>
          <w:r>
            <w:rPr>
              <w:rFonts w:hint="eastAsia" w:ascii="宋体" w:hAnsi="宋体" w:eastAsia="宋体" w:cs="宋体"/>
              <w:lang w:val="en-US" w:eastAsia="zh-CN"/>
            </w:rPr>
            <w:t>9质量保证与质量控制</w:t>
          </w:r>
          <w:r>
            <w:tab/>
          </w:r>
          <w:r>
            <w:fldChar w:fldCharType="begin"/>
          </w:r>
          <w:r>
            <w:instrText xml:space="preserve"> PAGEREF _Toc1971 \h </w:instrText>
          </w:r>
          <w:r>
            <w:fldChar w:fldCharType="separate"/>
          </w:r>
          <w:r>
            <w:t>86</w:t>
          </w:r>
          <w:r>
            <w:fldChar w:fldCharType="end"/>
          </w:r>
          <w:r>
            <w:fldChar w:fldCharType="end"/>
          </w:r>
        </w:p>
        <w:p>
          <w:pPr>
            <w:pStyle w:val="18"/>
            <w:tabs>
              <w:tab w:val="right" w:leader="dot" w:pos="8306"/>
            </w:tabs>
          </w:pPr>
          <w:r>
            <w:fldChar w:fldCharType="begin"/>
          </w:r>
          <w:r>
            <w:instrText xml:space="preserve"> HYPERLINK \l _Toc22663 </w:instrText>
          </w:r>
          <w:r>
            <w:fldChar w:fldCharType="separate"/>
          </w:r>
          <w:r>
            <w:rPr>
              <w:rFonts w:hint="eastAsia" w:ascii="宋体" w:hAnsi="宋体" w:eastAsia="宋体" w:cs="宋体"/>
              <w:bCs/>
              <w:kern w:val="2"/>
              <w:szCs w:val="32"/>
              <w:lang w:val="en-US" w:eastAsia="zh-CN" w:bidi="ar-SA"/>
            </w:rPr>
            <w:t>9.1自行监测质量体系</w:t>
          </w:r>
          <w:r>
            <w:tab/>
          </w:r>
          <w:r>
            <w:fldChar w:fldCharType="begin"/>
          </w:r>
          <w:r>
            <w:instrText xml:space="preserve"> PAGEREF _Toc22663 \h </w:instrText>
          </w:r>
          <w:r>
            <w:fldChar w:fldCharType="separate"/>
          </w:r>
          <w:r>
            <w:t>86</w:t>
          </w:r>
          <w:r>
            <w:fldChar w:fldCharType="end"/>
          </w:r>
          <w:r>
            <w:fldChar w:fldCharType="end"/>
          </w:r>
        </w:p>
        <w:p>
          <w:pPr>
            <w:pStyle w:val="18"/>
            <w:tabs>
              <w:tab w:val="right" w:leader="dot" w:pos="8306"/>
            </w:tabs>
          </w:pPr>
          <w:r>
            <w:fldChar w:fldCharType="begin"/>
          </w:r>
          <w:r>
            <w:instrText xml:space="preserve"> HYPERLINK \l _Toc579 </w:instrText>
          </w:r>
          <w:r>
            <w:fldChar w:fldCharType="separate"/>
          </w:r>
          <w:r>
            <w:rPr>
              <w:rFonts w:hint="eastAsia" w:ascii="宋体" w:hAnsi="宋体" w:eastAsia="宋体" w:cs="宋体"/>
              <w:bCs/>
              <w:kern w:val="2"/>
              <w:szCs w:val="32"/>
              <w:lang w:val="en-US" w:eastAsia="zh-CN" w:bidi="ar-SA"/>
            </w:rPr>
            <w:t>9.2监测方案制定的质量保证与控制</w:t>
          </w:r>
          <w:r>
            <w:tab/>
          </w:r>
          <w:r>
            <w:fldChar w:fldCharType="begin"/>
          </w:r>
          <w:r>
            <w:instrText xml:space="preserve"> PAGEREF _Toc579 \h </w:instrText>
          </w:r>
          <w:r>
            <w:fldChar w:fldCharType="separate"/>
          </w:r>
          <w:r>
            <w:t>86</w:t>
          </w:r>
          <w:r>
            <w:fldChar w:fldCharType="end"/>
          </w:r>
          <w:r>
            <w:fldChar w:fldCharType="end"/>
          </w:r>
        </w:p>
        <w:p>
          <w:pPr>
            <w:pStyle w:val="18"/>
            <w:tabs>
              <w:tab w:val="right" w:leader="dot" w:pos="8306"/>
            </w:tabs>
          </w:pPr>
          <w:r>
            <w:fldChar w:fldCharType="begin"/>
          </w:r>
          <w:r>
            <w:instrText xml:space="preserve"> HYPERLINK \l _Toc27607 </w:instrText>
          </w:r>
          <w:r>
            <w:fldChar w:fldCharType="separate"/>
          </w:r>
          <w:r>
            <w:rPr>
              <w:rFonts w:hint="eastAsia" w:ascii="宋体" w:hAnsi="宋体" w:eastAsia="宋体" w:cs="宋体"/>
              <w:bCs/>
              <w:kern w:val="2"/>
              <w:szCs w:val="32"/>
              <w:lang w:val="en-US" w:eastAsia="zh-CN" w:bidi="ar-SA"/>
            </w:rPr>
            <w:t>9.3样品采集、保存、流转、制备与分析的质量保证与控制</w:t>
          </w:r>
          <w:r>
            <w:tab/>
          </w:r>
          <w:r>
            <w:fldChar w:fldCharType="begin"/>
          </w:r>
          <w:r>
            <w:instrText xml:space="preserve"> PAGEREF _Toc27607 \h </w:instrText>
          </w:r>
          <w:r>
            <w:fldChar w:fldCharType="separate"/>
          </w:r>
          <w:r>
            <w:t>87</w:t>
          </w:r>
          <w:r>
            <w:fldChar w:fldCharType="end"/>
          </w:r>
          <w:r>
            <w:fldChar w:fldCharType="end"/>
          </w:r>
        </w:p>
        <w:p>
          <w:pPr>
            <w:pStyle w:val="17"/>
            <w:tabs>
              <w:tab w:val="right" w:leader="dot" w:pos="8306"/>
            </w:tabs>
          </w:pPr>
          <w:r>
            <w:fldChar w:fldCharType="begin"/>
          </w:r>
          <w:r>
            <w:instrText xml:space="preserve"> HYPERLINK \l _Toc2164 </w:instrText>
          </w:r>
          <w:r>
            <w:fldChar w:fldCharType="separate"/>
          </w:r>
          <w:r>
            <w:rPr>
              <w:rFonts w:hint="eastAsia" w:ascii="宋体" w:hAnsi="宋体" w:eastAsia="宋体" w:cs="宋体"/>
              <w:lang w:val="en-US" w:eastAsia="zh-CN"/>
            </w:rPr>
            <w:t>10.结论与措施</w:t>
          </w:r>
          <w:r>
            <w:tab/>
          </w:r>
          <w:r>
            <w:fldChar w:fldCharType="begin"/>
          </w:r>
          <w:r>
            <w:instrText xml:space="preserve"> PAGEREF _Toc2164 \h </w:instrText>
          </w:r>
          <w:r>
            <w:fldChar w:fldCharType="separate"/>
          </w:r>
          <w:r>
            <w:t>92</w:t>
          </w:r>
          <w:r>
            <w:fldChar w:fldCharType="end"/>
          </w:r>
          <w:r>
            <w:fldChar w:fldCharType="end"/>
          </w:r>
        </w:p>
        <w:p>
          <w:pPr>
            <w:pStyle w:val="18"/>
            <w:tabs>
              <w:tab w:val="right" w:leader="dot" w:pos="8306"/>
            </w:tabs>
          </w:pPr>
          <w:r>
            <w:fldChar w:fldCharType="begin"/>
          </w:r>
          <w:r>
            <w:instrText xml:space="preserve"> HYPERLINK \l _Toc15747 </w:instrText>
          </w:r>
          <w:r>
            <w:fldChar w:fldCharType="separate"/>
          </w:r>
          <w:r>
            <w:rPr>
              <w:rFonts w:hint="eastAsia" w:ascii="宋体" w:hAnsi="宋体" w:eastAsia="宋体" w:cs="宋体"/>
              <w:bCs/>
              <w:kern w:val="2"/>
              <w:szCs w:val="32"/>
              <w:lang w:val="en-US" w:eastAsia="zh-CN" w:bidi="ar-SA"/>
            </w:rPr>
            <w:t>10.1现场采样和监测</w:t>
          </w:r>
          <w:r>
            <w:tab/>
          </w:r>
          <w:r>
            <w:fldChar w:fldCharType="begin"/>
          </w:r>
          <w:r>
            <w:instrText xml:space="preserve"> PAGEREF _Toc15747 \h </w:instrText>
          </w:r>
          <w:r>
            <w:fldChar w:fldCharType="separate"/>
          </w:r>
          <w:r>
            <w:t>92</w:t>
          </w:r>
          <w:r>
            <w:fldChar w:fldCharType="end"/>
          </w:r>
          <w:r>
            <w:fldChar w:fldCharType="end"/>
          </w:r>
        </w:p>
        <w:p>
          <w:pPr>
            <w:pStyle w:val="18"/>
            <w:tabs>
              <w:tab w:val="right" w:leader="dot" w:pos="8306"/>
            </w:tabs>
          </w:pPr>
          <w:r>
            <w:fldChar w:fldCharType="begin"/>
          </w:r>
          <w:r>
            <w:instrText xml:space="preserve"> HYPERLINK \l _Toc30933 </w:instrText>
          </w:r>
          <w:r>
            <w:fldChar w:fldCharType="separate"/>
          </w:r>
          <w:r>
            <w:rPr>
              <w:rFonts w:hint="eastAsia" w:ascii="宋体" w:hAnsi="宋体" w:eastAsia="宋体" w:cs="宋体"/>
              <w:bCs/>
              <w:kern w:val="2"/>
              <w:szCs w:val="32"/>
              <w:lang w:val="en-US" w:eastAsia="zh-CN" w:bidi="ar-SA"/>
            </w:rPr>
            <w:t>10.2土壤和地下水监测结果分析</w:t>
          </w:r>
          <w:r>
            <w:tab/>
          </w:r>
          <w:r>
            <w:fldChar w:fldCharType="begin"/>
          </w:r>
          <w:r>
            <w:instrText xml:space="preserve"> PAGEREF _Toc30933 \h </w:instrText>
          </w:r>
          <w:r>
            <w:fldChar w:fldCharType="separate"/>
          </w:r>
          <w:r>
            <w:t>92</w:t>
          </w:r>
          <w:r>
            <w:fldChar w:fldCharType="end"/>
          </w:r>
          <w:r>
            <w:fldChar w:fldCharType="end"/>
          </w:r>
        </w:p>
        <w:p>
          <w:pPr>
            <w:pStyle w:val="18"/>
            <w:tabs>
              <w:tab w:val="right" w:leader="dot" w:pos="8306"/>
            </w:tabs>
          </w:pPr>
          <w:r>
            <w:fldChar w:fldCharType="begin"/>
          </w:r>
          <w:r>
            <w:instrText xml:space="preserve"> HYPERLINK \l _Toc1484 </w:instrText>
          </w:r>
          <w:r>
            <w:fldChar w:fldCharType="separate"/>
          </w:r>
          <w:r>
            <w:rPr>
              <w:rFonts w:hint="eastAsia" w:ascii="宋体" w:hAnsi="宋体" w:eastAsia="宋体" w:cs="宋体"/>
              <w:bCs/>
              <w:kern w:val="2"/>
              <w:szCs w:val="32"/>
              <w:lang w:val="en-US" w:eastAsia="zh-CN" w:bidi="ar-SA"/>
            </w:rPr>
            <w:t>10.3自行监测结论</w:t>
          </w:r>
          <w:r>
            <w:tab/>
          </w:r>
          <w:r>
            <w:fldChar w:fldCharType="begin"/>
          </w:r>
          <w:r>
            <w:instrText xml:space="preserve"> PAGEREF _Toc1484 \h </w:instrText>
          </w:r>
          <w:r>
            <w:fldChar w:fldCharType="separate"/>
          </w:r>
          <w:r>
            <w:t>92</w:t>
          </w:r>
          <w:r>
            <w:fldChar w:fldCharType="end"/>
          </w:r>
          <w:r>
            <w:fldChar w:fldCharType="end"/>
          </w:r>
        </w:p>
        <w:p>
          <w:pPr>
            <w:pStyle w:val="18"/>
            <w:tabs>
              <w:tab w:val="right" w:leader="dot" w:pos="8306"/>
            </w:tabs>
          </w:pPr>
          <w:r>
            <w:fldChar w:fldCharType="begin"/>
          </w:r>
          <w:r>
            <w:instrText xml:space="preserve"> HYPERLINK \l _Toc30415 </w:instrText>
          </w:r>
          <w:r>
            <w:fldChar w:fldCharType="separate"/>
          </w:r>
          <w:r>
            <w:rPr>
              <w:rFonts w:hint="eastAsia" w:ascii="宋体" w:hAnsi="宋体" w:eastAsia="宋体" w:cs="宋体"/>
              <w:bCs/>
              <w:kern w:val="2"/>
              <w:szCs w:val="32"/>
              <w:lang w:val="en-US" w:eastAsia="zh-CN" w:bidi="ar-SA"/>
            </w:rPr>
            <w:t>10.4拟采取的主要措施</w:t>
          </w:r>
          <w:r>
            <w:tab/>
          </w:r>
          <w:r>
            <w:fldChar w:fldCharType="begin"/>
          </w:r>
          <w:r>
            <w:instrText xml:space="preserve"> PAGEREF _Toc30415 \h </w:instrText>
          </w:r>
          <w:r>
            <w:fldChar w:fldCharType="separate"/>
          </w:r>
          <w:r>
            <w:t>93</w:t>
          </w:r>
          <w:r>
            <w:fldChar w:fldCharType="end"/>
          </w:r>
          <w:r>
            <w:fldChar w:fldCharType="end"/>
          </w:r>
        </w:p>
        <w:p>
          <w:pPr>
            <w:pStyle w:val="17"/>
            <w:tabs>
              <w:tab w:val="right" w:leader="dot" w:pos="8306"/>
            </w:tabs>
          </w:pPr>
          <w:r>
            <w:fldChar w:fldCharType="begin"/>
          </w:r>
          <w:r>
            <w:instrText xml:space="preserve"> HYPERLINK \l _Toc7680 </w:instrText>
          </w:r>
          <w:r>
            <w:fldChar w:fldCharType="separate"/>
          </w:r>
          <w:r>
            <w:rPr>
              <w:rFonts w:hint="eastAsia" w:ascii="宋体" w:hAnsi="宋体" w:eastAsia="宋体" w:cs="宋体"/>
              <w:bCs/>
              <w:szCs w:val="32"/>
              <w:highlight w:val="none"/>
              <w:lang w:val="en-US" w:eastAsia="zh-CN"/>
            </w:rPr>
            <w:t>附图1 企业地理位置图</w:t>
          </w:r>
          <w:r>
            <w:tab/>
          </w:r>
          <w:r>
            <w:fldChar w:fldCharType="begin"/>
          </w:r>
          <w:r>
            <w:instrText xml:space="preserve"> PAGEREF _Toc7680 \h </w:instrText>
          </w:r>
          <w:r>
            <w:fldChar w:fldCharType="separate"/>
          </w:r>
          <w:r>
            <w:t>94</w:t>
          </w:r>
          <w:r>
            <w:fldChar w:fldCharType="end"/>
          </w:r>
          <w:r>
            <w:fldChar w:fldCharType="end"/>
          </w:r>
        </w:p>
        <w:p>
          <w:pPr>
            <w:pStyle w:val="17"/>
            <w:tabs>
              <w:tab w:val="right" w:leader="dot" w:pos="8306"/>
            </w:tabs>
          </w:pPr>
          <w:r>
            <w:fldChar w:fldCharType="begin"/>
          </w:r>
          <w:r>
            <w:instrText xml:space="preserve"> HYPERLINK \l _Toc13299 </w:instrText>
          </w:r>
          <w:r>
            <w:fldChar w:fldCharType="separate"/>
          </w:r>
          <w:r>
            <w:rPr>
              <w:rFonts w:hint="eastAsia" w:ascii="宋体" w:hAnsi="宋体" w:eastAsia="宋体" w:cs="宋体"/>
              <w:bCs/>
              <w:szCs w:val="32"/>
              <w:highlight w:val="none"/>
              <w:lang w:val="en-US" w:eastAsia="zh-CN"/>
            </w:rPr>
            <w:t>附图2三门峡市土壤污染类型</w:t>
          </w:r>
          <w:r>
            <w:tab/>
          </w:r>
          <w:r>
            <w:fldChar w:fldCharType="begin"/>
          </w:r>
          <w:r>
            <w:instrText xml:space="preserve"> PAGEREF _Toc13299 \h </w:instrText>
          </w:r>
          <w:r>
            <w:fldChar w:fldCharType="separate"/>
          </w:r>
          <w:r>
            <w:t>95</w:t>
          </w:r>
          <w:r>
            <w:fldChar w:fldCharType="end"/>
          </w:r>
          <w:r>
            <w:fldChar w:fldCharType="end"/>
          </w:r>
        </w:p>
        <w:p>
          <w:pPr>
            <w:pStyle w:val="17"/>
            <w:tabs>
              <w:tab w:val="right" w:leader="dot" w:pos="8306"/>
            </w:tabs>
          </w:pPr>
          <w:r>
            <w:fldChar w:fldCharType="begin"/>
          </w:r>
          <w:r>
            <w:instrText xml:space="preserve"> HYPERLINK \l _Toc8439 </w:instrText>
          </w:r>
          <w:r>
            <w:fldChar w:fldCharType="separate"/>
          </w:r>
          <w:r>
            <w:rPr>
              <w:rFonts w:hint="eastAsia" w:ascii="宋体" w:hAnsi="宋体" w:eastAsia="宋体" w:cs="宋体"/>
              <w:bCs/>
              <w:szCs w:val="32"/>
              <w:highlight w:val="none"/>
              <w:lang w:val="en-US" w:eastAsia="zh-CN"/>
            </w:rPr>
            <w:t>附图3平面布置及监测点位图</w:t>
          </w:r>
          <w:bookmarkStart w:id="330" w:name="_GoBack"/>
          <w:bookmarkEnd w:id="330"/>
          <w:r>
            <w:tab/>
          </w:r>
          <w:r>
            <w:fldChar w:fldCharType="begin"/>
          </w:r>
          <w:r>
            <w:instrText xml:space="preserve"> PAGEREF _Toc8439 \h </w:instrText>
          </w:r>
          <w:r>
            <w:fldChar w:fldCharType="separate"/>
          </w:r>
          <w:r>
            <w:t>96</w:t>
          </w:r>
          <w:r>
            <w:fldChar w:fldCharType="end"/>
          </w:r>
          <w:r>
            <w:fldChar w:fldCharType="end"/>
          </w:r>
        </w:p>
        <w:p>
          <w:pPr>
            <w:pStyle w:val="17"/>
            <w:tabs>
              <w:tab w:val="right" w:leader="dot" w:pos="8306"/>
            </w:tabs>
          </w:pPr>
          <w:r>
            <w:fldChar w:fldCharType="begin"/>
          </w:r>
          <w:r>
            <w:instrText xml:space="preserve"> HYPERLINK \l _Toc6399 </w:instrText>
          </w:r>
          <w:r>
            <w:fldChar w:fldCharType="separate"/>
          </w:r>
          <w:r>
            <w:rPr>
              <w:rFonts w:hint="eastAsia" w:ascii="宋体" w:hAnsi="宋体" w:eastAsia="宋体" w:cs="宋体"/>
              <w:szCs w:val="24"/>
              <w:highlight w:val="none"/>
              <w:lang w:val="zh-CN" w:eastAsia="zh-CN"/>
            </w:rPr>
            <w:t>附图</w:t>
          </w:r>
          <w:r>
            <w:rPr>
              <w:rFonts w:hint="eastAsia" w:ascii="宋体" w:hAnsi="宋体" w:eastAsia="宋体" w:cs="宋体"/>
              <w:szCs w:val="24"/>
              <w:highlight w:val="none"/>
              <w:lang w:val="en-US" w:eastAsia="zh-CN"/>
            </w:rPr>
            <w:t xml:space="preserve">4 </w:t>
          </w:r>
          <w:r>
            <w:rPr>
              <w:rFonts w:hint="eastAsia" w:ascii="宋体" w:hAnsi="宋体" w:eastAsia="宋体" w:cs="宋体"/>
              <w:szCs w:val="24"/>
              <w:highlight w:val="none"/>
              <w:lang w:val="zh-CN" w:eastAsia="zh-CN"/>
            </w:rPr>
            <w:t>现场采样照片</w:t>
          </w:r>
          <w:r>
            <w:tab/>
          </w:r>
          <w:r>
            <w:fldChar w:fldCharType="begin"/>
          </w:r>
          <w:r>
            <w:instrText xml:space="preserve"> PAGEREF _Toc6399 \h </w:instrText>
          </w:r>
          <w:r>
            <w:fldChar w:fldCharType="separate"/>
          </w:r>
          <w:r>
            <w:t>98</w:t>
          </w:r>
          <w:r>
            <w:fldChar w:fldCharType="end"/>
          </w:r>
          <w:r>
            <w:fldChar w:fldCharType="end"/>
          </w:r>
        </w:p>
        <w:p>
          <w:pPr>
            <w:pStyle w:val="17"/>
            <w:tabs>
              <w:tab w:val="right" w:leader="dot" w:pos="8306"/>
            </w:tabs>
          </w:pPr>
          <w:r>
            <w:fldChar w:fldCharType="begin"/>
          </w:r>
          <w:r>
            <w:instrText xml:space="preserve"> HYPERLINK \l _Toc20638 </w:instrText>
          </w:r>
          <w:r>
            <w:fldChar w:fldCharType="separate"/>
          </w:r>
          <w:r>
            <w:rPr>
              <w:rFonts w:hint="eastAsia" w:ascii="宋体" w:hAnsi="宋体" w:eastAsia="宋体" w:cs="宋体"/>
              <w:bCs/>
              <w:szCs w:val="32"/>
              <w:lang w:val="en-US" w:eastAsia="zh-CN"/>
            </w:rPr>
            <w:t>附件1 检测报告</w:t>
          </w:r>
          <w:r>
            <w:tab/>
          </w:r>
          <w:r>
            <w:fldChar w:fldCharType="begin"/>
          </w:r>
          <w:r>
            <w:instrText xml:space="preserve"> PAGEREF _Toc20638 \h </w:instrText>
          </w:r>
          <w:r>
            <w:fldChar w:fldCharType="separate"/>
          </w:r>
          <w:r>
            <w:t>99</w:t>
          </w:r>
          <w:r>
            <w:fldChar w:fldCharType="end"/>
          </w:r>
          <w:r>
            <w:fldChar w:fldCharType="end"/>
          </w:r>
        </w:p>
        <w:p>
          <w:pPr>
            <w:pStyle w:val="17"/>
            <w:tabs>
              <w:tab w:val="right" w:leader="dot" w:pos="8306"/>
            </w:tabs>
          </w:pPr>
          <w:r>
            <w:fldChar w:fldCharType="begin"/>
          </w:r>
          <w:r>
            <w:instrText xml:space="preserve"> HYPERLINK \l _Toc29640 </w:instrText>
          </w:r>
          <w:r>
            <w:fldChar w:fldCharType="separate"/>
          </w:r>
          <w:r>
            <w:rPr>
              <w:rFonts w:hint="eastAsia" w:ascii="宋体" w:hAnsi="宋体" w:eastAsia="宋体" w:cs="宋体"/>
              <w:bCs/>
              <w:szCs w:val="32"/>
              <w:lang w:val="en-US" w:eastAsia="zh-CN"/>
            </w:rPr>
            <w:t>附件2 检测资质证书、附表</w:t>
          </w:r>
          <w:r>
            <w:tab/>
          </w:r>
          <w:r>
            <w:fldChar w:fldCharType="begin"/>
          </w:r>
          <w:r>
            <w:instrText xml:space="preserve"> PAGEREF _Toc29640 \h </w:instrText>
          </w:r>
          <w:r>
            <w:fldChar w:fldCharType="separate"/>
          </w:r>
          <w:r>
            <w:t>119</w:t>
          </w:r>
          <w:r>
            <w:fldChar w:fldCharType="end"/>
          </w:r>
          <w:r>
            <w:fldChar w:fldCharType="end"/>
          </w:r>
        </w:p>
        <w:p>
          <w:r>
            <w:fldChar w:fldCharType="end"/>
          </w:r>
        </w:p>
      </w:sdtContent>
    </w:sdt>
    <w:p>
      <w:pPr>
        <w:keepNext w:val="0"/>
        <w:keepLines w:val="0"/>
        <w:pageBreakBefore w:val="0"/>
        <w:widowControl/>
        <w:tabs>
          <w:tab w:val="left" w:pos="312"/>
        </w:tabs>
        <w:kinsoku/>
        <w:wordWrap/>
        <w:overflowPunct/>
        <w:topLinePunct w:val="0"/>
        <w:autoSpaceDE/>
        <w:autoSpaceDN/>
        <w:bidi w:val="0"/>
        <w:adjustRightInd/>
        <w:snapToGrid w:val="0"/>
        <w:spacing w:line="520" w:lineRule="exact"/>
        <w:ind w:firstLine="0" w:firstLineChars="0"/>
        <w:jc w:val="both"/>
        <w:textAlignment w:val="auto"/>
        <w:outlineLvl w:val="0"/>
        <w:rPr>
          <w:rFonts w:hint="eastAsia" w:ascii="宋体" w:hAnsi="宋体" w:eastAsia="宋体" w:cs="宋体"/>
          <w:b/>
          <w:bCs/>
          <w:color w:val="auto"/>
          <w:kern w:val="2"/>
          <w:sz w:val="28"/>
          <w:szCs w:val="32"/>
          <w:highlight w:val="none"/>
          <w:lang w:val="en-US" w:eastAsia="zh-CN" w:bidi="zh-CN"/>
        </w:rPr>
        <w:sectPr>
          <w:footerReference r:id="rId4"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720" w:num="1"/>
          <w:docGrid w:type="lines" w:linePitch="312" w:charSpace="0"/>
        </w:sectPr>
      </w:pPr>
    </w:p>
    <w:p>
      <w:pPr>
        <w:keepNext w:val="0"/>
        <w:keepLines w:val="0"/>
        <w:pageBreakBefore w:val="0"/>
        <w:widowControl/>
        <w:tabs>
          <w:tab w:val="left" w:pos="312"/>
        </w:tabs>
        <w:kinsoku/>
        <w:wordWrap/>
        <w:overflowPunct/>
        <w:topLinePunct w:val="0"/>
        <w:autoSpaceDE/>
        <w:autoSpaceDN/>
        <w:bidi w:val="0"/>
        <w:adjustRightInd/>
        <w:snapToGrid w:val="0"/>
        <w:spacing w:line="360" w:lineRule="auto"/>
        <w:ind w:firstLine="0" w:firstLineChars="0"/>
        <w:jc w:val="both"/>
        <w:textAlignment w:val="auto"/>
        <w:outlineLvl w:val="0"/>
        <w:rPr>
          <w:rFonts w:hint="eastAsia" w:ascii="宋体" w:hAnsi="宋体" w:eastAsia="宋体" w:cs="宋体"/>
          <w:b/>
          <w:bCs/>
          <w:color w:val="auto"/>
          <w:kern w:val="2"/>
          <w:sz w:val="28"/>
          <w:szCs w:val="32"/>
          <w:highlight w:val="none"/>
          <w:lang w:val="en-US" w:eastAsia="zh-CN" w:bidi="zh-CN"/>
        </w:rPr>
      </w:pPr>
      <w:bookmarkStart w:id="6" w:name="_Toc28203"/>
      <w:r>
        <w:rPr>
          <w:rFonts w:hint="eastAsia" w:ascii="宋体" w:hAnsi="宋体" w:eastAsia="宋体" w:cs="宋体"/>
          <w:b/>
          <w:bCs/>
          <w:color w:val="auto"/>
          <w:kern w:val="2"/>
          <w:sz w:val="28"/>
          <w:szCs w:val="32"/>
          <w:highlight w:val="none"/>
          <w:lang w:val="en-US" w:eastAsia="zh-CN" w:bidi="zh-CN"/>
        </w:rPr>
        <w:t>1.工作背景</w:t>
      </w:r>
      <w:bookmarkEnd w:id="6"/>
    </w:p>
    <w:p>
      <w:pPr>
        <w:keepNext w:val="0"/>
        <w:keepLines w:val="0"/>
        <w:pageBreakBefore w:val="0"/>
        <w:widowControl/>
        <w:kinsoku/>
        <w:wordWrap/>
        <w:overflowPunct/>
        <w:topLinePunct w:val="0"/>
        <w:autoSpaceDE/>
        <w:autoSpaceDN/>
        <w:bidi w:val="0"/>
        <w:adjustRightInd/>
        <w:snapToGrid/>
        <w:spacing w:after="0" w:line="360" w:lineRule="auto"/>
        <w:ind w:left="0" w:leftChars="0" w:right="0" w:rightChars="0" w:firstLine="560" w:firstLineChars="200"/>
        <w:jc w:val="left"/>
        <w:textAlignment w:val="baseline"/>
        <w:outlineLvl w:val="9"/>
        <w:rPr>
          <w:rFonts w:hint="eastAsia" w:ascii="宋体" w:hAnsi="宋体" w:eastAsia="宋体" w:cs="宋体"/>
          <w:color w:val="auto"/>
          <w:spacing w:val="0"/>
          <w:sz w:val="28"/>
          <w:szCs w:val="28"/>
          <w:highlight w:val="none"/>
          <w:u w:val="none"/>
          <w:lang w:val="en-US" w:eastAsia="zh-CN"/>
        </w:rPr>
      </w:pPr>
      <w:bookmarkStart w:id="7" w:name="_Toc3420"/>
      <w:bookmarkStart w:id="8" w:name="_Toc27972_WPSOffice_Level1"/>
      <w:bookmarkStart w:id="9" w:name="_Toc19367"/>
      <w:bookmarkStart w:id="10" w:name="_Toc26004755"/>
      <w:bookmarkStart w:id="11" w:name="_Toc31209"/>
      <w:bookmarkStart w:id="12" w:name="_Toc12675"/>
      <w:bookmarkStart w:id="13" w:name="_Toc5620"/>
      <w:bookmarkStart w:id="14" w:name="_Toc17333"/>
      <w:bookmarkStart w:id="15" w:name="_Toc27381"/>
      <w:bookmarkStart w:id="16" w:name="_Toc11735"/>
      <w:bookmarkStart w:id="17" w:name="_Toc27886"/>
      <w:bookmarkStart w:id="18" w:name="_Toc53736315"/>
      <w:bookmarkStart w:id="19" w:name="_Toc31920"/>
      <w:bookmarkStart w:id="20" w:name="_Toc25756_WPSOffice_Level1"/>
      <w:r>
        <w:rPr>
          <w:rFonts w:hint="eastAsia" w:ascii="宋体" w:hAnsi="宋体" w:eastAsia="宋体" w:cs="宋体"/>
          <w:color w:val="auto"/>
          <w:spacing w:val="0"/>
          <w:sz w:val="28"/>
          <w:szCs w:val="28"/>
          <w:highlight w:val="none"/>
          <w:u w:val="none"/>
          <w:lang w:eastAsia="zh-CN"/>
        </w:rPr>
        <w:t>三门峡新鑫源科技有限公司创建于2016年7月，公司位于三门峡陕州区先进制造业开发区（原陕州区产业聚集区）内，主要生产精细化工产品。公司厂区共分三个项目并配套2台燃气锅炉。</w:t>
      </w:r>
    </w:p>
    <w:p>
      <w:pPr>
        <w:pStyle w:val="8"/>
        <w:spacing w:line="360" w:lineRule="auto"/>
        <w:outlineLvl w:val="1"/>
        <w:rPr>
          <w:rFonts w:hint="eastAsia" w:ascii="宋体" w:hAnsi="宋体" w:eastAsia="宋体" w:cs="宋体"/>
          <w:color w:val="auto"/>
          <w:highlight w:val="none"/>
        </w:rPr>
      </w:pPr>
      <w:bookmarkStart w:id="21" w:name="_Toc789"/>
      <w:r>
        <w:rPr>
          <w:rFonts w:hint="eastAsia" w:ascii="宋体" w:hAnsi="宋体" w:eastAsia="宋体" w:cs="宋体"/>
          <w:color w:val="auto"/>
          <w:highlight w:val="none"/>
        </w:rPr>
        <w:t>1.1编制背景</w:t>
      </w:r>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p>
    <w:p>
      <w:pPr>
        <w:keepNext w:val="0"/>
        <w:keepLines w:val="0"/>
        <w:pageBreakBefore w:val="0"/>
        <w:widowControl/>
        <w:kinsoku/>
        <w:wordWrap/>
        <w:overflowPunct/>
        <w:topLinePunct w:val="0"/>
        <w:autoSpaceDE/>
        <w:autoSpaceDN/>
        <w:bidi w:val="0"/>
        <w:adjustRightInd/>
        <w:snapToGrid/>
        <w:spacing w:after="0" w:line="360" w:lineRule="auto"/>
        <w:ind w:left="0" w:leftChars="0" w:right="0" w:rightChars="0" w:firstLine="560" w:firstLineChars="200"/>
        <w:jc w:val="left"/>
        <w:textAlignment w:val="baseline"/>
        <w:outlineLvl w:val="9"/>
        <w:rPr>
          <w:rFonts w:hint="eastAsia" w:ascii="宋体" w:hAnsi="宋体" w:eastAsia="宋体" w:cs="宋体"/>
          <w:color w:val="auto"/>
          <w:spacing w:val="0"/>
          <w:sz w:val="28"/>
          <w:szCs w:val="28"/>
          <w:highlight w:val="none"/>
          <w:u w:val="none"/>
          <w:lang w:eastAsia="zh-CN"/>
        </w:rPr>
      </w:pPr>
      <w:r>
        <w:rPr>
          <w:rFonts w:hint="eastAsia" w:ascii="宋体" w:hAnsi="宋体" w:eastAsia="宋体" w:cs="宋体"/>
          <w:color w:val="auto"/>
          <w:spacing w:val="0"/>
          <w:sz w:val="28"/>
          <w:szCs w:val="28"/>
          <w:highlight w:val="none"/>
          <w:u w:val="none"/>
          <w:lang w:eastAsia="zh-CN"/>
        </w:rPr>
        <w:t>2016年5月《土壤污染防治行动计划》中指出：重点行业企业要依据有关规定，向社会公开其产生的污染物名称、排放方式、排放浓度、排放总量，以及污染防治设施建设和运行情况。各地要根据工矿企业分布和污染排放情况，确定土壤环境重点监管企业名单，实行动态更新，并向社会公布。列入名单的企业每年要自行对其用地进行土壤环境监测，结果向社会公开。</w:t>
      </w:r>
    </w:p>
    <w:p>
      <w:pPr>
        <w:keepNext w:val="0"/>
        <w:keepLines w:val="0"/>
        <w:pageBreakBefore w:val="0"/>
        <w:widowControl/>
        <w:kinsoku/>
        <w:wordWrap/>
        <w:overflowPunct/>
        <w:topLinePunct w:val="0"/>
        <w:autoSpaceDE/>
        <w:autoSpaceDN/>
        <w:bidi w:val="0"/>
        <w:adjustRightInd/>
        <w:snapToGrid/>
        <w:spacing w:after="0" w:line="360" w:lineRule="auto"/>
        <w:ind w:left="0" w:leftChars="0" w:right="0" w:rightChars="0" w:firstLine="560" w:firstLineChars="200"/>
        <w:jc w:val="left"/>
        <w:textAlignment w:val="baseline"/>
        <w:outlineLvl w:val="9"/>
        <w:rPr>
          <w:rFonts w:hint="eastAsia" w:ascii="宋体" w:hAnsi="宋体" w:eastAsia="宋体" w:cs="宋体"/>
          <w:color w:val="auto"/>
          <w:spacing w:val="0"/>
          <w:sz w:val="28"/>
          <w:szCs w:val="28"/>
          <w:highlight w:val="none"/>
          <w:u w:val="none"/>
          <w:lang w:eastAsia="zh-CN"/>
        </w:rPr>
      </w:pPr>
      <w:r>
        <w:rPr>
          <w:rFonts w:hint="eastAsia" w:ascii="宋体" w:hAnsi="宋体" w:eastAsia="宋体" w:cs="宋体"/>
          <w:color w:val="auto"/>
          <w:spacing w:val="0"/>
          <w:sz w:val="28"/>
          <w:szCs w:val="28"/>
          <w:highlight w:val="none"/>
          <w:u w:val="none"/>
          <w:lang w:eastAsia="zh-CN"/>
        </w:rPr>
        <w:t>2018年5月《工矿用地土壤环境管理办法》中：重点单位应当建立土壤和地下水污染隐患排查治理制度，定期对重点区域、重点设施开展隐患排查。重点单位应当按照相关技术规范要求，自行或者委托第三方定期开展土壤和地下水监测，重点监测存在污染隐患的区域和设施周边的土壤、地下水，并按照规定公开相关信息。</w:t>
      </w:r>
    </w:p>
    <w:p>
      <w:pPr>
        <w:keepNext w:val="0"/>
        <w:keepLines w:val="0"/>
        <w:pageBreakBefore w:val="0"/>
        <w:widowControl/>
        <w:kinsoku/>
        <w:wordWrap/>
        <w:overflowPunct/>
        <w:topLinePunct w:val="0"/>
        <w:autoSpaceDE/>
        <w:autoSpaceDN/>
        <w:bidi w:val="0"/>
        <w:adjustRightInd/>
        <w:snapToGrid/>
        <w:spacing w:after="0" w:line="360" w:lineRule="auto"/>
        <w:ind w:left="0" w:leftChars="0" w:right="0" w:rightChars="0" w:firstLine="560" w:firstLineChars="200"/>
        <w:jc w:val="left"/>
        <w:textAlignment w:val="baseline"/>
        <w:outlineLvl w:val="9"/>
        <w:rPr>
          <w:rFonts w:hint="eastAsia" w:ascii="宋体" w:hAnsi="宋体" w:eastAsia="宋体" w:cs="宋体"/>
          <w:color w:val="auto"/>
          <w:spacing w:val="0"/>
          <w:sz w:val="28"/>
          <w:szCs w:val="28"/>
          <w:highlight w:val="none"/>
          <w:u w:val="none"/>
          <w:lang w:eastAsia="zh-CN"/>
        </w:rPr>
      </w:pPr>
      <w:r>
        <w:rPr>
          <w:rFonts w:hint="eastAsia" w:ascii="宋体" w:hAnsi="宋体" w:eastAsia="宋体" w:cs="宋体"/>
          <w:color w:val="auto"/>
          <w:spacing w:val="0"/>
          <w:sz w:val="28"/>
          <w:szCs w:val="28"/>
          <w:highlight w:val="none"/>
          <w:u w:val="none"/>
          <w:lang w:eastAsia="zh-CN"/>
        </w:rPr>
        <w:t>2019年1月1日起实施的《中华人民共和国土壤污染防治法》第二十一条：土壤污染重点监管单位应当履行下列义务：（一）严格控制有毒有害物质排放，并按年度向生态环境主管部门报告排放情况；（二）建立土壤污染隐患排查制度，保证持续有效防止有毒有害物质渗漏、流失、扬散；（三）制定、实施自行监测方案，并将监测数据报生态环境主管部门。</w:t>
      </w:r>
    </w:p>
    <w:p>
      <w:pPr>
        <w:keepNext w:val="0"/>
        <w:keepLines w:val="0"/>
        <w:pageBreakBefore w:val="0"/>
        <w:widowControl/>
        <w:kinsoku/>
        <w:wordWrap/>
        <w:overflowPunct/>
        <w:topLinePunct w:val="0"/>
        <w:autoSpaceDE/>
        <w:autoSpaceDN/>
        <w:bidi w:val="0"/>
        <w:adjustRightInd/>
        <w:snapToGrid/>
        <w:spacing w:after="0" w:line="360" w:lineRule="auto"/>
        <w:ind w:left="0" w:leftChars="0" w:right="0" w:rightChars="0" w:firstLine="560" w:firstLineChars="200"/>
        <w:jc w:val="left"/>
        <w:textAlignment w:val="baseline"/>
        <w:outlineLvl w:val="9"/>
        <w:rPr>
          <w:rFonts w:hint="eastAsia" w:ascii="宋体" w:hAnsi="宋体" w:eastAsia="宋体" w:cs="宋体"/>
          <w:color w:val="auto"/>
          <w:spacing w:val="0"/>
          <w:sz w:val="28"/>
          <w:szCs w:val="28"/>
          <w:highlight w:val="none"/>
          <w:u w:val="none"/>
          <w:lang w:eastAsia="zh-CN"/>
        </w:rPr>
      </w:pPr>
      <w:r>
        <w:rPr>
          <w:rFonts w:hint="eastAsia" w:ascii="宋体" w:hAnsi="宋体" w:eastAsia="宋体" w:cs="宋体"/>
          <w:color w:val="auto"/>
          <w:spacing w:val="0"/>
          <w:sz w:val="28"/>
          <w:szCs w:val="28"/>
          <w:highlight w:val="none"/>
          <w:u w:val="none"/>
          <w:lang w:eastAsia="zh-CN"/>
        </w:rPr>
        <w:t>2021年11月《工业企业土壤和地下水自行监测技术指南（试行）》（HJ1209-2021）规定了企业土壤和地下水自行监测过程中监测方案制定；样品采集、保存、流转及分析测试；监测结果分析；监测报告编制及监测设施维护的基本内容和要求。指导了土壤环境重点监管企业开展土壤和地下水自行监测工作。</w:t>
      </w:r>
    </w:p>
    <w:p>
      <w:pPr>
        <w:keepNext w:val="0"/>
        <w:keepLines w:val="0"/>
        <w:pageBreakBefore w:val="0"/>
        <w:widowControl/>
        <w:kinsoku/>
        <w:wordWrap/>
        <w:overflowPunct/>
        <w:topLinePunct w:val="0"/>
        <w:autoSpaceDE/>
        <w:autoSpaceDN/>
        <w:bidi w:val="0"/>
        <w:adjustRightInd/>
        <w:snapToGrid/>
        <w:spacing w:after="0" w:line="360" w:lineRule="auto"/>
        <w:ind w:left="0" w:leftChars="0" w:right="0" w:rightChars="0" w:firstLine="560" w:firstLineChars="200"/>
        <w:jc w:val="left"/>
        <w:textAlignment w:val="baseline"/>
        <w:outlineLvl w:val="9"/>
        <w:rPr>
          <w:rFonts w:hint="eastAsia" w:ascii="宋体" w:hAnsi="宋体" w:eastAsia="宋体" w:cs="宋体"/>
          <w:color w:val="auto"/>
          <w:spacing w:val="0"/>
          <w:sz w:val="28"/>
          <w:szCs w:val="28"/>
          <w:highlight w:val="none"/>
          <w:u w:val="none"/>
          <w:lang w:eastAsia="zh-CN"/>
        </w:rPr>
      </w:pPr>
      <w:r>
        <w:rPr>
          <w:rFonts w:hint="eastAsia" w:ascii="宋体" w:hAnsi="宋体" w:eastAsia="宋体" w:cs="宋体"/>
          <w:color w:val="auto"/>
          <w:spacing w:val="0"/>
          <w:sz w:val="28"/>
          <w:szCs w:val="28"/>
          <w:highlight w:val="none"/>
          <w:u w:val="none"/>
          <w:lang w:eastAsia="zh-CN"/>
        </w:rPr>
        <w:t>根据《关于更新2023年土壤、地下水环境重点监管单位名录的公示》</w:t>
      </w:r>
      <w:r>
        <w:rPr>
          <w:rFonts w:hint="eastAsia" w:ascii="宋体" w:hAnsi="宋体" w:eastAsia="宋体" w:cs="宋体"/>
          <w:color w:val="auto"/>
          <w:spacing w:val="0"/>
          <w:sz w:val="28"/>
          <w:szCs w:val="28"/>
          <w:highlight w:val="none"/>
          <w:u w:val="none"/>
          <w:lang w:val="en-US" w:eastAsia="zh-CN"/>
        </w:rPr>
        <w:t>和</w:t>
      </w:r>
      <w:r>
        <w:rPr>
          <w:rFonts w:hint="eastAsia" w:ascii="宋体" w:hAnsi="宋体" w:eastAsia="宋体" w:cs="宋体"/>
          <w:color w:val="auto"/>
          <w:spacing w:val="0"/>
          <w:sz w:val="28"/>
          <w:szCs w:val="28"/>
          <w:highlight w:val="none"/>
          <w:u w:val="none"/>
          <w:lang w:eastAsia="zh-CN"/>
        </w:rPr>
        <w:t>《三门峡市生态环境局</w:t>
      </w:r>
      <w:r>
        <w:rPr>
          <w:rFonts w:hint="eastAsia" w:ascii="宋体" w:hAnsi="宋体" w:eastAsia="宋体" w:cs="宋体"/>
          <w:color w:val="auto"/>
          <w:spacing w:val="0"/>
          <w:sz w:val="28"/>
          <w:szCs w:val="28"/>
          <w:highlight w:val="none"/>
          <w:u w:val="none"/>
          <w:lang w:val="en-US" w:eastAsia="zh-CN"/>
        </w:rPr>
        <w:t>第二分局</w:t>
      </w:r>
      <w:r>
        <w:rPr>
          <w:rFonts w:hint="eastAsia" w:ascii="宋体" w:hAnsi="宋体" w:eastAsia="宋体" w:cs="宋体"/>
          <w:color w:val="auto"/>
          <w:spacing w:val="0"/>
          <w:sz w:val="28"/>
          <w:szCs w:val="28"/>
          <w:highlight w:val="none"/>
          <w:u w:val="none"/>
          <w:lang w:eastAsia="zh-CN"/>
        </w:rPr>
        <w:t>关于土壤污染重点监管单位</w:t>
      </w:r>
      <w:r>
        <w:rPr>
          <w:rFonts w:hint="eastAsia" w:ascii="宋体" w:hAnsi="宋体" w:eastAsia="宋体" w:cs="宋体"/>
          <w:color w:val="auto"/>
          <w:spacing w:val="0"/>
          <w:sz w:val="28"/>
          <w:szCs w:val="28"/>
          <w:highlight w:val="none"/>
          <w:u w:val="none"/>
          <w:lang w:val="en-US" w:eastAsia="zh-CN"/>
        </w:rPr>
        <w:t>切实履行土壤污染防治相关义务</w:t>
      </w:r>
      <w:r>
        <w:rPr>
          <w:rFonts w:hint="eastAsia" w:ascii="宋体" w:hAnsi="宋体" w:eastAsia="宋体" w:cs="宋体"/>
          <w:color w:val="auto"/>
          <w:spacing w:val="0"/>
          <w:sz w:val="28"/>
          <w:szCs w:val="28"/>
          <w:highlight w:val="none"/>
          <w:u w:val="none"/>
          <w:lang w:eastAsia="zh-CN"/>
        </w:rPr>
        <w:t>的通知》</w:t>
      </w:r>
      <w:r>
        <w:rPr>
          <w:rFonts w:hint="eastAsia" w:ascii="宋体" w:hAnsi="宋体" w:eastAsia="宋体" w:cs="宋体"/>
          <w:color w:val="auto"/>
          <w:spacing w:val="0"/>
          <w:sz w:val="28"/>
          <w:szCs w:val="28"/>
          <w:highlight w:val="none"/>
          <w:u w:val="none"/>
          <w:lang w:val="en-US" w:eastAsia="zh-CN"/>
        </w:rPr>
        <w:t>等</w:t>
      </w:r>
      <w:r>
        <w:rPr>
          <w:rFonts w:hint="eastAsia" w:ascii="宋体" w:hAnsi="宋体" w:eastAsia="宋体" w:cs="宋体"/>
          <w:color w:val="auto"/>
          <w:spacing w:val="0"/>
          <w:sz w:val="28"/>
          <w:szCs w:val="28"/>
          <w:highlight w:val="none"/>
          <w:u w:val="none"/>
          <w:lang w:eastAsia="zh-CN"/>
        </w:rPr>
        <w:t>文件要求，三门峡新鑫源科技有限公司被列入</w:t>
      </w:r>
      <w:r>
        <w:rPr>
          <w:rFonts w:hint="eastAsia" w:ascii="宋体" w:hAnsi="宋体" w:eastAsia="宋体" w:cs="宋体"/>
          <w:color w:val="auto"/>
          <w:spacing w:val="0"/>
          <w:sz w:val="28"/>
          <w:szCs w:val="28"/>
          <w:highlight w:val="none"/>
          <w:u w:val="none"/>
          <w:lang w:val="en-US" w:eastAsia="zh-Hans"/>
        </w:rPr>
        <w:t>三门峡市</w:t>
      </w:r>
      <w:r>
        <w:rPr>
          <w:rFonts w:hint="eastAsia" w:ascii="宋体" w:hAnsi="宋体" w:eastAsia="宋体" w:cs="宋体"/>
          <w:color w:val="auto"/>
          <w:spacing w:val="0"/>
          <w:sz w:val="28"/>
          <w:szCs w:val="28"/>
          <w:highlight w:val="none"/>
          <w:u w:val="none"/>
          <w:lang w:eastAsia="zh-CN"/>
        </w:rPr>
        <w:t>20</w:t>
      </w:r>
      <w:r>
        <w:rPr>
          <w:rFonts w:hint="eastAsia" w:ascii="宋体" w:hAnsi="宋体" w:eastAsia="宋体" w:cs="宋体"/>
          <w:color w:val="auto"/>
          <w:spacing w:val="0"/>
          <w:sz w:val="28"/>
          <w:szCs w:val="28"/>
          <w:highlight w:val="none"/>
          <w:u w:val="none"/>
          <w:lang w:val="en-US" w:eastAsia="zh-CN"/>
        </w:rPr>
        <w:t>23</w:t>
      </w:r>
      <w:r>
        <w:rPr>
          <w:rFonts w:hint="eastAsia" w:ascii="宋体" w:hAnsi="宋体" w:eastAsia="宋体" w:cs="宋体"/>
          <w:color w:val="auto"/>
          <w:spacing w:val="0"/>
          <w:sz w:val="28"/>
          <w:szCs w:val="28"/>
          <w:highlight w:val="none"/>
          <w:u w:val="none"/>
          <w:lang w:eastAsia="zh-CN"/>
        </w:rPr>
        <w:t>年土壤污染重点监管单位名录。</w:t>
      </w:r>
    </w:p>
    <w:p>
      <w:pPr>
        <w:keepNext w:val="0"/>
        <w:keepLines w:val="0"/>
        <w:pageBreakBefore w:val="0"/>
        <w:widowControl/>
        <w:kinsoku/>
        <w:wordWrap/>
        <w:overflowPunct/>
        <w:topLinePunct w:val="0"/>
        <w:autoSpaceDE/>
        <w:autoSpaceDN/>
        <w:bidi w:val="0"/>
        <w:adjustRightInd/>
        <w:snapToGrid/>
        <w:spacing w:after="0" w:line="360" w:lineRule="auto"/>
        <w:ind w:left="0" w:leftChars="0" w:right="0" w:rightChars="0" w:firstLine="560" w:firstLineChars="200"/>
        <w:jc w:val="left"/>
        <w:textAlignment w:val="baseline"/>
        <w:outlineLvl w:val="9"/>
        <w:rPr>
          <w:rFonts w:hint="eastAsia" w:ascii="宋体" w:hAnsi="宋体" w:eastAsia="宋体" w:cs="宋体"/>
          <w:color w:val="auto"/>
          <w:spacing w:val="0"/>
          <w:sz w:val="28"/>
          <w:szCs w:val="28"/>
          <w:highlight w:val="none"/>
          <w:u w:val="none"/>
          <w:lang w:eastAsia="zh-CN"/>
        </w:rPr>
      </w:pPr>
      <w:r>
        <w:rPr>
          <w:rFonts w:hint="eastAsia" w:ascii="宋体" w:hAnsi="宋体" w:eastAsia="宋体" w:cs="宋体"/>
          <w:color w:val="auto"/>
          <w:spacing w:val="0"/>
          <w:sz w:val="28"/>
          <w:szCs w:val="28"/>
          <w:highlight w:val="none"/>
          <w:u w:val="none"/>
          <w:lang w:eastAsia="zh-CN"/>
        </w:rPr>
        <w:t>为完成土壤污染防治工作，洛阳市达峰环境检测有限公司提供技术支持，与三门峡新鑫源科技有限公司共同开展企业年度土壤和地下水自行监测工作。经过技术人员到现场对企业现状及周边情况进行了详细调查，收集相关资料，依据《在产企业土壤和地下水自行监测技术指南》及有关标准，结合企业实践，编制了《三门峡新鑫源科技有限公司土壤和地下水自行监测方案》。</w:t>
      </w:r>
    </w:p>
    <w:p>
      <w:pPr>
        <w:keepNext w:val="0"/>
        <w:keepLines w:val="0"/>
        <w:pageBreakBefore w:val="0"/>
        <w:widowControl/>
        <w:kinsoku/>
        <w:wordWrap/>
        <w:overflowPunct/>
        <w:topLinePunct w:val="0"/>
        <w:autoSpaceDE/>
        <w:autoSpaceDN/>
        <w:bidi w:val="0"/>
        <w:adjustRightInd/>
        <w:snapToGrid/>
        <w:spacing w:after="0" w:line="360" w:lineRule="auto"/>
        <w:ind w:left="0" w:leftChars="0" w:right="0" w:rightChars="0" w:firstLine="560" w:firstLineChars="200"/>
        <w:jc w:val="left"/>
        <w:textAlignment w:val="baseline"/>
        <w:outlineLvl w:val="9"/>
        <w:rPr>
          <w:rFonts w:hint="eastAsia" w:ascii="宋体" w:hAnsi="宋体" w:eastAsia="宋体" w:cs="宋体"/>
          <w:color w:val="auto"/>
          <w:spacing w:val="0"/>
          <w:sz w:val="28"/>
          <w:szCs w:val="28"/>
          <w:highlight w:val="none"/>
          <w:u w:val="none"/>
          <w:lang w:val="en-US" w:eastAsia="zh-CN"/>
        </w:rPr>
      </w:pPr>
      <w:r>
        <w:rPr>
          <w:rFonts w:hint="eastAsia" w:ascii="宋体" w:hAnsi="宋体" w:eastAsia="宋体" w:cs="宋体"/>
          <w:color w:val="auto"/>
          <w:spacing w:val="0"/>
          <w:sz w:val="28"/>
          <w:szCs w:val="28"/>
          <w:highlight w:val="none"/>
          <w:u w:val="none"/>
          <w:lang w:eastAsia="zh-CN"/>
        </w:rPr>
        <w:t>结合资料收集、现场勘查、人员访谈和重点区域及重点设施识别等</w:t>
      </w:r>
      <w:r>
        <w:rPr>
          <w:rFonts w:hint="eastAsia" w:ascii="宋体" w:hAnsi="宋体" w:eastAsia="宋体" w:cs="宋体"/>
          <w:color w:val="auto"/>
          <w:spacing w:val="0"/>
          <w:sz w:val="28"/>
          <w:szCs w:val="28"/>
          <w:highlight w:val="none"/>
          <w:u w:val="none"/>
          <w:lang w:val="en-US" w:eastAsia="zh-CN"/>
        </w:rPr>
        <w:t>工作，重点排查对象为三门峡新鑫源科技有限公司可能涉及土壤和地下水污染的工业活动或设施，依据国家相关政策、标准、导则等要求，结合企业性质和特征污染物，制定了《三门峡新鑫源科技有限公司土壤和地下水监测方案》。</w:t>
      </w:r>
    </w:p>
    <w:p>
      <w:pPr>
        <w:keepNext w:val="0"/>
        <w:keepLines w:val="0"/>
        <w:pageBreakBefore w:val="0"/>
        <w:widowControl/>
        <w:kinsoku/>
        <w:wordWrap/>
        <w:overflowPunct/>
        <w:topLinePunct w:val="0"/>
        <w:autoSpaceDE/>
        <w:autoSpaceDN/>
        <w:bidi w:val="0"/>
        <w:adjustRightInd/>
        <w:snapToGrid/>
        <w:spacing w:after="0" w:line="360" w:lineRule="auto"/>
        <w:ind w:left="0" w:leftChars="0" w:right="0" w:rightChars="0" w:firstLine="560" w:firstLineChars="200"/>
        <w:jc w:val="left"/>
        <w:textAlignment w:val="baseline"/>
        <w:outlineLvl w:val="9"/>
        <w:rPr>
          <w:rFonts w:hint="eastAsia" w:ascii="宋体" w:hAnsi="宋体" w:eastAsia="宋体" w:cs="宋体"/>
          <w:color w:val="auto"/>
          <w:spacing w:val="0"/>
          <w:sz w:val="28"/>
          <w:szCs w:val="28"/>
          <w:highlight w:val="none"/>
          <w:u w:val="none"/>
          <w:lang w:val="en-US" w:eastAsia="zh-CN"/>
        </w:rPr>
      </w:pPr>
      <w:r>
        <w:rPr>
          <w:rFonts w:hint="eastAsia" w:ascii="宋体" w:hAnsi="宋体" w:eastAsia="宋体" w:cs="宋体"/>
          <w:color w:val="auto"/>
          <w:spacing w:val="0"/>
          <w:sz w:val="28"/>
          <w:szCs w:val="28"/>
          <w:highlight w:val="none"/>
          <w:u w:val="none"/>
          <w:lang w:val="en-US" w:eastAsia="zh-CN"/>
        </w:rPr>
        <w:t>本次地下水调查范围包括厂区地下水井和园区地下水井（2个地下水监测点位）；本次土壤调查范围包括但不限于：LNG储罐区及循环水池、消防水池、污水处理站及事故池、厌氧IC塔、综合车间及应急池、4-甲基二苯胺、固废、危废暂存间、1-4酸钠盐、尼文酸车间、1#2#仓库、甲酸乙酯车间、仓库及应急池、乙醇甲酸地埋罐、溴化氢车间（乙酸溶液）、二氯甲烷、双氧水、溴素储罐区、锅炉房缓冲池、冰醋酸储罐、酸碱储罐区、尼文酸应急池、4#仓库（甲苯、氯苯）、固废前处理车间、四溴应急池及缓冲池等为重点区域，土壤9个监测点位（其中8个监控点，1个背景点）。</w:t>
      </w:r>
    </w:p>
    <w:p>
      <w:pPr>
        <w:keepNext w:val="0"/>
        <w:keepLines w:val="0"/>
        <w:pageBreakBefore w:val="0"/>
        <w:widowControl/>
        <w:kinsoku/>
        <w:wordWrap/>
        <w:overflowPunct/>
        <w:topLinePunct w:val="0"/>
        <w:autoSpaceDE/>
        <w:autoSpaceDN/>
        <w:bidi w:val="0"/>
        <w:adjustRightInd/>
        <w:snapToGrid/>
        <w:spacing w:after="0" w:line="360" w:lineRule="auto"/>
        <w:ind w:left="0" w:leftChars="0" w:right="0" w:rightChars="0" w:firstLine="560" w:firstLineChars="200"/>
        <w:jc w:val="left"/>
        <w:textAlignment w:val="baseline"/>
        <w:outlineLvl w:val="9"/>
        <w:rPr>
          <w:rFonts w:hint="eastAsia" w:ascii="宋体" w:hAnsi="宋体" w:eastAsia="宋体" w:cs="宋体"/>
          <w:color w:val="auto"/>
          <w:kern w:val="0"/>
          <w:sz w:val="28"/>
          <w:szCs w:val="28"/>
          <w:highlight w:val="none"/>
          <w:lang w:val="en-US" w:eastAsia="zh-CN" w:bidi="ar"/>
        </w:rPr>
      </w:pPr>
      <w:bookmarkStart w:id="22" w:name="_Toc22163"/>
      <w:bookmarkStart w:id="23" w:name="_Toc53736316"/>
      <w:bookmarkStart w:id="24" w:name="_Toc15642"/>
      <w:bookmarkStart w:id="25" w:name="_Toc20608"/>
      <w:bookmarkStart w:id="26" w:name="_Toc10378"/>
      <w:bookmarkStart w:id="27" w:name="_Toc25635_WPSOffice_Level1"/>
      <w:bookmarkStart w:id="28" w:name="_Toc26300"/>
      <w:bookmarkStart w:id="29" w:name="_Toc758"/>
      <w:bookmarkStart w:id="30" w:name="_Toc26004756"/>
      <w:bookmarkStart w:id="31" w:name="_Toc15774"/>
      <w:bookmarkStart w:id="32" w:name="_Toc7590"/>
      <w:bookmarkStart w:id="33" w:name="_Toc9357"/>
      <w:bookmarkStart w:id="34" w:name="_Toc17769"/>
      <w:bookmarkStart w:id="35" w:name="_Toc22199821"/>
      <w:bookmarkStart w:id="36" w:name="_Toc22773_WPSOffice_Level2"/>
      <w:bookmarkStart w:id="37" w:name="_Toc16632"/>
      <w:r>
        <w:rPr>
          <w:rFonts w:hint="eastAsia" w:ascii="宋体" w:hAnsi="宋体" w:eastAsia="宋体" w:cs="宋体"/>
          <w:color w:val="auto"/>
          <w:spacing w:val="0"/>
          <w:sz w:val="28"/>
          <w:szCs w:val="28"/>
          <w:highlight w:val="none"/>
          <w:u w:val="none"/>
          <w:lang w:val="en-US" w:eastAsia="zh-CN"/>
        </w:rPr>
        <w:t>2023年6月18日-6月25日，公司委托洛阳市达峰环境检测有限公司对厂区地下水、园区地下水和厂区土壤开展监测。根据2023年6月25日出具的《三门峡新鑫源科技有限公司土壤及地下水检测报告》（编号：DFJC-010-06-2023），报告中结合企业厂区生产设施分布和生产工艺等实际情况，确定布点位置及数量11个，其中土壤监测点9个，地下水监测点2个。根据自行监测方案及现场实际、现场采样情况及土壤样品监测数据情况，编制了本自行监测报告。</w:t>
      </w:r>
    </w:p>
    <w:p>
      <w:pPr>
        <w:pStyle w:val="8"/>
        <w:outlineLvl w:val="1"/>
        <w:rPr>
          <w:rFonts w:hint="eastAsia" w:ascii="宋体" w:hAnsi="宋体" w:eastAsia="宋体" w:cs="宋体"/>
          <w:color w:val="auto"/>
          <w:highlight w:val="none"/>
        </w:rPr>
      </w:pPr>
      <w:bookmarkStart w:id="38" w:name="_Toc7866"/>
      <w:r>
        <w:rPr>
          <w:rFonts w:hint="eastAsia" w:ascii="宋体" w:hAnsi="宋体" w:eastAsia="宋体" w:cs="宋体"/>
          <w:color w:val="auto"/>
          <w:highlight w:val="none"/>
        </w:rPr>
        <w:t>1.2</w:t>
      </w:r>
      <w:bookmarkEnd w:id="22"/>
      <w:bookmarkEnd w:id="23"/>
      <w:bookmarkEnd w:id="24"/>
      <w:bookmarkEnd w:id="25"/>
      <w:bookmarkEnd w:id="26"/>
      <w:bookmarkEnd w:id="27"/>
      <w:bookmarkEnd w:id="28"/>
      <w:bookmarkEnd w:id="29"/>
      <w:bookmarkEnd w:id="30"/>
      <w:bookmarkEnd w:id="31"/>
      <w:bookmarkEnd w:id="32"/>
      <w:bookmarkEnd w:id="33"/>
      <w:bookmarkEnd w:id="34"/>
      <w:bookmarkEnd w:id="35"/>
      <w:r>
        <w:rPr>
          <w:rFonts w:hint="eastAsia" w:ascii="宋体" w:hAnsi="宋体" w:eastAsia="宋体" w:cs="宋体"/>
          <w:color w:val="auto"/>
          <w:highlight w:val="none"/>
          <w:lang w:eastAsia="zh-CN"/>
        </w:rPr>
        <w:t>工作</w:t>
      </w:r>
      <w:r>
        <w:rPr>
          <w:rFonts w:hint="eastAsia" w:ascii="宋体" w:hAnsi="宋体" w:eastAsia="宋体" w:cs="宋体"/>
          <w:color w:val="auto"/>
          <w:highlight w:val="none"/>
        </w:rPr>
        <w:t>依据</w:t>
      </w:r>
      <w:bookmarkEnd w:id="38"/>
    </w:p>
    <w:p>
      <w:pPr>
        <w:pageBreakBefore w:val="0"/>
        <w:widowControl/>
        <w:kinsoku/>
        <w:wordWrap/>
        <w:overflowPunct/>
        <w:topLinePunct w:val="0"/>
        <w:autoSpaceDE/>
        <w:autoSpaceDN/>
        <w:bidi w:val="0"/>
        <w:spacing w:line="360" w:lineRule="auto"/>
        <w:ind w:right="0"/>
        <w:textAlignment w:val="auto"/>
        <w:outlineLvl w:val="2"/>
        <w:rPr>
          <w:rFonts w:hint="eastAsia" w:ascii="宋体" w:hAnsi="宋体" w:eastAsia="宋体" w:cs="宋体"/>
          <w:color w:val="auto"/>
          <w:sz w:val="28"/>
          <w:szCs w:val="28"/>
          <w:highlight w:val="none"/>
          <w:u w:val="none"/>
        </w:rPr>
      </w:pPr>
      <w:r>
        <w:rPr>
          <w:rFonts w:hint="eastAsia" w:ascii="宋体" w:hAnsi="宋体" w:eastAsia="宋体" w:cs="宋体"/>
          <w:color w:val="auto"/>
          <w:sz w:val="28"/>
          <w:szCs w:val="28"/>
          <w:highlight w:val="none"/>
          <w:u w:val="none"/>
        </w:rPr>
        <w:t>1.</w:t>
      </w:r>
      <w:r>
        <w:rPr>
          <w:rFonts w:hint="eastAsia" w:ascii="宋体" w:hAnsi="宋体" w:eastAsia="宋体" w:cs="宋体"/>
          <w:color w:val="auto"/>
          <w:sz w:val="28"/>
          <w:szCs w:val="28"/>
          <w:highlight w:val="none"/>
          <w:u w:val="none"/>
          <w:lang w:val="en-US" w:eastAsia="zh-CN"/>
        </w:rPr>
        <w:t>2</w:t>
      </w:r>
      <w:r>
        <w:rPr>
          <w:rFonts w:hint="eastAsia" w:ascii="宋体" w:hAnsi="宋体" w:eastAsia="宋体" w:cs="宋体"/>
          <w:color w:val="auto"/>
          <w:sz w:val="28"/>
          <w:szCs w:val="28"/>
          <w:highlight w:val="none"/>
          <w:u w:val="none"/>
        </w:rPr>
        <w:t>.1法律、法规、</w:t>
      </w:r>
      <w:bookmarkStart w:id="39" w:name="_Toc27394_WPSOffice_Level1"/>
      <w:r>
        <w:rPr>
          <w:rFonts w:hint="eastAsia" w:ascii="宋体" w:hAnsi="宋体" w:eastAsia="宋体" w:cs="宋体"/>
          <w:color w:val="auto"/>
          <w:sz w:val="28"/>
          <w:szCs w:val="28"/>
          <w:highlight w:val="none"/>
          <w:u w:val="none"/>
        </w:rPr>
        <w:t>政策</w:t>
      </w:r>
    </w:p>
    <w:bookmarkEnd w:id="39"/>
    <w:p>
      <w:pPr>
        <w:pageBreakBefore w:val="0"/>
        <w:widowControl/>
        <w:kinsoku/>
        <w:wordWrap/>
        <w:overflowPunct/>
        <w:topLinePunct w:val="0"/>
        <w:autoSpaceDE/>
        <w:autoSpaceDN/>
        <w:bidi w:val="0"/>
        <w:spacing w:line="360" w:lineRule="auto"/>
        <w:ind w:left="0" w:leftChars="0" w:right="0" w:firstLine="560" w:firstLineChars="200"/>
        <w:textAlignment w:val="auto"/>
        <w:rPr>
          <w:rFonts w:hint="eastAsia" w:ascii="宋体" w:hAnsi="宋体" w:eastAsia="宋体" w:cs="宋体"/>
          <w:color w:val="auto"/>
          <w:sz w:val="28"/>
          <w:szCs w:val="28"/>
          <w:highlight w:val="none"/>
          <w:u w:val="none"/>
        </w:rPr>
      </w:pPr>
      <w:r>
        <w:rPr>
          <w:rFonts w:hint="eastAsia" w:ascii="宋体" w:hAnsi="宋体" w:eastAsia="宋体" w:cs="宋体"/>
          <w:color w:val="auto"/>
          <w:sz w:val="28"/>
          <w:szCs w:val="28"/>
          <w:highlight w:val="none"/>
          <w:u w:val="none"/>
        </w:rPr>
        <w:t>（1）《中华人民共和国环境保护法》（2014.4.24）</w:t>
      </w:r>
    </w:p>
    <w:p>
      <w:pPr>
        <w:pageBreakBefore w:val="0"/>
        <w:widowControl/>
        <w:kinsoku/>
        <w:wordWrap/>
        <w:overflowPunct/>
        <w:topLinePunct w:val="0"/>
        <w:autoSpaceDE/>
        <w:autoSpaceDN/>
        <w:bidi w:val="0"/>
        <w:spacing w:line="360" w:lineRule="auto"/>
        <w:ind w:left="0" w:leftChars="0" w:right="0" w:firstLine="560" w:firstLineChars="200"/>
        <w:textAlignment w:val="auto"/>
        <w:rPr>
          <w:rFonts w:hint="eastAsia" w:ascii="宋体" w:hAnsi="宋体" w:eastAsia="宋体" w:cs="宋体"/>
          <w:color w:val="auto"/>
          <w:sz w:val="28"/>
          <w:szCs w:val="28"/>
          <w:highlight w:val="none"/>
          <w:u w:val="none"/>
        </w:rPr>
      </w:pPr>
      <w:r>
        <w:rPr>
          <w:rFonts w:hint="eastAsia" w:ascii="宋体" w:hAnsi="宋体" w:eastAsia="宋体" w:cs="宋体"/>
          <w:color w:val="auto"/>
          <w:sz w:val="28"/>
          <w:szCs w:val="28"/>
          <w:highlight w:val="none"/>
          <w:u w:val="none"/>
        </w:rPr>
        <w:t>（</w:t>
      </w:r>
      <w:r>
        <w:rPr>
          <w:rFonts w:hint="eastAsia" w:ascii="宋体" w:hAnsi="宋体" w:eastAsia="宋体" w:cs="宋体"/>
          <w:color w:val="auto"/>
          <w:sz w:val="28"/>
          <w:szCs w:val="28"/>
          <w:highlight w:val="none"/>
          <w:u w:val="none"/>
          <w:lang w:val="en-US" w:eastAsia="zh-CN"/>
        </w:rPr>
        <w:t>2</w:t>
      </w:r>
      <w:r>
        <w:rPr>
          <w:rFonts w:hint="eastAsia" w:ascii="宋体" w:hAnsi="宋体" w:eastAsia="宋体" w:cs="宋体"/>
          <w:color w:val="auto"/>
          <w:sz w:val="28"/>
          <w:szCs w:val="28"/>
          <w:highlight w:val="none"/>
          <w:u w:val="none"/>
        </w:rPr>
        <w:t>）《中华人民共和国水污染防治法》（2017.6.27）</w:t>
      </w:r>
    </w:p>
    <w:p>
      <w:pPr>
        <w:keepNext w:val="0"/>
        <w:keepLines w:val="0"/>
        <w:pageBreakBefore w:val="0"/>
        <w:widowControl/>
        <w:kinsoku/>
        <w:wordWrap/>
        <w:overflowPunct/>
        <w:topLinePunct w:val="0"/>
        <w:autoSpaceDE/>
        <w:autoSpaceDN/>
        <w:bidi w:val="0"/>
        <w:adjustRightInd/>
        <w:snapToGrid/>
        <w:spacing w:line="360" w:lineRule="auto"/>
        <w:ind w:right="0" w:firstLine="560" w:firstLineChars="200"/>
        <w:textAlignment w:val="auto"/>
        <w:rPr>
          <w:rFonts w:hint="eastAsia" w:ascii="宋体" w:hAnsi="宋体" w:eastAsia="宋体" w:cs="宋体"/>
          <w:color w:val="auto"/>
          <w:sz w:val="28"/>
          <w:szCs w:val="28"/>
          <w:highlight w:val="none"/>
          <w:u w:val="none"/>
        </w:rPr>
      </w:pPr>
      <w:r>
        <w:rPr>
          <w:rFonts w:hint="eastAsia" w:ascii="宋体" w:hAnsi="宋体" w:eastAsia="宋体" w:cs="宋体"/>
          <w:color w:val="auto"/>
          <w:sz w:val="28"/>
          <w:szCs w:val="28"/>
          <w:highlight w:val="none"/>
          <w:u w:val="none"/>
        </w:rPr>
        <w:t>（</w:t>
      </w:r>
      <w:r>
        <w:rPr>
          <w:rFonts w:hint="eastAsia" w:ascii="宋体" w:hAnsi="宋体" w:eastAsia="宋体" w:cs="宋体"/>
          <w:color w:val="auto"/>
          <w:sz w:val="28"/>
          <w:szCs w:val="28"/>
          <w:highlight w:val="none"/>
          <w:u w:val="none"/>
          <w:lang w:val="en-US" w:eastAsia="zh-CN"/>
        </w:rPr>
        <w:t>3</w:t>
      </w:r>
      <w:r>
        <w:rPr>
          <w:rFonts w:hint="eastAsia" w:ascii="宋体" w:hAnsi="宋体" w:eastAsia="宋体" w:cs="宋体"/>
          <w:color w:val="auto"/>
          <w:sz w:val="28"/>
          <w:szCs w:val="28"/>
          <w:highlight w:val="none"/>
          <w:u w:val="none"/>
        </w:rPr>
        <w:t>）《中华人民共和国土壤污染防治法》（2019.1.1）</w:t>
      </w:r>
    </w:p>
    <w:p>
      <w:pPr>
        <w:keepNext w:val="0"/>
        <w:keepLines w:val="0"/>
        <w:pageBreakBefore w:val="0"/>
        <w:widowControl/>
        <w:kinsoku/>
        <w:wordWrap/>
        <w:overflowPunct/>
        <w:topLinePunct w:val="0"/>
        <w:autoSpaceDE/>
        <w:autoSpaceDN/>
        <w:bidi w:val="0"/>
        <w:adjustRightInd/>
        <w:snapToGrid/>
        <w:spacing w:line="360" w:lineRule="auto"/>
        <w:ind w:right="0" w:firstLine="560" w:firstLineChars="200"/>
        <w:textAlignment w:val="auto"/>
        <w:rPr>
          <w:rFonts w:hint="eastAsia" w:ascii="宋体" w:hAnsi="宋体" w:eastAsia="宋体" w:cs="宋体"/>
          <w:color w:val="auto"/>
          <w:sz w:val="28"/>
          <w:szCs w:val="28"/>
          <w:highlight w:val="none"/>
          <w:u w:val="none"/>
          <w:lang w:val="en-US" w:eastAsia="zh-CN"/>
        </w:rPr>
      </w:pPr>
      <w:r>
        <w:rPr>
          <w:rFonts w:hint="eastAsia" w:ascii="宋体" w:hAnsi="宋体" w:eastAsia="宋体" w:cs="宋体"/>
          <w:color w:val="auto"/>
          <w:sz w:val="28"/>
          <w:szCs w:val="28"/>
          <w:highlight w:val="none"/>
          <w:u w:val="none"/>
        </w:rPr>
        <w:t>（</w:t>
      </w:r>
      <w:r>
        <w:rPr>
          <w:rFonts w:hint="eastAsia" w:ascii="宋体" w:hAnsi="宋体" w:eastAsia="宋体" w:cs="宋体"/>
          <w:color w:val="auto"/>
          <w:sz w:val="28"/>
          <w:szCs w:val="28"/>
          <w:highlight w:val="none"/>
          <w:u w:val="none"/>
          <w:lang w:val="en-US" w:eastAsia="zh-CN"/>
        </w:rPr>
        <w:t>4</w:t>
      </w:r>
      <w:r>
        <w:rPr>
          <w:rFonts w:hint="eastAsia" w:ascii="宋体" w:hAnsi="宋体" w:eastAsia="宋体" w:cs="宋体"/>
          <w:color w:val="auto"/>
          <w:sz w:val="28"/>
          <w:szCs w:val="28"/>
          <w:highlight w:val="none"/>
          <w:u w:val="none"/>
        </w:rPr>
        <w:t>）《建设项目环境保护管理条例》（国务院令第682号）</w:t>
      </w:r>
      <w:r>
        <w:rPr>
          <w:rFonts w:hint="eastAsia" w:ascii="宋体" w:hAnsi="宋体" w:eastAsia="宋体" w:cs="宋体"/>
          <w:color w:val="auto"/>
          <w:sz w:val="28"/>
          <w:szCs w:val="28"/>
          <w:highlight w:val="none"/>
          <w:u w:val="none"/>
          <w:lang w:val="en-US" w:eastAsia="zh-CN"/>
        </w:rPr>
        <w:t>。</w:t>
      </w:r>
    </w:p>
    <w:p>
      <w:pPr>
        <w:pageBreakBefore w:val="0"/>
        <w:widowControl/>
        <w:kinsoku/>
        <w:wordWrap/>
        <w:overflowPunct/>
        <w:topLinePunct w:val="0"/>
        <w:autoSpaceDE/>
        <w:autoSpaceDN/>
        <w:bidi w:val="0"/>
        <w:spacing w:line="360" w:lineRule="auto"/>
        <w:ind w:right="0"/>
        <w:textAlignment w:val="auto"/>
        <w:outlineLvl w:val="2"/>
        <w:rPr>
          <w:rFonts w:hint="eastAsia" w:ascii="宋体" w:hAnsi="宋体" w:eastAsia="宋体" w:cs="宋体"/>
          <w:color w:val="auto"/>
          <w:sz w:val="28"/>
          <w:szCs w:val="28"/>
          <w:highlight w:val="none"/>
          <w:u w:val="none"/>
        </w:rPr>
      </w:pPr>
      <w:r>
        <w:rPr>
          <w:rFonts w:hint="eastAsia" w:ascii="宋体" w:hAnsi="宋体" w:eastAsia="宋体" w:cs="宋体"/>
          <w:color w:val="auto"/>
          <w:sz w:val="28"/>
          <w:szCs w:val="28"/>
          <w:highlight w:val="none"/>
          <w:u w:val="none"/>
        </w:rPr>
        <w:t>1.2.2部门规章及相关规范性文件</w:t>
      </w:r>
    </w:p>
    <w:bookmarkEnd w:id="36"/>
    <w:bookmarkEnd w:id="37"/>
    <w:p>
      <w:pPr>
        <w:pageBreakBefore w:val="0"/>
        <w:widowControl/>
        <w:kinsoku/>
        <w:wordWrap/>
        <w:overflowPunct/>
        <w:topLinePunct w:val="0"/>
        <w:autoSpaceDE/>
        <w:autoSpaceDN/>
        <w:bidi w:val="0"/>
        <w:spacing w:line="360" w:lineRule="auto"/>
        <w:ind w:left="0" w:leftChars="0" w:right="0" w:firstLine="560" w:firstLineChars="200"/>
        <w:textAlignment w:val="auto"/>
        <w:rPr>
          <w:rFonts w:hint="eastAsia" w:ascii="宋体" w:hAnsi="宋体" w:eastAsia="宋体" w:cs="宋体"/>
          <w:color w:val="auto"/>
          <w:sz w:val="28"/>
          <w:szCs w:val="28"/>
          <w:highlight w:val="none"/>
          <w:u w:val="none"/>
        </w:rPr>
      </w:pPr>
      <w:bookmarkStart w:id="40" w:name="_Toc22210"/>
      <w:r>
        <w:rPr>
          <w:rFonts w:hint="eastAsia" w:ascii="宋体" w:hAnsi="宋体" w:eastAsia="宋体" w:cs="宋体"/>
          <w:color w:val="auto"/>
          <w:sz w:val="28"/>
          <w:szCs w:val="28"/>
          <w:highlight w:val="none"/>
          <w:u w:val="none"/>
        </w:rPr>
        <w:t>（1）《全国生态环境保护纲要》（国发〔2000〕38号），2000年12月21日；</w:t>
      </w:r>
    </w:p>
    <w:p>
      <w:pPr>
        <w:pageBreakBefore w:val="0"/>
        <w:widowControl/>
        <w:kinsoku/>
        <w:wordWrap/>
        <w:overflowPunct/>
        <w:topLinePunct w:val="0"/>
        <w:autoSpaceDE/>
        <w:autoSpaceDN/>
        <w:bidi w:val="0"/>
        <w:spacing w:line="360" w:lineRule="auto"/>
        <w:ind w:left="0" w:leftChars="0" w:right="0" w:firstLine="560" w:firstLineChars="200"/>
        <w:textAlignment w:val="auto"/>
        <w:rPr>
          <w:rFonts w:hint="eastAsia" w:ascii="宋体" w:hAnsi="宋体" w:eastAsia="宋体" w:cs="宋体"/>
          <w:color w:val="auto"/>
          <w:sz w:val="28"/>
          <w:szCs w:val="28"/>
          <w:highlight w:val="none"/>
          <w:u w:val="none"/>
        </w:rPr>
      </w:pPr>
      <w:r>
        <w:rPr>
          <w:rFonts w:hint="eastAsia" w:ascii="宋体" w:hAnsi="宋体" w:eastAsia="宋体" w:cs="宋体"/>
          <w:color w:val="auto"/>
          <w:sz w:val="28"/>
          <w:szCs w:val="28"/>
          <w:highlight w:val="none"/>
          <w:u w:val="none"/>
        </w:rPr>
        <w:t>（2）《全国地下水污染物防治规划（2011-2020）》（环发〔2011〕128号）；</w:t>
      </w:r>
    </w:p>
    <w:p>
      <w:pPr>
        <w:pageBreakBefore w:val="0"/>
        <w:widowControl/>
        <w:kinsoku/>
        <w:wordWrap/>
        <w:overflowPunct/>
        <w:topLinePunct w:val="0"/>
        <w:autoSpaceDE/>
        <w:autoSpaceDN/>
        <w:bidi w:val="0"/>
        <w:spacing w:line="360" w:lineRule="auto"/>
        <w:ind w:left="0" w:leftChars="0" w:right="0" w:firstLine="560" w:firstLineChars="200"/>
        <w:textAlignment w:val="auto"/>
        <w:rPr>
          <w:rFonts w:hint="eastAsia" w:ascii="宋体" w:hAnsi="宋体" w:eastAsia="宋体" w:cs="宋体"/>
          <w:color w:val="auto"/>
          <w:sz w:val="28"/>
          <w:szCs w:val="28"/>
          <w:highlight w:val="none"/>
          <w:u w:val="none"/>
        </w:rPr>
      </w:pPr>
      <w:r>
        <w:rPr>
          <w:rFonts w:hint="eastAsia" w:ascii="宋体" w:hAnsi="宋体" w:eastAsia="宋体" w:cs="宋体"/>
          <w:color w:val="auto"/>
          <w:sz w:val="28"/>
          <w:szCs w:val="28"/>
          <w:highlight w:val="none"/>
          <w:u w:val="none"/>
        </w:rPr>
        <w:t>（3）《国务院关于落实科学发展观加强环境保护的决定》（国发〔2005〕39号），2005年12月3号；</w:t>
      </w:r>
    </w:p>
    <w:p>
      <w:pPr>
        <w:pageBreakBefore w:val="0"/>
        <w:widowControl/>
        <w:kinsoku/>
        <w:wordWrap/>
        <w:overflowPunct/>
        <w:topLinePunct w:val="0"/>
        <w:autoSpaceDE/>
        <w:autoSpaceDN/>
        <w:bidi w:val="0"/>
        <w:spacing w:line="360" w:lineRule="auto"/>
        <w:ind w:left="0" w:leftChars="0" w:right="0" w:firstLine="560" w:firstLineChars="200"/>
        <w:textAlignment w:val="auto"/>
        <w:rPr>
          <w:rFonts w:hint="eastAsia" w:ascii="宋体" w:hAnsi="宋体" w:eastAsia="宋体" w:cs="宋体"/>
          <w:color w:val="auto"/>
          <w:sz w:val="28"/>
          <w:szCs w:val="28"/>
          <w:highlight w:val="none"/>
          <w:u w:val="none"/>
        </w:rPr>
      </w:pPr>
      <w:r>
        <w:rPr>
          <w:rFonts w:hint="eastAsia" w:ascii="宋体" w:hAnsi="宋体" w:eastAsia="宋体" w:cs="宋体"/>
          <w:color w:val="auto"/>
          <w:sz w:val="28"/>
          <w:szCs w:val="28"/>
          <w:highlight w:val="none"/>
          <w:u w:val="none"/>
        </w:rPr>
        <w:t>（4）《国务院关于加强环境保护重点工作的意见》（国发〔2011〕35号）；</w:t>
      </w:r>
    </w:p>
    <w:p>
      <w:pPr>
        <w:pageBreakBefore w:val="0"/>
        <w:widowControl/>
        <w:kinsoku/>
        <w:wordWrap/>
        <w:overflowPunct/>
        <w:topLinePunct w:val="0"/>
        <w:autoSpaceDE/>
        <w:autoSpaceDN/>
        <w:bidi w:val="0"/>
        <w:spacing w:line="360" w:lineRule="auto"/>
        <w:ind w:left="0" w:leftChars="0" w:right="0" w:firstLine="560" w:firstLineChars="200"/>
        <w:textAlignment w:val="auto"/>
        <w:rPr>
          <w:rFonts w:hint="eastAsia" w:ascii="宋体" w:hAnsi="宋体" w:eastAsia="宋体" w:cs="宋体"/>
          <w:color w:val="auto"/>
          <w:sz w:val="28"/>
          <w:szCs w:val="28"/>
          <w:highlight w:val="none"/>
          <w:u w:val="none"/>
        </w:rPr>
      </w:pPr>
      <w:r>
        <w:rPr>
          <w:rFonts w:hint="eastAsia" w:ascii="宋体" w:hAnsi="宋体" w:eastAsia="宋体" w:cs="宋体"/>
          <w:color w:val="auto"/>
          <w:sz w:val="28"/>
          <w:szCs w:val="28"/>
          <w:highlight w:val="none"/>
          <w:u w:val="none"/>
        </w:rPr>
        <w:t>（5）《水污染防治行动计划》（国发〔2015〕17号）；</w:t>
      </w:r>
    </w:p>
    <w:p>
      <w:pPr>
        <w:pageBreakBefore w:val="0"/>
        <w:widowControl/>
        <w:kinsoku/>
        <w:wordWrap/>
        <w:overflowPunct/>
        <w:topLinePunct w:val="0"/>
        <w:autoSpaceDE/>
        <w:autoSpaceDN/>
        <w:bidi w:val="0"/>
        <w:spacing w:line="360" w:lineRule="auto"/>
        <w:ind w:left="0" w:leftChars="0" w:right="0" w:firstLine="560" w:firstLineChars="200"/>
        <w:textAlignment w:val="auto"/>
        <w:rPr>
          <w:rFonts w:hint="eastAsia" w:ascii="宋体" w:hAnsi="宋体" w:eastAsia="宋体" w:cs="宋体"/>
          <w:color w:val="auto"/>
          <w:sz w:val="28"/>
          <w:szCs w:val="28"/>
          <w:highlight w:val="none"/>
          <w:u w:val="none"/>
        </w:rPr>
      </w:pPr>
      <w:r>
        <w:rPr>
          <w:rFonts w:hint="eastAsia" w:ascii="宋体" w:hAnsi="宋体" w:eastAsia="宋体" w:cs="宋体"/>
          <w:color w:val="auto"/>
          <w:sz w:val="28"/>
          <w:szCs w:val="28"/>
          <w:highlight w:val="none"/>
          <w:u w:val="none"/>
        </w:rPr>
        <w:t>（6）《土壤污染防治行动计划》（国发〔2016〕31号）；</w:t>
      </w:r>
    </w:p>
    <w:p>
      <w:pPr>
        <w:pageBreakBefore w:val="0"/>
        <w:widowControl/>
        <w:kinsoku/>
        <w:wordWrap/>
        <w:overflowPunct/>
        <w:topLinePunct w:val="0"/>
        <w:autoSpaceDE/>
        <w:autoSpaceDN/>
        <w:bidi w:val="0"/>
        <w:spacing w:line="360" w:lineRule="auto"/>
        <w:ind w:left="0" w:leftChars="0" w:right="0" w:firstLine="560" w:firstLineChars="200"/>
        <w:textAlignment w:val="auto"/>
        <w:rPr>
          <w:rFonts w:hint="eastAsia" w:ascii="宋体" w:hAnsi="宋体" w:eastAsia="宋体" w:cs="宋体"/>
          <w:color w:val="auto"/>
          <w:sz w:val="28"/>
          <w:szCs w:val="28"/>
          <w:highlight w:val="none"/>
          <w:u w:val="none"/>
        </w:rPr>
      </w:pPr>
      <w:r>
        <w:rPr>
          <w:rFonts w:hint="eastAsia" w:ascii="宋体" w:hAnsi="宋体" w:eastAsia="宋体" w:cs="宋体"/>
          <w:color w:val="auto"/>
          <w:sz w:val="28"/>
          <w:szCs w:val="28"/>
          <w:highlight w:val="none"/>
          <w:u w:val="none"/>
        </w:rPr>
        <w:t>（7）《工矿用地土壤环境管理办法（试行）》（生态环境部令第3号）；</w:t>
      </w:r>
    </w:p>
    <w:p>
      <w:pPr>
        <w:pageBreakBefore w:val="0"/>
        <w:kinsoku/>
        <w:wordWrap/>
        <w:overflowPunct/>
        <w:topLinePunct w:val="0"/>
        <w:bidi w:val="0"/>
        <w:spacing w:line="360" w:lineRule="auto"/>
        <w:ind w:left="0" w:leftChars="0" w:right="0" w:firstLine="560"/>
        <w:rPr>
          <w:rFonts w:hint="eastAsia" w:ascii="宋体" w:hAnsi="宋体" w:eastAsia="宋体" w:cs="宋体"/>
          <w:color w:val="auto"/>
          <w:sz w:val="28"/>
          <w:szCs w:val="28"/>
          <w:highlight w:val="none"/>
          <w:u w:val="none"/>
        </w:rPr>
      </w:pPr>
      <w:r>
        <w:rPr>
          <w:rFonts w:hint="eastAsia" w:ascii="宋体" w:hAnsi="宋体" w:eastAsia="宋体" w:cs="宋体"/>
          <w:color w:val="auto"/>
          <w:sz w:val="28"/>
          <w:szCs w:val="28"/>
          <w:highlight w:val="none"/>
          <w:u w:val="none"/>
        </w:rPr>
        <w:t>（8）《关于加强涉重金属行业污染防控的意见》（环土壤〔2018〕22号）；</w:t>
      </w:r>
    </w:p>
    <w:p>
      <w:pPr>
        <w:pageBreakBefore w:val="0"/>
        <w:kinsoku/>
        <w:wordWrap/>
        <w:overflowPunct/>
        <w:topLinePunct w:val="0"/>
        <w:bidi w:val="0"/>
        <w:spacing w:line="360" w:lineRule="auto"/>
        <w:ind w:left="0" w:leftChars="0" w:right="0" w:firstLine="560"/>
        <w:rPr>
          <w:rFonts w:hint="eastAsia" w:ascii="宋体" w:hAnsi="宋体" w:eastAsia="宋体" w:cs="宋体"/>
          <w:color w:val="auto"/>
          <w:sz w:val="28"/>
          <w:szCs w:val="28"/>
          <w:highlight w:val="none"/>
          <w:u w:val="none"/>
        </w:rPr>
      </w:pPr>
      <w:r>
        <w:rPr>
          <w:rFonts w:hint="eastAsia" w:ascii="宋体" w:hAnsi="宋体" w:eastAsia="宋体" w:cs="宋体"/>
          <w:color w:val="auto"/>
          <w:sz w:val="28"/>
          <w:szCs w:val="28"/>
          <w:highlight w:val="none"/>
          <w:u w:val="none"/>
          <w:lang w:eastAsia="zh-CN"/>
        </w:rPr>
        <w:t>（</w:t>
      </w:r>
      <w:r>
        <w:rPr>
          <w:rFonts w:hint="eastAsia" w:ascii="宋体" w:hAnsi="宋体" w:eastAsia="宋体" w:cs="宋体"/>
          <w:color w:val="auto"/>
          <w:sz w:val="28"/>
          <w:szCs w:val="28"/>
          <w:highlight w:val="none"/>
          <w:u w:val="none"/>
          <w:lang w:val="en-US" w:eastAsia="zh-CN"/>
        </w:rPr>
        <w:t>9</w:t>
      </w:r>
      <w:r>
        <w:rPr>
          <w:rFonts w:hint="eastAsia" w:ascii="宋体" w:hAnsi="宋体" w:eastAsia="宋体" w:cs="宋体"/>
          <w:color w:val="auto"/>
          <w:sz w:val="28"/>
          <w:szCs w:val="28"/>
          <w:highlight w:val="none"/>
          <w:u w:val="none"/>
          <w:lang w:eastAsia="zh-CN"/>
        </w:rPr>
        <w:t>）</w:t>
      </w:r>
      <w:r>
        <w:rPr>
          <w:rFonts w:hint="eastAsia" w:ascii="宋体" w:hAnsi="宋体" w:eastAsia="宋体" w:cs="宋体"/>
          <w:color w:val="auto"/>
          <w:sz w:val="28"/>
          <w:szCs w:val="28"/>
          <w:highlight w:val="none"/>
          <w:u w:val="none"/>
        </w:rPr>
        <w:t>《企业突发环境事件隐患排查和治理工作指南》（2016年，生态环境部公告第74号）；</w:t>
      </w:r>
    </w:p>
    <w:p>
      <w:pPr>
        <w:pageBreakBefore w:val="0"/>
        <w:kinsoku/>
        <w:wordWrap/>
        <w:overflowPunct/>
        <w:topLinePunct w:val="0"/>
        <w:bidi w:val="0"/>
        <w:spacing w:line="360" w:lineRule="auto"/>
        <w:ind w:left="0" w:leftChars="0" w:right="0" w:firstLine="560"/>
        <w:rPr>
          <w:rFonts w:hint="eastAsia" w:ascii="宋体" w:hAnsi="宋体" w:eastAsia="宋体" w:cs="宋体"/>
          <w:color w:val="auto"/>
          <w:sz w:val="28"/>
          <w:szCs w:val="28"/>
          <w:highlight w:val="none"/>
          <w:u w:val="none"/>
          <w:lang w:eastAsia="zh-CN"/>
        </w:rPr>
      </w:pPr>
      <w:r>
        <w:rPr>
          <w:rFonts w:hint="eastAsia" w:ascii="宋体" w:hAnsi="宋体" w:eastAsia="宋体" w:cs="宋体"/>
          <w:color w:val="auto"/>
          <w:sz w:val="28"/>
          <w:szCs w:val="28"/>
          <w:highlight w:val="none"/>
          <w:u w:val="none"/>
          <w:lang w:eastAsia="zh-CN"/>
        </w:rPr>
        <w:t>（</w:t>
      </w:r>
      <w:r>
        <w:rPr>
          <w:rFonts w:hint="eastAsia" w:ascii="宋体" w:hAnsi="宋体" w:eastAsia="宋体" w:cs="宋体"/>
          <w:color w:val="auto"/>
          <w:sz w:val="28"/>
          <w:szCs w:val="28"/>
          <w:highlight w:val="none"/>
          <w:u w:val="none"/>
          <w:lang w:val="en-US" w:eastAsia="zh-CN"/>
        </w:rPr>
        <w:t>10</w:t>
      </w:r>
      <w:r>
        <w:rPr>
          <w:rFonts w:hint="eastAsia" w:ascii="宋体" w:hAnsi="宋体" w:eastAsia="宋体" w:cs="宋体"/>
          <w:color w:val="auto"/>
          <w:sz w:val="28"/>
          <w:szCs w:val="28"/>
          <w:highlight w:val="none"/>
          <w:u w:val="none"/>
          <w:lang w:eastAsia="zh-CN"/>
        </w:rPr>
        <w:t>）《</w:t>
      </w:r>
      <w:r>
        <w:rPr>
          <w:rFonts w:hint="eastAsia" w:ascii="宋体" w:hAnsi="宋体" w:eastAsia="宋体" w:cs="宋体"/>
          <w:color w:val="auto"/>
          <w:sz w:val="28"/>
          <w:szCs w:val="28"/>
          <w:highlight w:val="none"/>
          <w:u w:val="none"/>
        </w:rPr>
        <w:t>重点单位土壤污染隐患排查指南（试行）</w:t>
      </w:r>
      <w:r>
        <w:rPr>
          <w:rFonts w:hint="eastAsia" w:ascii="宋体" w:hAnsi="宋体" w:eastAsia="宋体" w:cs="宋体"/>
          <w:color w:val="auto"/>
          <w:sz w:val="28"/>
          <w:szCs w:val="28"/>
          <w:highlight w:val="none"/>
          <w:u w:val="none"/>
          <w:lang w:eastAsia="zh-CN"/>
        </w:rPr>
        <w:t>》（</w:t>
      </w:r>
      <w:r>
        <w:rPr>
          <w:rFonts w:hint="eastAsia" w:ascii="宋体" w:hAnsi="宋体" w:eastAsia="宋体" w:cs="宋体"/>
          <w:color w:val="auto"/>
          <w:sz w:val="28"/>
          <w:szCs w:val="28"/>
          <w:highlight w:val="none"/>
          <w:u w:val="none"/>
        </w:rPr>
        <w:t>生态环境部2021年第1号</w:t>
      </w:r>
      <w:r>
        <w:rPr>
          <w:rFonts w:hint="eastAsia" w:ascii="宋体" w:hAnsi="宋体" w:eastAsia="宋体" w:cs="宋体"/>
          <w:color w:val="auto"/>
          <w:sz w:val="28"/>
          <w:szCs w:val="28"/>
          <w:highlight w:val="none"/>
          <w:u w:val="none"/>
          <w:lang w:eastAsia="zh-CN"/>
        </w:rPr>
        <w:t>）；</w:t>
      </w:r>
    </w:p>
    <w:p>
      <w:pPr>
        <w:pageBreakBefore w:val="0"/>
        <w:kinsoku/>
        <w:wordWrap/>
        <w:overflowPunct/>
        <w:topLinePunct w:val="0"/>
        <w:bidi w:val="0"/>
        <w:spacing w:line="360" w:lineRule="auto"/>
        <w:ind w:left="0" w:leftChars="0" w:right="0" w:firstLine="560"/>
        <w:outlineLvl w:val="3"/>
        <w:rPr>
          <w:rFonts w:hint="eastAsia" w:ascii="宋体" w:hAnsi="宋体" w:eastAsia="宋体" w:cs="宋体"/>
          <w:color w:val="auto"/>
          <w:sz w:val="28"/>
          <w:szCs w:val="28"/>
          <w:highlight w:val="none"/>
          <w:u w:val="none"/>
          <w:lang w:eastAsia="zh-CN"/>
        </w:rPr>
      </w:pPr>
      <w:r>
        <w:rPr>
          <w:rFonts w:hint="eastAsia" w:ascii="宋体" w:hAnsi="宋体" w:eastAsia="宋体" w:cs="宋体"/>
          <w:color w:val="auto"/>
          <w:sz w:val="28"/>
          <w:szCs w:val="28"/>
          <w:highlight w:val="none"/>
          <w:u w:val="none"/>
          <w:lang w:eastAsia="zh-CN"/>
        </w:rPr>
        <w:t>（</w:t>
      </w:r>
      <w:r>
        <w:rPr>
          <w:rFonts w:hint="eastAsia" w:ascii="宋体" w:hAnsi="宋体" w:eastAsia="宋体" w:cs="宋体"/>
          <w:color w:val="auto"/>
          <w:sz w:val="28"/>
          <w:szCs w:val="28"/>
          <w:highlight w:val="none"/>
          <w:u w:val="none"/>
          <w:lang w:val="en-US" w:eastAsia="zh-CN"/>
        </w:rPr>
        <w:t>11</w:t>
      </w:r>
      <w:r>
        <w:rPr>
          <w:rFonts w:hint="eastAsia" w:ascii="宋体" w:hAnsi="宋体" w:eastAsia="宋体" w:cs="宋体"/>
          <w:color w:val="auto"/>
          <w:sz w:val="28"/>
          <w:szCs w:val="28"/>
          <w:highlight w:val="none"/>
          <w:u w:val="none"/>
          <w:lang w:eastAsia="zh-CN"/>
        </w:rPr>
        <w:t>）《</w:t>
      </w:r>
      <w:r>
        <w:rPr>
          <w:rFonts w:hint="eastAsia" w:ascii="宋体" w:hAnsi="宋体" w:eastAsia="宋体" w:cs="宋体"/>
          <w:color w:val="auto"/>
          <w:sz w:val="28"/>
          <w:szCs w:val="28"/>
          <w:highlight w:val="none"/>
          <w:u w:val="none"/>
          <w:lang w:val="en-US" w:eastAsia="zh-CN"/>
        </w:rPr>
        <w:t>“十四五”土壤、地下水和农村生态环境保护规划</w:t>
      </w:r>
      <w:r>
        <w:rPr>
          <w:rFonts w:hint="eastAsia" w:ascii="宋体" w:hAnsi="宋体" w:eastAsia="宋体" w:cs="宋体"/>
          <w:color w:val="auto"/>
          <w:sz w:val="28"/>
          <w:szCs w:val="28"/>
          <w:highlight w:val="none"/>
          <w:u w:val="none"/>
          <w:lang w:eastAsia="zh-CN"/>
        </w:rPr>
        <w:t>》</w:t>
      </w:r>
      <w:r>
        <w:rPr>
          <w:rFonts w:hint="eastAsia" w:ascii="宋体" w:hAnsi="宋体" w:eastAsia="宋体" w:cs="宋体"/>
          <w:color w:val="auto"/>
          <w:sz w:val="28"/>
          <w:szCs w:val="28"/>
          <w:highlight w:val="none"/>
          <w:u w:val="none"/>
          <w:lang w:val="en-US" w:eastAsia="zh-CN"/>
        </w:rPr>
        <w:t>。</w:t>
      </w:r>
    </w:p>
    <w:p>
      <w:pPr>
        <w:pageBreakBefore w:val="0"/>
        <w:widowControl/>
        <w:kinsoku/>
        <w:wordWrap/>
        <w:overflowPunct/>
        <w:topLinePunct w:val="0"/>
        <w:autoSpaceDE/>
        <w:autoSpaceDN/>
        <w:bidi w:val="0"/>
        <w:spacing w:line="360" w:lineRule="auto"/>
        <w:ind w:right="0"/>
        <w:textAlignment w:val="auto"/>
        <w:outlineLvl w:val="2"/>
        <w:rPr>
          <w:rFonts w:hint="eastAsia" w:ascii="宋体" w:hAnsi="宋体" w:eastAsia="宋体" w:cs="宋体"/>
          <w:color w:val="auto"/>
          <w:sz w:val="28"/>
          <w:szCs w:val="28"/>
          <w:highlight w:val="none"/>
          <w:u w:val="none"/>
        </w:rPr>
      </w:pPr>
      <w:r>
        <w:rPr>
          <w:rFonts w:hint="eastAsia" w:ascii="宋体" w:hAnsi="宋体" w:eastAsia="宋体" w:cs="宋体"/>
          <w:color w:val="auto"/>
          <w:sz w:val="28"/>
          <w:szCs w:val="28"/>
          <w:highlight w:val="none"/>
          <w:u w:val="none"/>
        </w:rPr>
        <w:t>1.</w:t>
      </w:r>
      <w:r>
        <w:rPr>
          <w:rFonts w:hint="eastAsia" w:ascii="宋体" w:hAnsi="宋体" w:eastAsia="宋体" w:cs="宋体"/>
          <w:color w:val="auto"/>
          <w:sz w:val="28"/>
          <w:szCs w:val="28"/>
          <w:highlight w:val="none"/>
          <w:u w:val="none"/>
          <w:lang w:val="en-US" w:eastAsia="zh-CN"/>
        </w:rPr>
        <w:t>2</w:t>
      </w:r>
      <w:r>
        <w:rPr>
          <w:rFonts w:hint="eastAsia" w:ascii="宋体" w:hAnsi="宋体" w:eastAsia="宋体" w:cs="宋体"/>
          <w:color w:val="auto"/>
          <w:sz w:val="28"/>
          <w:szCs w:val="28"/>
          <w:highlight w:val="none"/>
          <w:u w:val="none"/>
        </w:rPr>
        <w:t>.3地方性法规、规章及相关规范文件</w:t>
      </w:r>
    </w:p>
    <w:p>
      <w:pPr>
        <w:pageBreakBefore w:val="0"/>
        <w:widowControl/>
        <w:numPr>
          <w:ilvl w:val="0"/>
          <w:numId w:val="3"/>
        </w:numPr>
        <w:kinsoku/>
        <w:wordWrap/>
        <w:overflowPunct/>
        <w:topLinePunct w:val="0"/>
        <w:autoSpaceDE/>
        <w:autoSpaceDN/>
        <w:bidi w:val="0"/>
        <w:spacing w:line="360" w:lineRule="auto"/>
        <w:ind w:left="0" w:leftChars="0" w:right="0" w:firstLine="560" w:firstLineChars="200"/>
        <w:textAlignment w:val="auto"/>
        <w:rPr>
          <w:rFonts w:hint="eastAsia" w:ascii="宋体" w:hAnsi="宋体" w:eastAsia="宋体" w:cs="宋体"/>
          <w:color w:val="auto"/>
          <w:sz w:val="28"/>
          <w:szCs w:val="28"/>
          <w:highlight w:val="none"/>
          <w:u w:val="none"/>
        </w:rPr>
      </w:pPr>
      <w:r>
        <w:rPr>
          <w:rFonts w:hint="eastAsia" w:ascii="宋体" w:hAnsi="宋体" w:eastAsia="宋体" w:cs="宋体"/>
          <w:color w:val="auto"/>
          <w:sz w:val="28"/>
          <w:szCs w:val="28"/>
          <w:highlight w:val="none"/>
          <w:u w:val="none"/>
        </w:rPr>
        <w:t>《河南省建设项目环境保护条例》，2016年修订；</w:t>
      </w:r>
    </w:p>
    <w:p>
      <w:pPr>
        <w:pageBreakBefore w:val="0"/>
        <w:widowControl/>
        <w:numPr>
          <w:ilvl w:val="0"/>
          <w:numId w:val="3"/>
        </w:numPr>
        <w:kinsoku/>
        <w:wordWrap/>
        <w:overflowPunct/>
        <w:topLinePunct w:val="0"/>
        <w:autoSpaceDE/>
        <w:autoSpaceDN/>
        <w:bidi w:val="0"/>
        <w:spacing w:line="360" w:lineRule="auto"/>
        <w:ind w:left="0" w:leftChars="0" w:right="0" w:firstLine="560" w:firstLineChars="200"/>
        <w:textAlignment w:val="auto"/>
        <w:rPr>
          <w:rFonts w:hint="eastAsia" w:ascii="宋体" w:hAnsi="宋体" w:eastAsia="宋体" w:cs="宋体"/>
          <w:color w:val="auto"/>
          <w:sz w:val="28"/>
          <w:szCs w:val="28"/>
          <w:highlight w:val="none"/>
          <w:u w:val="none"/>
        </w:rPr>
      </w:pPr>
      <w:r>
        <w:rPr>
          <w:rFonts w:hint="eastAsia" w:ascii="宋体" w:hAnsi="宋体" w:eastAsia="宋体" w:cs="宋体"/>
          <w:color w:val="auto"/>
          <w:sz w:val="28"/>
          <w:szCs w:val="28"/>
          <w:highlight w:val="none"/>
          <w:u w:val="none"/>
        </w:rPr>
        <w:t>《河南省减少污染物排放条例》，2014年1月1日；</w:t>
      </w:r>
    </w:p>
    <w:p>
      <w:pPr>
        <w:pageBreakBefore w:val="0"/>
        <w:widowControl/>
        <w:numPr>
          <w:ilvl w:val="0"/>
          <w:numId w:val="3"/>
        </w:numPr>
        <w:kinsoku/>
        <w:wordWrap/>
        <w:overflowPunct/>
        <w:topLinePunct w:val="0"/>
        <w:autoSpaceDE/>
        <w:autoSpaceDN/>
        <w:bidi w:val="0"/>
        <w:spacing w:line="360" w:lineRule="auto"/>
        <w:ind w:left="0" w:leftChars="0" w:right="0" w:firstLine="560" w:firstLineChars="200"/>
        <w:textAlignment w:val="auto"/>
        <w:rPr>
          <w:rFonts w:hint="eastAsia" w:ascii="宋体" w:hAnsi="宋体" w:eastAsia="宋体" w:cs="宋体"/>
          <w:color w:val="auto"/>
          <w:sz w:val="28"/>
          <w:szCs w:val="28"/>
          <w:highlight w:val="none"/>
          <w:u w:val="none"/>
        </w:rPr>
      </w:pPr>
      <w:r>
        <w:rPr>
          <w:rFonts w:hint="eastAsia" w:ascii="宋体" w:hAnsi="宋体" w:eastAsia="宋体" w:cs="宋体"/>
          <w:color w:val="auto"/>
          <w:sz w:val="28"/>
          <w:szCs w:val="28"/>
          <w:highlight w:val="none"/>
          <w:u w:val="none"/>
        </w:rPr>
        <w:t>《河南省水污染防治条例》，2010年3月1日起施行；</w:t>
      </w:r>
    </w:p>
    <w:p>
      <w:pPr>
        <w:pageBreakBefore w:val="0"/>
        <w:widowControl/>
        <w:numPr>
          <w:ilvl w:val="0"/>
          <w:numId w:val="3"/>
        </w:numPr>
        <w:kinsoku/>
        <w:wordWrap/>
        <w:overflowPunct/>
        <w:topLinePunct w:val="0"/>
        <w:autoSpaceDE/>
        <w:autoSpaceDN/>
        <w:bidi w:val="0"/>
        <w:spacing w:line="360" w:lineRule="auto"/>
        <w:ind w:left="0" w:leftChars="0" w:right="0" w:firstLine="560" w:firstLineChars="200"/>
        <w:textAlignment w:val="auto"/>
        <w:rPr>
          <w:rFonts w:hint="eastAsia" w:ascii="宋体" w:hAnsi="宋体" w:eastAsia="宋体" w:cs="宋体"/>
          <w:color w:val="auto"/>
          <w:sz w:val="28"/>
          <w:szCs w:val="28"/>
          <w:highlight w:val="none"/>
          <w:u w:val="none"/>
        </w:rPr>
      </w:pPr>
      <w:r>
        <w:rPr>
          <w:rFonts w:hint="eastAsia" w:ascii="宋体" w:hAnsi="宋体" w:eastAsia="宋体" w:cs="宋体"/>
          <w:color w:val="auto"/>
          <w:sz w:val="28"/>
          <w:szCs w:val="28"/>
          <w:highlight w:val="none"/>
          <w:u w:val="none"/>
        </w:rPr>
        <w:t>《河南省清洁土壤行动计划》（豫政〔2017〕13号）；</w:t>
      </w:r>
    </w:p>
    <w:p>
      <w:pPr>
        <w:pageBreakBefore w:val="0"/>
        <w:widowControl/>
        <w:numPr>
          <w:ilvl w:val="0"/>
          <w:numId w:val="3"/>
        </w:numPr>
        <w:kinsoku/>
        <w:wordWrap/>
        <w:overflowPunct/>
        <w:topLinePunct w:val="0"/>
        <w:autoSpaceDE/>
        <w:autoSpaceDN/>
        <w:bidi w:val="0"/>
        <w:spacing w:line="360" w:lineRule="auto"/>
        <w:ind w:left="0" w:leftChars="0" w:right="0" w:firstLine="560" w:firstLineChars="200"/>
        <w:textAlignment w:val="auto"/>
        <w:rPr>
          <w:rFonts w:hint="eastAsia" w:ascii="宋体" w:hAnsi="宋体" w:eastAsia="宋体" w:cs="宋体"/>
          <w:color w:val="auto"/>
          <w:sz w:val="28"/>
          <w:szCs w:val="28"/>
          <w:highlight w:val="none"/>
          <w:u w:val="none"/>
        </w:rPr>
      </w:pPr>
      <w:r>
        <w:rPr>
          <w:rFonts w:hint="eastAsia" w:ascii="宋体" w:hAnsi="宋体" w:eastAsia="宋体" w:cs="宋体"/>
          <w:color w:val="auto"/>
          <w:sz w:val="28"/>
          <w:szCs w:val="28"/>
          <w:highlight w:val="none"/>
          <w:u w:val="none"/>
        </w:rPr>
        <w:t>《河南省人民政府关于打好土壤污染防治攻坚战实施意见》（豫政〔2017〕45号）；</w:t>
      </w:r>
    </w:p>
    <w:p>
      <w:pPr>
        <w:pageBreakBefore w:val="0"/>
        <w:widowControl/>
        <w:numPr>
          <w:ilvl w:val="0"/>
          <w:numId w:val="3"/>
        </w:numPr>
        <w:kinsoku/>
        <w:wordWrap/>
        <w:overflowPunct/>
        <w:topLinePunct w:val="0"/>
        <w:autoSpaceDE/>
        <w:autoSpaceDN/>
        <w:bidi w:val="0"/>
        <w:spacing w:line="360" w:lineRule="auto"/>
        <w:ind w:left="0" w:leftChars="0" w:right="0" w:firstLine="560" w:firstLineChars="200"/>
        <w:textAlignment w:val="auto"/>
        <w:rPr>
          <w:rFonts w:hint="eastAsia" w:ascii="宋体" w:hAnsi="宋体" w:eastAsia="宋体" w:cs="宋体"/>
          <w:color w:val="auto"/>
          <w:sz w:val="28"/>
          <w:szCs w:val="28"/>
          <w:highlight w:val="none"/>
          <w:u w:val="none"/>
        </w:rPr>
      </w:pPr>
      <w:r>
        <w:rPr>
          <w:rFonts w:hint="eastAsia" w:ascii="宋体" w:hAnsi="宋体" w:eastAsia="宋体" w:cs="宋体"/>
          <w:color w:val="auto"/>
          <w:sz w:val="28"/>
          <w:szCs w:val="28"/>
          <w:highlight w:val="none"/>
          <w:u w:val="none"/>
        </w:rPr>
        <w:t>《河南省重金属污染防治工作指导意见》（豫环文〔2017〕277号）；</w:t>
      </w:r>
    </w:p>
    <w:p>
      <w:pPr>
        <w:pageBreakBefore w:val="0"/>
        <w:widowControl/>
        <w:numPr>
          <w:ilvl w:val="0"/>
          <w:numId w:val="3"/>
        </w:numPr>
        <w:kinsoku/>
        <w:wordWrap/>
        <w:overflowPunct/>
        <w:topLinePunct w:val="0"/>
        <w:autoSpaceDE/>
        <w:autoSpaceDN/>
        <w:bidi w:val="0"/>
        <w:spacing w:line="360" w:lineRule="auto"/>
        <w:ind w:left="0" w:leftChars="0" w:right="0" w:firstLine="560" w:firstLineChars="200"/>
        <w:textAlignment w:val="auto"/>
        <w:rPr>
          <w:rFonts w:hint="eastAsia" w:ascii="宋体" w:hAnsi="宋体" w:eastAsia="宋体" w:cs="宋体"/>
          <w:color w:val="auto"/>
          <w:sz w:val="28"/>
          <w:szCs w:val="28"/>
          <w:highlight w:val="none"/>
          <w:u w:val="none"/>
        </w:rPr>
      </w:pPr>
      <w:r>
        <w:rPr>
          <w:rFonts w:hint="eastAsia" w:ascii="宋体" w:hAnsi="宋体" w:eastAsia="宋体" w:cs="宋体"/>
          <w:color w:val="auto"/>
          <w:sz w:val="28"/>
          <w:szCs w:val="28"/>
          <w:highlight w:val="none"/>
          <w:u w:val="none"/>
        </w:rPr>
        <w:t>《河南省环境保护厅关于印发河南省涉重金属重点行业污染防控工作方案的通知》（豫环文〔2018〕262号）；</w:t>
      </w:r>
    </w:p>
    <w:p>
      <w:pPr>
        <w:pageBreakBefore w:val="0"/>
        <w:widowControl/>
        <w:numPr>
          <w:ilvl w:val="0"/>
          <w:numId w:val="3"/>
        </w:numPr>
        <w:kinsoku/>
        <w:wordWrap/>
        <w:overflowPunct/>
        <w:topLinePunct w:val="0"/>
        <w:autoSpaceDE/>
        <w:autoSpaceDN/>
        <w:bidi w:val="0"/>
        <w:spacing w:line="360" w:lineRule="auto"/>
        <w:ind w:left="0" w:leftChars="0" w:right="0" w:firstLine="560" w:firstLineChars="200"/>
        <w:textAlignment w:val="auto"/>
        <w:rPr>
          <w:rFonts w:hint="eastAsia" w:ascii="宋体" w:hAnsi="宋体" w:eastAsia="宋体" w:cs="宋体"/>
          <w:color w:val="auto"/>
          <w:sz w:val="28"/>
          <w:szCs w:val="28"/>
          <w:highlight w:val="none"/>
          <w:u w:val="none"/>
        </w:rPr>
      </w:pPr>
      <w:r>
        <w:rPr>
          <w:rFonts w:hint="eastAsia" w:ascii="宋体" w:hAnsi="宋体" w:eastAsia="宋体" w:cs="宋体"/>
          <w:color w:val="auto"/>
          <w:sz w:val="28"/>
          <w:szCs w:val="28"/>
          <w:highlight w:val="none"/>
          <w:u w:val="none"/>
          <w:lang w:eastAsia="zh-CN"/>
        </w:rPr>
        <w:t>《</w:t>
      </w:r>
      <w:r>
        <w:rPr>
          <w:rFonts w:hint="eastAsia" w:ascii="宋体" w:hAnsi="宋体" w:eastAsia="宋体" w:cs="宋体"/>
          <w:color w:val="auto"/>
          <w:sz w:val="28"/>
          <w:szCs w:val="28"/>
          <w:highlight w:val="none"/>
          <w:u w:val="none"/>
          <w:lang w:val="en-US" w:eastAsia="zh-CN"/>
        </w:rPr>
        <w:t>河南省生态环境厅</w:t>
      </w:r>
      <w:r>
        <w:rPr>
          <w:rFonts w:hint="eastAsia" w:ascii="宋体" w:hAnsi="宋体" w:eastAsia="宋体" w:cs="宋体"/>
          <w:color w:val="auto"/>
          <w:sz w:val="28"/>
          <w:szCs w:val="28"/>
          <w:highlight w:val="none"/>
          <w:u w:val="none"/>
        </w:rPr>
        <w:t>关于印发土壤污染重点监管单位隐患排查“回头看”工作方案的通知</w:t>
      </w:r>
      <w:r>
        <w:rPr>
          <w:rFonts w:hint="eastAsia" w:ascii="宋体" w:hAnsi="宋体" w:eastAsia="宋体" w:cs="宋体"/>
          <w:color w:val="auto"/>
          <w:sz w:val="28"/>
          <w:szCs w:val="28"/>
          <w:highlight w:val="none"/>
          <w:u w:val="none"/>
          <w:lang w:eastAsia="zh-CN"/>
        </w:rPr>
        <w:t>》；</w:t>
      </w:r>
    </w:p>
    <w:p>
      <w:pPr>
        <w:pageBreakBefore w:val="0"/>
        <w:numPr>
          <w:ilvl w:val="0"/>
          <w:numId w:val="3"/>
        </w:numPr>
        <w:kinsoku/>
        <w:wordWrap/>
        <w:overflowPunct/>
        <w:topLinePunct w:val="0"/>
        <w:bidi w:val="0"/>
        <w:spacing w:line="360" w:lineRule="auto"/>
        <w:ind w:left="0" w:leftChars="0" w:right="0" w:firstLine="560" w:firstLineChars="200"/>
        <w:rPr>
          <w:rFonts w:hint="eastAsia" w:ascii="宋体" w:hAnsi="宋体" w:eastAsia="宋体" w:cs="宋体"/>
          <w:color w:val="auto"/>
          <w:sz w:val="28"/>
          <w:szCs w:val="28"/>
          <w:highlight w:val="none"/>
          <w:u w:val="none"/>
          <w:lang w:eastAsia="zh-CN"/>
        </w:rPr>
      </w:pPr>
      <w:r>
        <w:rPr>
          <w:rFonts w:hint="eastAsia" w:ascii="宋体" w:hAnsi="宋体" w:eastAsia="宋体" w:cs="宋体"/>
          <w:color w:val="auto"/>
          <w:sz w:val="28"/>
          <w:szCs w:val="28"/>
          <w:highlight w:val="none"/>
          <w:u w:val="none"/>
        </w:rPr>
        <w:t>《关于更新2023年土壤、地下水环境重点监管单位名录的公示》</w:t>
      </w:r>
      <w:r>
        <w:rPr>
          <w:rFonts w:hint="eastAsia" w:ascii="宋体" w:hAnsi="宋体" w:eastAsia="宋体" w:cs="宋体"/>
          <w:color w:val="auto"/>
          <w:sz w:val="28"/>
          <w:szCs w:val="28"/>
          <w:highlight w:val="none"/>
          <w:u w:val="none"/>
          <w:lang w:eastAsia="zh-CN"/>
        </w:rPr>
        <w:t>。</w:t>
      </w:r>
    </w:p>
    <w:p>
      <w:pPr>
        <w:pageBreakBefore w:val="0"/>
        <w:widowControl/>
        <w:kinsoku/>
        <w:wordWrap/>
        <w:overflowPunct/>
        <w:topLinePunct w:val="0"/>
        <w:autoSpaceDE/>
        <w:autoSpaceDN/>
        <w:bidi w:val="0"/>
        <w:spacing w:line="360" w:lineRule="auto"/>
        <w:ind w:right="0"/>
        <w:textAlignment w:val="auto"/>
        <w:outlineLvl w:val="2"/>
        <w:rPr>
          <w:rFonts w:hint="eastAsia" w:ascii="宋体" w:hAnsi="宋体" w:eastAsia="宋体" w:cs="宋体"/>
          <w:color w:val="auto"/>
          <w:sz w:val="28"/>
          <w:szCs w:val="28"/>
          <w:highlight w:val="none"/>
          <w:u w:val="none"/>
        </w:rPr>
      </w:pPr>
      <w:bookmarkStart w:id="41" w:name="_Toc20868_WPSOffice_Level2"/>
      <w:r>
        <w:rPr>
          <w:rFonts w:hint="eastAsia" w:ascii="宋体" w:hAnsi="宋体" w:eastAsia="宋体" w:cs="宋体"/>
          <w:color w:val="auto"/>
          <w:sz w:val="28"/>
          <w:szCs w:val="28"/>
          <w:highlight w:val="none"/>
          <w:u w:val="none"/>
        </w:rPr>
        <w:t>1.</w:t>
      </w:r>
      <w:r>
        <w:rPr>
          <w:rFonts w:hint="eastAsia" w:ascii="宋体" w:hAnsi="宋体" w:eastAsia="宋体" w:cs="宋体"/>
          <w:color w:val="auto"/>
          <w:sz w:val="28"/>
          <w:szCs w:val="28"/>
          <w:highlight w:val="none"/>
          <w:u w:val="none"/>
          <w:lang w:val="en-US" w:eastAsia="zh-CN"/>
        </w:rPr>
        <w:t>2</w:t>
      </w:r>
      <w:r>
        <w:rPr>
          <w:rFonts w:hint="eastAsia" w:ascii="宋体" w:hAnsi="宋体" w:eastAsia="宋体" w:cs="宋体"/>
          <w:color w:val="auto"/>
          <w:sz w:val="28"/>
          <w:szCs w:val="28"/>
          <w:highlight w:val="none"/>
          <w:u w:val="none"/>
        </w:rPr>
        <w:t>.4技术规范</w:t>
      </w:r>
      <w:bookmarkEnd w:id="41"/>
    </w:p>
    <w:p>
      <w:pPr>
        <w:pageBreakBefore w:val="0"/>
        <w:widowControl/>
        <w:kinsoku/>
        <w:wordWrap/>
        <w:overflowPunct/>
        <w:topLinePunct w:val="0"/>
        <w:autoSpaceDE/>
        <w:autoSpaceDN/>
        <w:bidi w:val="0"/>
        <w:spacing w:line="360" w:lineRule="auto"/>
        <w:ind w:left="0" w:leftChars="0" w:right="0" w:firstLine="560" w:firstLineChars="200"/>
        <w:textAlignment w:val="auto"/>
        <w:outlineLvl w:val="3"/>
        <w:rPr>
          <w:rFonts w:hint="eastAsia" w:ascii="宋体" w:hAnsi="宋体" w:eastAsia="宋体" w:cs="宋体"/>
          <w:color w:val="auto"/>
          <w:sz w:val="28"/>
          <w:szCs w:val="28"/>
          <w:highlight w:val="none"/>
          <w:u w:val="none"/>
        </w:rPr>
      </w:pPr>
      <w:r>
        <w:rPr>
          <w:rFonts w:hint="eastAsia" w:ascii="宋体" w:hAnsi="宋体" w:eastAsia="宋体" w:cs="宋体"/>
          <w:color w:val="auto"/>
          <w:sz w:val="28"/>
          <w:szCs w:val="28"/>
          <w:highlight w:val="none"/>
          <w:u w:val="none"/>
        </w:rPr>
        <w:t>（1）《污染场地术语》（HJ682-2014）；</w:t>
      </w:r>
    </w:p>
    <w:p>
      <w:pPr>
        <w:pageBreakBefore w:val="0"/>
        <w:widowControl/>
        <w:kinsoku/>
        <w:wordWrap/>
        <w:overflowPunct/>
        <w:topLinePunct w:val="0"/>
        <w:autoSpaceDE/>
        <w:autoSpaceDN/>
        <w:bidi w:val="0"/>
        <w:spacing w:line="360" w:lineRule="auto"/>
        <w:ind w:left="0" w:leftChars="0" w:right="0" w:firstLine="560" w:firstLineChars="200"/>
        <w:textAlignment w:val="auto"/>
        <w:rPr>
          <w:rFonts w:hint="eastAsia" w:ascii="宋体" w:hAnsi="宋体" w:eastAsia="宋体" w:cs="宋体"/>
          <w:color w:val="auto"/>
          <w:sz w:val="28"/>
          <w:szCs w:val="28"/>
          <w:highlight w:val="none"/>
          <w:u w:val="none"/>
        </w:rPr>
      </w:pPr>
      <w:r>
        <w:rPr>
          <w:rFonts w:hint="eastAsia" w:ascii="宋体" w:hAnsi="宋体" w:eastAsia="宋体" w:cs="宋体"/>
          <w:color w:val="auto"/>
          <w:sz w:val="28"/>
          <w:szCs w:val="28"/>
          <w:highlight w:val="none"/>
          <w:u w:val="none"/>
        </w:rPr>
        <w:t>（2）《</w:t>
      </w:r>
      <w:r>
        <w:rPr>
          <w:rFonts w:hint="eastAsia" w:ascii="宋体" w:hAnsi="宋体" w:eastAsia="宋体" w:cs="宋体"/>
          <w:color w:val="auto"/>
          <w:kern w:val="2"/>
          <w:sz w:val="28"/>
          <w:szCs w:val="28"/>
          <w:highlight w:val="none"/>
          <w:u w:val="none"/>
          <w:lang w:val="en-US" w:eastAsia="zh-CN" w:bidi="ar-SA"/>
        </w:rPr>
        <w:t>建设用地土壤污染状况调查技术导则</w:t>
      </w:r>
      <w:r>
        <w:rPr>
          <w:rFonts w:hint="eastAsia" w:ascii="宋体" w:hAnsi="宋体" w:eastAsia="宋体" w:cs="宋体"/>
          <w:color w:val="auto"/>
          <w:sz w:val="28"/>
          <w:szCs w:val="28"/>
          <w:highlight w:val="none"/>
          <w:u w:val="none"/>
        </w:rPr>
        <w:t>》（HJ25.1-201</w:t>
      </w:r>
      <w:r>
        <w:rPr>
          <w:rFonts w:hint="eastAsia" w:ascii="宋体" w:hAnsi="宋体" w:eastAsia="宋体" w:cs="宋体"/>
          <w:color w:val="auto"/>
          <w:sz w:val="28"/>
          <w:szCs w:val="28"/>
          <w:highlight w:val="none"/>
          <w:u w:val="none"/>
          <w:lang w:val="en-US" w:eastAsia="zh-CN"/>
        </w:rPr>
        <w:t>9</w:t>
      </w:r>
      <w:r>
        <w:rPr>
          <w:rFonts w:hint="eastAsia" w:ascii="宋体" w:hAnsi="宋体" w:eastAsia="宋体" w:cs="宋体"/>
          <w:color w:val="auto"/>
          <w:sz w:val="28"/>
          <w:szCs w:val="28"/>
          <w:highlight w:val="none"/>
          <w:u w:val="none"/>
        </w:rPr>
        <w:t>）；</w:t>
      </w:r>
    </w:p>
    <w:p>
      <w:pPr>
        <w:pageBreakBefore w:val="0"/>
        <w:widowControl/>
        <w:kinsoku/>
        <w:wordWrap/>
        <w:overflowPunct/>
        <w:topLinePunct w:val="0"/>
        <w:autoSpaceDE/>
        <w:autoSpaceDN/>
        <w:bidi w:val="0"/>
        <w:spacing w:line="360" w:lineRule="auto"/>
        <w:ind w:left="0" w:leftChars="0" w:right="0" w:firstLine="560" w:firstLineChars="200"/>
        <w:textAlignment w:val="auto"/>
        <w:rPr>
          <w:rFonts w:hint="eastAsia" w:ascii="宋体" w:hAnsi="宋体" w:eastAsia="宋体" w:cs="宋体"/>
          <w:color w:val="auto"/>
          <w:sz w:val="28"/>
          <w:szCs w:val="28"/>
          <w:highlight w:val="none"/>
          <w:u w:val="none"/>
        </w:rPr>
      </w:pPr>
      <w:r>
        <w:rPr>
          <w:rFonts w:hint="eastAsia" w:ascii="宋体" w:hAnsi="宋体" w:eastAsia="宋体" w:cs="宋体"/>
          <w:color w:val="auto"/>
          <w:sz w:val="28"/>
          <w:szCs w:val="28"/>
          <w:highlight w:val="none"/>
          <w:u w:val="none"/>
        </w:rPr>
        <w:t>（3）《</w:t>
      </w:r>
      <w:r>
        <w:rPr>
          <w:rFonts w:hint="eastAsia" w:ascii="宋体" w:hAnsi="宋体" w:eastAsia="宋体" w:cs="宋体"/>
          <w:color w:val="auto"/>
          <w:kern w:val="2"/>
          <w:sz w:val="28"/>
          <w:szCs w:val="28"/>
          <w:highlight w:val="none"/>
          <w:u w:val="none"/>
          <w:lang w:val="en-US" w:eastAsia="zh-CN" w:bidi="ar-SA"/>
        </w:rPr>
        <w:t>建设用地土壤污染风险管控和修复监测技术导则</w:t>
      </w:r>
      <w:r>
        <w:rPr>
          <w:rFonts w:hint="eastAsia" w:ascii="宋体" w:hAnsi="宋体" w:eastAsia="宋体" w:cs="宋体"/>
          <w:color w:val="auto"/>
          <w:sz w:val="28"/>
          <w:szCs w:val="28"/>
          <w:highlight w:val="none"/>
          <w:u w:val="none"/>
        </w:rPr>
        <w:t>》（HJ25.2-201</w:t>
      </w:r>
      <w:r>
        <w:rPr>
          <w:rFonts w:hint="eastAsia" w:ascii="宋体" w:hAnsi="宋体" w:eastAsia="宋体" w:cs="宋体"/>
          <w:color w:val="auto"/>
          <w:sz w:val="28"/>
          <w:szCs w:val="28"/>
          <w:highlight w:val="none"/>
          <w:u w:val="none"/>
          <w:lang w:val="en-US" w:eastAsia="zh-CN"/>
        </w:rPr>
        <w:t>9</w:t>
      </w:r>
      <w:r>
        <w:rPr>
          <w:rFonts w:hint="eastAsia" w:ascii="宋体" w:hAnsi="宋体" w:eastAsia="宋体" w:cs="宋体"/>
          <w:color w:val="auto"/>
          <w:sz w:val="28"/>
          <w:szCs w:val="28"/>
          <w:highlight w:val="none"/>
          <w:u w:val="none"/>
        </w:rPr>
        <w:t>）；</w:t>
      </w:r>
    </w:p>
    <w:p>
      <w:pPr>
        <w:pageBreakBefore w:val="0"/>
        <w:widowControl/>
        <w:kinsoku/>
        <w:wordWrap/>
        <w:overflowPunct/>
        <w:topLinePunct w:val="0"/>
        <w:autoSpaceDE/>
        <w:autoSpaceDN/>
        <w:bidi w:val="0"/>
        <w:spacing w:line="360" w:lineRule="auto"/>
        <w:ind w:left="0" w:leftChars="0" w:right="0" w:firstLine="560" w:firstLineChars="200"/>
        <w:textAlignment w:val="auto"/>
        <w:rPr>
          <w:rFonts w:hint="eastAsia" w:ascii="宋体" w:hAnsi="宋体" w:eastAsia="宋体" w:cs="宋体"/>
          <w:color w:val="auto"/>
          <w:sz w:val="28"/>
          <w:szCs w:val="28"/>
          <w:highlight w:val="none"/>
          <w:u w:val="none"/>
        </w:rPr>
      </w:pPr>
      <w:r>
        <w:rPr>
          <w:rFonts w:hint="eastAsia" w:ascii="宋体" w:hAnsi="宋体" w:eastAsia="宋体" w:cs="宋体"/>
          <w:color w:val="auto"/>
          <w:sz w:val="28"/>
          <w:szCs w:val="28"/>
          <w:highlight w:val="none"/>
          <w:u w:val="none"/>
        </w:rPr>
        <w:t>（4）《</w:t>
      </w:r>
      <w:r>
        <w:rPr>
          <w:rFonts w:hint="eastAsia" w:ascii="宋体" w:hAnsi="宋体" w:eastAsia="宋体" w:cs="宋体"/>
          <w:color w:val="auto"/>
          <w:kern w:val="2"/>
          <w:sz w:val="28"/>
          <w:szCs w:val="28"/>
          <w:highlight w:val="none"/>
          <w:u w:val="none"/>
          <w:lang w:val="en-US" w:eastAsia="zh-CN" w:bidi="ar-SA"/>
        </w:rPr>
        <w:t>建设用地土壤污染风险评估技术导则</w:t>
      </w:r>
      <w:r>
        <w:rPr>
          <w:rFonts w:hint="eastAsia" w:ascii="宋体" w:hAnsi="宋体" w:eastAsia="宋体" w:cs="宋体"/>
          <w:color w:val="auto"/>
          <w:sz w:val="28"/>
          <w:szCs w:val="28"/>
          <w:highlight w:val="none"/>
          <w:u w:val="none"/>
        </w:rPr>
        <w:t>》（HJ25.3-201</w:t>
      </w:r>
      <w:r>
        <w:rPr>
          <w:rFonts w:hint="eastAsia" w:ascii="宋体" w:hAnsi="宋体" w:eastAsia="宋体" w:cs="宋体"/>
          <w:color w:val="auto"/>
          <w:sz w:val="28"/>
          <w:szCs w:val="28"/>
          <w:highlight w:val="none"/>
          <w:u w:val="none"/>
          <w:lang w:val="en-US" w:eastAsia="zh-CN"/>
        </w:rPr>
        <w:t>9</w:t>
      </w:r>
      <w:r>
        <w:rPr>
          <w:rFonts w:hint="eastAsia" w:ascii="宋体" w:hAnsi="宋体" w:eastAsia="宋体" w:cs="宋体"/>
          <w:color w:val="auto"/>
          <w:sz w:val="28"/>
          <w:szCs w:val="28"/>
          <w:highlight w:val="none"/>
          <w:u w:val="none"/>
        </w:rPr>
        <w:t>）；</w:t>
      </w:r>
    </w:p>
    <w:p>
      <w:pPr>
        <w:pageBreakBefore w:val="0"/>
        <w:widowControl/>
        <w:kinsoku/>
        <w:wordWrap/>
        <w:overflowPunct/>
        <w:topLinePunct w:val="0"/>
        <w:autoSpaceDE/>
        <w:autoSpaceDN/>
        <w:bidi w:val="0"/>
        <w:spacing w:line="360" w:lineRule="auto"/>
        <w:ind w:left="0" w:leftChars="0" w:right="0" w:firstLine="560" w:firstLineChars="200"/>
        <w:textAlignment w:val="auto"/>
        <w:rPr>
          <w:rFonts w:hint="eastAsia" w:ascii="宋体" w:hAnsi="宋体" w:eastAsia="宋体" w:cs="宋体"/>
          <w:color w:val="auto"/>
          <w:sz w:val="28"/>
          <w:szCs w:val="28"/>
          <w:highlight w:val="none"/>
          <w:u w:val="none"/>
        </w:rPr>
      </w:pPr>
      <w:r>
        <w:rPr>
          <w:rFonts w:hint="eastAsia" w:ascii="宋体" w:hAnsi="宋体" w:eastAsia="宋体" w:cs="宋体"/>
          <w:color w:val="auto"/>
          <w:sz w:val="28"/>
          <w:szCs w:val="28"/>
          <w:highlight w:val="none"/>
          <w:u w:val="none"/>
        </w:rPr>
        <w:t>（5）《地下水环境监测技术规范》（HJ164－20</w:t>
      </w:r>
      <w:r>
        <w:rPr>
          <w:rFonts w:hint="eastAsia" w:ascii="宋体" w:hAnsi="宋体" w:eastAsia="宋体" w:cs="宋体"/>
          <w:color w:val="auto"/>
          <w:sz w:val="28"/>
          <w:szCs w:val="28"/>
          <w:highlight w:val="none"/>
          <w:u w:val="none"/>
          <w:lang w:val="en-US" w:eastAsia="zh-CN"/>
        </w:rPr>
        <w:t>20</w:t>
      </w:r>
      <w:r>
        <w:rPr>
          <w:rFonts w:hint="eastAsia" w:ascii="宋体" w:hAnsi="宋体" w:eastAsia="宋体" w:cs="宋体"/>
          <w:color w:val="auto"/>
          <w:sz w:val="28"/>
          <w:szCs w:val="28"/>
          <w:highlight w:val="none"/>
          <w:u w:val="none"/>
        </w:rPr>
        <w:t>)；</w:t>
      </w:r>
    </w:p>
    <w:p>
      <w:pPr>
        <w:pageBreakBefore w:val="0"/>
        <w:widowControl/>
        <w:kinsoku/>
        <w:wordWrap/>
        <w:overflowPunct/>
        <w:topLinePunct w:val="0"/>
        <w:autoSpaceDE/>
        <w:autoSpaceDN/>
        <w:bidi w:val="0"/>
        <w:spacing w:line="360" w:lineRule="auto"/>
        <w:ind w:left="0" w:leftChars="0" w:right="0" w:firstLine="560" w:firstLineChars="200"/>
        <w:textAlignment w:val="auto"/>
        <w:rPr>
          <w:rFonts w:hint="eastAsia" w:ascii="宋体" w:hAnsi="宋体" w:eastAsia="宋体" w:cs="宋体"/>
          <w:color w:val="auto"/>
          <w:sz w:val="28"/>
          <w:szCs w:val="28"/>
          <w:highlight w:val="none"/>
          <w:u w:val="none"/>
        </w:rPr>
      </w:pPr>
      <w:r>
        <w:rPr>
          <w:rFonts w:hint="eastAsia" w:ascii="宋体" w:hAnsi="宋体" w:eastAsia="宋体" w:cs="宋体"/>
          <w:color w:val="auto"/>
          <w:sz w:val="28"/>
          <w:szCs w:val="28"/>
          <w:highlight w:val="none"/>
          <w:u w:val="none"/>
        </w:rPr>
        <w:t>（6）《土壤环境监测技术规范》（HJ/T166-2004）；</w:t>
      </w:r>
    </w:p>
    <w:p>
      <w:pPr>
        <w:pageBreakBefore w:val="0"/>
        <w:widowControl/>
        <w:kinsoku/>
        <w:wordWrap/>
        <w:overflowPunct/>
        <w:topLinePunct w:val="0"/>
        <w:autoSpaceDE/>
        <w:autoSpaceDN/>
        <w:bidi w:val="0"/>
        <w:spacing w:line="360" w:lineRule="auto"/>
        <w:ind w:left="0" w:leftChars="0" w:right="0" w:firstLine="560" w:firstLineChars="200"/>
        <w:textAlignment w:val="auto"/>
        <w:rPr>
          <w:rFonts w:hint="eastAsia" w:ascii="宋体" w:hAnsi="宋体" w:eastAsia="宋体" w:cs="宋体"/>
          <w:color w:val="auto"/>
          <w:sz w:val="28"/>
          <w:szCs w:val="28"/>
          <w:highlight w:val="none"/>
          <w:u w:val="none"/>
        </w:rPr>
      </w:pPr>
      <w:r>
        <w:rPr>
          <w:rFonts w:hint="eastAsia" w:ascii="宋体" w:hAnsi="宋体" w:eastAsia="宋体" w:cs="宋体"/>
          <w:color w:val="auto"/>
          <w:sz w:val="28"/>
          <w:szCs w:val="28"/>
          <w:highlight w:val="none"/>
          <w:u w:val="none"/>
        </w:rPr>
        <w:t>（7）《排污单位自行监测技术指南总则》（HJ819-2017）；</w:t>
      </w:r>
    </w:p>
    <w:p>
      <w:pPr>
        <w:pageBreakBefore w:val="0"/>
        <w:widowControl/>
        <w:kinsoku/>
        <w:wordWrap/>
        <w:overflowPunct/>
        <w:topLinePunct w:val="0"/>
        <w:autoSpaceDE/>
        <w:autoSpaceDN/>
        <w:bidi w:val="0"/>
        <w:spacing w:line="360" w:lineRule="auto"/>
        <w:ind w:left="0" w:leftChars="0" w:right="0" w:firstLine="560" w:firstLineChars="200"/>
        <w:textAlignment w:val="auto"/>
        <w:rPr>
          <w:rFonts w:hint="eastAsia" w:ascii="宋体" w:hAnsi="宋体" w:eastAsia="宋体" w:cs="宋体"/>
          <w:color w:val="auto"/>
          <w:sz w:val="28"/>
          <w:szCs w:val="28"/>
          <w:highlight w:val="none"/>
          <w:u w:val="none"/>
        </w:rPr>
      </w:pPr>
      <w:r>
        <w:rPr>
          <w:rFonts w:hint="eastAsia" w:ascii="宋体" w:hAnsi="宋体" w:eastAsia="宋体" w:cs="宋体"/>
          <w:color w:val="auto"/>
          <w:sz w:val="28"/>
          <w:szCs w:val="28"/>
          <w:highlight w:val="none"/>
          <w:u w:val="none"/>
        </w:rPr>
        <w:t>（</w:t>
      </w:r>
      <w:r>
        <w:rPr>
          <w:rFonts w:hint="eastAsia" w:ascii="宋体" w:hAnsi="宋体" w:eastAsia="宋体" w:cs="宋体"/>
          <w:color w:val="auto"/>
          <w:sz w:val="28"/>
          <w:szCs w:val="28"/>
          <w:highlight w:val="none"/>
          <w:u w:val="none"/>
          <w:lang w:val="en-US" w:eastAsia="zh-CN"/>
        </w:rPr>
        <w:t>8</w:t>
      </w:r>
      <w:r>
        <w:rPr>
          <w:rFonts w:hint="eastAsia" w:ascii="宋体" w:hAnsi="宋体" w:eastAsia="宋体" w:cs="宋体"/>
          <w:color w:val="auto"/>
          <w:sz w:val="28"/>
          <w:szCs w:val="28"/>
          <w:highlight w:val="none"/>
          <w:u w:val="none"/>
        </w:rPr>
        <w:t>）《土壤环境质量建设用地土壤污染风险管控标准（试行）》（GB36600-2018）；</w:t>
      </w:r>
    </w:p>
    <w:p>
      <w:pPr>
        <w:pageBreakBefore w:val="0"/>
        <w:widowControl/>
        <w:kinsoku/>
        <w:wordWrap/>
        <w:overflowPunct/>
        <w:topLinePunct w:val="0"/>
        <w:autoSpaceDE/>
        <w:autoSpaceDN/>
        <w:bidi w:val="0"/>
        <w:spacing w:line="360" w:lineRule="auto"/>
        <w:ind w:left="0" w:leftChars="0" w:right="0" w:firstLine="560" w:firstLineChars="200"/>
        <w:textAlignment w:val="auto"/>
        <w:outlineLvl w:val="3"/>
        <w:rPr>
          <w:rFonts w:hint="eastAsia" w:ascii="宋体" w:hAnsi="宋体" w:eastAsia="宋体" w:cs="宋体"/>
          <w:color w:val="auto"/>
          <w:sz w:val="28"/>
          <w:szCs w:val="28"/>
          <w:highlight w:val="none"/>
          <w:u w:val="none"/>
        </w:rPr>
      </w:pPr>
      <w:r>
        <w:rPr>
          <w:rFonts w:hint="eastAsia" w:ascii="宋体" w:hAnsi="宋体" w:eastAsia="宋体" w:cs="宋体"/>
          <w:color w:val="auto"/>
          <w:sz w:val="28"/>
          <w:szCs w:val="28"/>
          <w:highlight w:val="none"/>
          <w:u w:val="none"/>
        </w:rPr>
        <w:t>（</w:t>
      </w:r>
      <w:r>
        <w:rPr>
          <w:rFonts w:hint="eastAsia" w:ascii="宋体" w:hAnsi="宋体" w:eastAsia="宋体" w:cs="宋体"/>
          <w:color w:val="auto"/>
          <w:sz w:val="28"/>
          <w:szCs w:val="28"/>
          <w:highlight w:val="none"/>
          <w:u w:val="none"/>
          <w:lang w:val="en-US" w:eastAsia="zh-CN"/>
        </w:rPr>
        <w:t>9</w:t>
      </w:r>
      <w:r>
        <w:rPr>
          <w:rFonts w:hint="eastAsia" w:ascii="宋体" w:hAnsi="宋体" w:eastAsia="宋体" w:cs="宋体"/>
          <w:color w:val="auto"/>
          <w:sz w:val="28"/>
          <w:szCs w:val="28"/>
          <w:highlight w:val="none"/>
          <w:u w:val="none"/>
        </w:rPr>
        <w:t>）《地下水质量标准》（GB/T</w:t>
      </w:r>
      <w:r>
        <w:rPr>
          <w:rFonts w:hint="eastAsia" w:ascii="宋体" w:hAnsi="宋体" w:eastAsia="宋体" w:cs="宋体"/>
          <w:color w:val="auto"/>
          <w:sz w:val="28"/>
          <w:szCs w:val="28"/>
          <w:highlight w:val="none"/>
          <w:u w:val="none"/>
          <w:lang w:val="en-US" w:eastAsia="zh-CN"/>
        </w:rPr>
        <w:t>1</w:t>
      </w:r>
      <w:r>
        <w:rPr>
          <w:rFonts w:hint="eastAsia" w:ascii="宋体" w:hAnsi="宋体" w:eastAsia="宋体" w:cs="宋体"/>
          <w:color w:val="auto"/>
          <w:sz w:val="28"/>
          <w:szCs w:val="28"/>
          <w:highlight w:val="none"/>
          <w:u w:val="none"/>
        </w:rPr>
        <w:t>4848-2017）；</w:t>
      </w:r>
    </w:p>
    <w:p>
      <w:pPr>
        <w:pageBreakBefore w:val="0"/>
        <w:widowControl/>
        <w:kinsoku/>
        <w:wordWrap/>
        <w:overflowPunct/>
        <w:topLinePunct w:val="0"/>
        <w:autoSpaceDE/>
        <w:autoSpaceDN/>
        <w:bidi w:val="0"/>
        <w:spacing w:line="360" w:lineRule="auto"/>
        <w:ind w:left="0" w:leftChars="0" w:right="0" w:firstLine="560" w:firstLineChars="200"/>
        <w:textAlignment w:val="auto"/>
        <w:rPr>
          <w:rFonts w:hint="eastAsia" w:ascii="宋体" w:hAnsi="宋体" w:eastAsia="宋体" w:cs="宋体"/>
          <w:color w:val="auto"/>
          <w:sz w:val="28"/>
          <w:szCs w:val="28"/>
          <w:highlight w:val="none"/>
          <w:u w:val="none"/>
        </w:rPr>
      </w:pPr>
      <w:r>
        <w:rPr>
          <w:rFonts w:hint="eastAsia" w:ascii="宋体" w:hAnsi="宋体" w:eastAsia="宋体" w:cs="宋体"/>
          <w:color w:val="auto"/>
          <w:sz w:val="28"/>
          <w:szCs w:val="28"/>
          <w:highlight w:val="none"/>
          <w:u w:val="none"/>
        </w:rPr>
        <w:t>（1</w:t>
      </w:r>
      <w:r>
        <w:rPr>
          <w:rFonts w:hint="eastAsia" w:ascii="宋体" w:hAnsi="宋体" w:eastAsia="宋体" w:cs="宋体"/>
          <w:color w:val="auto"/>
          <w:sz w:val="28"/>
          <w:szCs w:val="28"/>
          <w:highlight w:val="none"/>
          <w:u w:val="none"/>
          <w:lang w:val="en-US" w:eastAsia="zh-CN"/>
        </w:rPr>
        <w:t>0</w:t>
      </w:r>
      <w:r>
        <w:rPr>
          <w:rFonts w:hint="eastAsia" w:ascii="宋体" w:hAnsi="宋体" w:eastAsia="宋体" w:cs="宋体"/>
          <w:color w:val="auto"/>
          <w:sz w:val="28"/>
          <w:szCs w:val="28"/>
          <w:highlight w:val="none"/>
          <w:u w:val="none"/>
        </w:rPr>
        <w:t>）《在产企业土壤及地下水自行监测技术指南》（征求意见稿）。</w:t>
      </w:r>
    </w:p>
    <w:p>
      <w:pPr>
        <w:pageBreakBefore w:val="0"/>
        <w:widowControl/>
        <w:kinsoku/>
        <w:wordWrap/>
        <w:overflowPunct/>
        <w:topLinePunct w:val="0"/>
        <w:autoSpaceDE/>
        <w:autoSpaceDN/>
        <w:bidi w:val="0"/>
        <w:spacing w:line="360" w:lineRule="auto"/>
        <w:ind w:left="0" w:leftChars="0" w:right="0" w:firstLine="560" w:firstLineChars="200"/>
        <w:textAlignment w:val="auto"/>
        <w:rPr>
          <w:rFonts w:hint="eastAsia" w:ascii="宋体" w:hAnsi="宋体" w:eastAsia="宋体" w:cs="宋体"/>
          <w:color w:val="auto"/>
          <w:sz w:val="28"/>
          <w:szCs w:val="28"/>
          <w:highlight w:val="none"/>
          <w:u w:val="none"/>
          <w:lang w:eastAsia="zh-CN"/>
        </w:rPr>
      </w:pPr>
      <w:r>
        <w:rPr>
          <w:rFonts w:hint="eastAsia" w:ascii="宋体" w:hAnsi="宋体" w:eastAsia="宋体" w:cs="宋体"/>
          <w:color w:val="auto"/>
          <w:sz w:val="28"/>
          <w:szCs w:val="28"/>
          <w:highlight w:val="none"/>
          <w:u w:val="none"/>
          <w:lang w:eastAsia="zh-CN"/>
        </w:rPr>
        <w:t>（</w:t>
      </w:r>
      <w:r>
        <w:rPr>
          <w:rFonts w:hint="eastAsia" w:ascii="宋体" w:hAnsi="宋体" w:eastAsia="宋体" w:cs="宋体"/>
          <w:color w:val="auto"/>
          <w:sz w:val="28"/>
          <w:szCs w:val="28"/>
          <w:highlight w:val="none"/>
          <w:u w:val="none"/>
          <w:lang w:val="en-US" w:eastAsia="zh-CN"/>
        </w:rPr>
        <w:t>11</w:t>
      </w:r>
      <w:r>
        <w:rPr>
          <w:rFonts w:hint="eastAsia" w:ascii="宋体" w:hAnsi="宋体" w:eastAsia="宋体" w:cs="宋体"/>
          <w:color w:val="auto"/>
          <w:sz w:val="28"/>
          <w:szCs w:val="28"/>
          <w:highlight w:val="none"/>
          <w:u w:val="none"/>
          <w:lang w:eastAsia="zh-CN"/>
        </w:rPr>
        <w:t>）《工业企业土壤和地下水自行监测技术指南（试行）》（HJ1209—2021）；</w:t>
      </w:r>
    </w:p>
    <w:p>
      <w:pPr>
        <w:pageBreakBefore w:val="0"/>
        <w:kinsoku/>
        <w:wordWrap/>
        <w:overflowPunct/>
        <w:topLinePunct w:val="0"/>
        <w:bidi w:val="0"/>
        <w:spacing w:line="360" w:lineRule="auto"/>
        <w:ind w:left="0" w:leftChars="0" w:right="0" w:firstLine="560"/>
        <w:rPr>
          <w:rFonts w:hint="eastAsia" w:ascii="宋体" w:hAnsi="宋体" w:eastAsia="宋体" w:cs="宋体"/>
          <w:color w:val="auto"/>
          <w:sz w:val="28"/>
          <w:szCs w:val="28"/>
          <w:highlight w:val="none"/>
          <w:u w:val="none"/>
        </w:rPr>
      </w:pPr>
      <w:r>
        <w:rPr>
          <w:rFonts w:hint="eastAsia" w:ascii="宋体" w:hAnsi="宋体" w:eastAsia="宋体" w:cs="宋体"/>
          <w:color w:val="auto"/>
          <w:sz w:val="28"/>
          <w:szCs w:val="28"/>
          <w:highlight w:val="none"/>
          <w:u w:val="none"/>
          <w:lang w:val="en-US" w:eastAsia="zh-CN"/>
        </w:rPr>
        <w:t>（12）</w:t>
      </w:r>
      <w:r>
        <w:rPr>
          <w:rFonts w:hint="eastAsia" w:ascii="宋体" w:hAnsi="宋体" w:eastAsia="宋体" w:cs="宋体"/>
          <w:color w:val="auto"/>
          <w:sz w:val="28"/>
          <w:szCs w:val="28"/>
          <w:highlight w:val="none"/>
          <w:u w:val="none"/>
        </w:rPr>
        <w:t>《场地环境调查技术指导》（HJ25.1-201</w:t>
      </w:r>
      <w:r>
        <w:rPr>
          <w:rFonts w:hint="eastAsia" w:ascii="宋体" w:hAnsi="宋体" w:eastAsia="宋体" w:cs="宋体"/>
          <w:color w:val="auto"/>
          <w:sz w:val="28"/>
          <w:szCs w:val="28"/>
          <w:highlight w:val="none"/>
          <w:u w:val="none"/>
          <w:lang w:val="en-US" w:eastAsia="zh-CN"/>
        </w:rPr>
        <w:t>9</w:t>
      </w:r>
      <w:r>
        <w:rPr>
          <w:rFonts w:hint="eastAsia" w:ascii="宋体" w:hAnsi="宋体" w:eastAsia="宋体" w:cs="宋体"/>
          <w:color w:val="auto"/>
          <w:sz w:val="28"/>
          <w:szCs w:val="28"/>
          <w:highlight w:val="none"/>
          <w:u w:val="none"/>
        </w:rPr>
        <w:t>）；</w:t>
      </w:r>
    </w:p>
    <w:p>
      <w:pPr>
        <w:pageBreakBefore w:val="0"/>
        <w:kinsoku/>
        <w:wordWrap/>
        <w:overflowPunct/>
        <w:topLinePunct w:val="0"/>
        <w:bidi w:val="0"/>
        <w:spacing w:line="360" w:lineRule="auto"/>
        <w:ind w:left="0" w:leftChars="0" w:right="0" w:firstLine="560"/>
        <w:rPr>
          <w:rFonts w:hint="eastAsia" w:ascii="宋体" w:hAnsi="宋体" w:eastAsia="宋体" w:cs="宋体"/>
          <w:color w:val="auto"/>
          <w:sz w:val="28"/>
          <w:szCs w:val="28"/>
          <w:highlight w:val="none"/>
          <w:u w:val="none"/>
          <w:lang w:eastAsia="zh-CN"/>
        </w:rPr>
      </w:pPr>
      <w:r>
        <w:rPr>
          <w:rFonts w:hint="eastAsia" w:ascii="宋体" w:hAnsi="宋体" w:eastAsia="宋体" w:cs="宋体"/>
          <w:color w:val="auto"/>
          <w:sz w:val="28"/>
          <w:szCs w:val="28"/>
          <w:highlight w:val="none"/>
          <w:u w:val="none"/>
        </w:rPr>
        <w:t>（</w:t>
      </w:r>
      <w:r>
        <w:rPr>
          <w:rFonts w:hint="eastAsia" w:ascii="宋体" w:hAnsi="宋体" w:eastAsia="宋体" w:cs="宋体"/>
          <w:color w:val="auto"/>
          <w:sz w:val="28"/>
          <w:szCs w:val="28"/>
          <w:highlight w:val="none"/>
          <w:u w:val="none"/>
          <w:lang w:val="en-US" w:eastAsia="zh-CN"/>
        </w:rPr>
        <w:t>13</w:t>
      </w:r>
      <w:r>
        <w:rPr>
          <w:rFonts w:hint="eastAsia" w:ascii="宋体" w:hAnsi="宋体" w:eastAsia="宋体" w:cs="宋体"/>
          <w:color w:val="auto"/>
          <w:sz w:val="28"/>
          <w:szCs w:val="28"/>
          <w:highlight w:val="none"/>
          <w:u w:val="none"/>
        </w:rPr>
        <w:t>）《场地环境监测技术导则》（HJ25.2-201</w:t>
      </w:r>
      <w:r>
        <w:rPr>
          <w:rFonts w:hint="eastAsia" w:ascii="宋体" w:hAnsi="宋体" w:eastAsia="宋体" w:cs="宋体"/>
          <w:color w:val="auto"/>
          <w:sz w:val="28"/>
          <w:szCs w:val="28"/>
          <w:highlight w:val="none"/>
          <w:u w:val="none"/>
          <w:lang w:val="en-US" w:eastAsia="zh-CN"/>
        </w:rPr>
        <w:t>9</w:t>
      </w:r>
      <w:r>
        <w:rPr>
          <w:rFonts w:hint="eastAsia" w:ascii="宋体" w:hAnsi="宋体" w:eastAsia="宋体" w:cs="宋体"/>
          <w:color w:val="auto"/>
          <w:sz w:val="28"/>
          <w:szCs w:val="28"/>
          <w:highlight w:val="none"/>
          <w:u w:val="none"/>
        </w:rPr>
        <w:t>）</w:t>
      </w:r>
      <w:r>
        <w:rPr>
          <w:rFonts w:hint="eastAsia" w:ascii="宋体" w:hAnsi="宋体" w:eastAsia="宋体" w:cs="宋体"/>
          <w:color w:val="auto"/>
          <w:sz w:val="28"/>
          <w:szCs w:val="28"/>
          <w:highlight w:val="none"/>
          <w:u w:val="none"/>
          <w:lang w:eastAsia="zh-CN"/>
        </w:rPr>
        <w:t>。</w:t>
      </w:r>
    </w:p>
    <w:p>
      <w:pPr>
        <w:pageBreakBefore w:val="0"/>
        <w:widowControl/>
        <w:kinsoku/>
        <w:wordWrap/>
        <w:overflowPunct/>
        <w:topLinePunct w:val="0"/>
        <w:autoSpaceDE/>
        <w:autoSpaceDN/>
        <w:bidi w:val="0"/>
        <w:spacing w:line="360" w:lineRule="auto"/>
        <w:ind w:right="0"/>
        <w:textAlignment w:val="auto"/>
        <w:outlineLvl w:val="2"/>
        <w:rPr>
          <w:rFonts w:hint="eastAsia" w:ascii="宋体" w:hAnsi="宋体" w:eastAsia="宋体" w:cs="宋体"/>
          <w:color w:val="auto"/>
          <w:sz w:val="28"/>
          <w:highlight w:val="none"/>
          <w:u w:val="none"/>
        </w:rPr>
      </w:pPr>
      <w:r>
        <w:rPr>
          <w:rFonts w:hint="eastAsia" w:ascii="宋体" w:hAnsi="宋体" w:eastAsia="宋体" w:cs="宋体"/>
          <w:color w:val="auto"/>
          <w:sz w:val="28"/>
          <w:highlight w:val="none"/>
          <w:u w:val="none"/>
        </w:rPr>
        <w:t>1.</w:t>
      </w:r>
      <w:r>
        <w:rPr>
          <w:rFonts w:hint="eastAsia" w:ascii="宋体" w:hAnsi="宋体" w:eastAsia="宋体" w:cs="宋体"/>
          <w:color w:val="auto"/>
          <w:sz w:val="28"/>
          <w:highlight w:val="none"/>
          <w:u w:val="none"/>
          <w:lang w:val="en-US" w:eastAsia="zh-CN"/>
        </w:rPr>
        <w:t>2</w:t>
      </w:r>
      <w:r>
        <w:rPr>
          <w:rFonts w:hint="eastAsia" w:ascii="宋体" w:hAnsi="宋体" w:eastAsia="宋体" w:cs="宋体"/>
          <w:color w:val="auto"/>
          <w:sz w:val="28"/>
          <w:highlight w:val="none"/>
          <w:u w:val="none"/>
        </w:rPr>
        <w:t>.5收集资料</w:t>
      </w:r>
    </w:p>
    <w:p>
      <w:pPr>
        <w:pStyle w:val="43"/>
        <w:keepNext w:val="0"/>
        <w:keepLines w:val="0"/>
        <w:pageBreakBefore w:val="0"/>
        <w:widowControl w:val="0"/>
        <w:numPr>
          <w:ilvl w:val="0"/>
          <w:numId w:val="0"/>
        </w:numPr>
        <w:tabs>
          <w:tab w:val="left" w:pos="1629"/>
        </w:tabs>
        <w:kinsoku/>
        <w:wordWrap/>
        <w:overflowPunct/>
        <w:topLinePunct w:val="0"/>
        <w:autoSpaceDE w:val="0"/>
        <w:autoSpaceDN w:val="0"/>
        <w:bidi w:val="0"/>
        <w:adjustRightInd/>
        <w:snapToGrid/>
        <w:spacing w:before="0" w:after="0" w:line="360" w:lineRule="auto"/>
        <w:ind w:right="0" w:rightChars="0" w:firstLine="560" w:firstLineChars="200"/>
        <w:jc w:val="left"/>
        <w:textAlignment w:val="auto"/>
        <w:rPr>
          <w:rFonts w:hint="eastAsia" w:ascii="宋体" w:hAnsi="宋体" w:eastAsia="宋体" w:cs="宋体"/>
          <w:caps w:val="0"/>
          <w:smallCaps w:val="0"/>
          <w:color w:val="auto"/>
          <w:spacing w:val="0"/>
          <w:sz w:val="28"/>
          <w:szCs w:val="28"/>
          <w:highlight w:val="none"/>
          <w:u w:val="none" w:color="auto"/>
          <w:lang w:val="en-US" w:eastAsia="zh-CN"/>
        </w:rPr>
      </w:pPr>
      <w:r>
        <w:rPr>
          <w:rFonts w:hint="eastAsia" w:ascii="宋体" w:hAnsi="宋体" w:eastAsia="宋体" w:cs="宋体"/>
          <w:caps w:val="0"/>
          <w:smallCaps w:val="0"/>
          <w:color w:val="auto"/>
          <w:spacing w:val="0"/>
          <w:kern w:val="0"/>
          <w:sz w:val="28"/>
          <w:szCs w:val="28"/>
          <w:highlight w:val="none"/>
          <w:u w:val="none" w:color="auto"/>
        </w:rPr>
        <w:t>（1）</w:t>
      </w:r>
      <w:r>
        <w:rPr>
          <w:rFonts w:hint="eastAsia" w:ascii="宋体" w:hAnsi="宋体" w:eastAsia="宋体" w:cs="宋体"/>
          <w:caps w:val="0"/>
          <w:smallCaps w:val="0"/>
          <w:color w:val="auto"/>
          <w:spacing w:val="0"/>
          <w:sz w:val="28"/>
          <w:szCs w:val="28"/>
          <w:highlight w:val="none"/>
          <w:u w:val="none" w:color="auto"/>
          <w:lang w:val="en-US" w:eastAsia="zh-CN"/>
        </w:rPr>
        <w:t>《三门峡新鑫源科技有限公司年产1500吨1-4酸钠盐、500吨尼文酸、2000吨甲酸乙酯与丙酸乙酯项目环境影响报告书》及批复；</w:t>
      </w:r>
    </w:p>
    <w:p>
      <w:pPr>
        <w:pStyle w:val="43"/>
        <w:keepNext w:val="0"/>
        <w:keepLines w:val="0"/>
        <w:pageBreakBefore w:val="0"/>
        <w:widowControl w:val="0"/>
        <w:numPr>
          <w:ilvl w:val="0"/>
          <w:numId w:val="0"/>
        </w:numPr>
        <w:tabs>
          <w:tab w:val="left" w:pos="1629"/>
        </w:tabs>
        <w:kinsoku/>
        <w:wordWrap/>
        <w:overflowPunct/>
        <w:topLinePunct w:val="0"/>
        <w:autoSpaceDE w:val="0"/>
        <w:autoSpaceDN w:val="0"/>
        <w:bidi w:val="0"/>
        <w:adjustRightInd/>
        <w:snapToGrid/>
        <w:spacing w:before="0" w:after="0" w:line="360" w:lineRule="auto"/>
        <w:ind w:right="0" w:rightChars="0" w:firstLine="560" w:firstLineChars="200"/>
        <w:jc w:val="left"/>
        <w:textAlignment w:val="auto"/>
        <w:rPr>
          <w:rFonts w:hint="eastAsia" w:ascii="宋体" w:hAnsi="宋体" w:eastAsia="宋体" w:cs="宋体"/>
          <w:caps w:val="0"/>
          <w:smallCaps w:val="0"/>
          <w:color w:val="auto"/>
          <w:spacing w:val="0"/>
          <w:sz w:val="28"/>
          <w:szCs w:val="28"/>
          <w:highlight w:val="none"/>
          <w:u w:val="none" w:color="auto"/>
          <w:lang w:val="en-US" w:eastAsia="zh-CN"/>
        </w:rPr>
      </w:pPr>
      <w:r>
        <w:rPr>
          <w:rFonts w:hint="eastAsia" w:ascii="宋体" w:hAnsi="宋体" w:eastAsia="宋体" w:cs="宋体"/>
          <w:caps w:val="0"/>
          <w:smallCaps w:val="0"/>
          <w:color w:val="auto"/>
          <w:spacing w:val="0"/>
          <w:sz w:val="28"/>
          <w:szCs w:val="28"/>
          <w:highlight w:val="none"/>
          <w:u w:val="none" w:color="auto"/>
          <w:lang w:val="en-US" w:eastAsia="zh-CN"/>
        </w:rPr>
        <w:t>（2）《三门峡新鑫源科技有限公司年产400吨三溴新戊醇、200吨三溴磷酸酯、400吨二溴新戊二醇、600吨溴化氢乙酸溶液、10吨三乙基氯硅烷项目环境影响报告书》及批复；</w:t>
      </w:r>
    </w:p>
    <w:p>
      <w:pPr>
        <w:pStyle w:val="43"/>
        <w:keepNext w:val="0"/>
        <w:keepLines w:val="0"/>
        <w:pageBreakBefore w:val="0"/>
        <w:widowControl w:val="0"/>
        <w:numPr>
          <w:ilvl w:val="0"/>
          <w:numId w:val="0"/>
        </w:numPr>
        <w:tabs>
          <w:tab w:val="left" w:pos="1629"/>
        </w:tabs>
        <w:kinsoku/>
        <w:wordWrap/>
        <w:overflowPunct/>
        <w:topLinePunct w:val="0"/>
        <w:autoSpaceDE w:val="0"/>
        <w:autoSpaceDN w:val="0"/>
        <w:bidi w:val="0"/>
        <w:adjustRightInd/>
        <w:snapToGrid/>
        <w:spacing w:before="0" w:after="0" w:line="360" w:lineRule="auto"/>
        <w:ind w:right="0" w:rightChars="0" w:firstLine="560" w:firstLineChars="200"/>
        <w:jc w:val="left"/>
        <w:textAlignment w:val="auto"/>
        <w:rPr>
          <w:rFonts w:hint="eastAsia" w:ascii="宋体" w:hAnsi="宋体" w:eastAsia="宋体" w:cs="宋体"/>
          <w:caps w:val="0"/>
          <w:smallCaps w:val="0"/>
          <w:color w:val="auto"/>
          <w:spacing w:val="0"/>
          <w:sz w:val="28"/>
          <w:szCs w:val="28"/>
          <w:highlight w:val="none"/>
          <w:u w:val="none" w:color="auto"/>
          <w:lang w:val="en-US" w:eastAsia="zh-CN"/>
        </w:rPr>
      </w:pPr>
      <w:r>
        <w:rPr>
          <w:rFonts w:hint="eastAsia" w:ascii="宋体" w:hAnsi="宋体" w:eastAsia="宋体" w:cs="宋体"/>
          <w:caps w:val="0"/>
          <w:smallCaps w:val="0"/>
          <w:color w:val="auto"/>
          <w:spacing w:val="0"/>
          <w:sz w:val="28"/>
          <w:szCs w:val="28"/>
          <w:highlight w:val="none"/>
          <w:u w:val="none" w:color="auto"/>
          <w:lang w:val="en-US" w:eastAsia="zh-CN"/>
        </w:rPr>
        <w:t>（3）《三门峡新鑫源科技有限公司新增6吨天然气锅炉项目环境影响报告表》及批复；</w:t>
      </w:r>
    </w:p>
    <w:p>
      <w:pPr>
        <w:pStyle w:val="43"/>
        <w:keepNext w:val="0"/>
        <w:keepLines w:val="0"/>
        <w:pageBreakBefore w:val="0"/>
        <w:widowControl w:val="0"/>
        <w:numPr>
          <w:ilvl w:val="0"/>
          <w:numId w:val="0"/>
        </w:numPr>
        <w:tabs>
          <w:tab w:val="left" w:pos="1629"/>
        </w:tabs>
        <w:kinsoku/>
        <w:wordWrap/>
        <w:overflowPunct/>
        <w:topLinePunct w:val="0"/>
        <w:autoSpaceDE w:val="0"/>
        <w:autoSpaceDN w:val="0"/>
        <w:bidi w:val="0"/>
        <w:adjustRightInd/>
        <w:snapToGrid/>
        <w:spacing w:before="0" w:after="0" w:line="360" w:lineRule="auto"/>
        <w:ind w:right="0" w:rightChars="0" w:firstLine="560" w:firstLineChars="200"/>
        <w:jc w:val="left"/>
        <w:textAlignment w:val="auto"/>
        <w:rPr>
          <w:rFonts w:hint="eastAsia" w:ascii="宋体" w:hAnsi="宋体" w:eastAsia="宋体" w:cs="宋体"/>
          <w:caps w:val="0"/>
          <w:smallCaps w:val="0"/>
          <w:color w:val="auto"/>
          <w:spacing w:val="0"/>
          <w:sz w:val="28"/>
          <w:szCs w:val="28"/>
          <w:highlight w:val="none"/>
          <w:u w:val="none" w:color="auto"/>
          <w:lang w:val="en-US" w:eastAsia="zh-CN"/>
        </w:rPr>
      </w:pPr>
      <w:r>
        <w:rPr>
          <w:rFonts w:hint="eastAsia" w:ascii="宋体" w:hAnsi="宋体" w:eastAsia="宋体" w:cs="宋体"/>
          <w:caps w:val="0"/>
          <w:smallCaps w:val="0"/>
          <w:color w:val="auto"/>
          <w:spacing w:val="0"/>
          <w:sz w:val="28"/>
          <w:szCs w:val="28"/>
          <w:highlight w:val="none"/>
          <w:u w:val="none" w:color="auto"/>
          <w:lang w:val="en-US" w:eastAsia="zh-CN"/>
        </w:rPr>
        <w:t>（4）《三门峡新鑫源科技有限公司</w:t>
      </w:r>
      <w:r>
        <w:rPr>
          <w:rFonts w:hint="eastAsia" w:ascii="宋体" w:hAnsi="宋体" w:eastAsia="宋体" w:cs="宋体"/>
          <w:caps w:val="0"/>
          <w:smallCaps w:val="0"/>
          <w:color w:val="auto"/>
          <w:spacing w:val="0"/>
          <w:kern w:val="2"/>
          <w:sz w:val="28"/>
          <w:szCs w:val="28"/>
          <w:highlight w:val="none"/>
          <w:u w:val="none" w:color="auto"/>
          <w:vertAlign w:val="baseline"/>
          <w:lang w:val="en-US" w:eastAsia="zh-CN" w:bidi="ar-SA"/>
        </w:rPr>
        <w:t>年产3000t-四溴双酚A、50t-4甲基二苯胺项目环境影响报告书</w:t>
      </w:r>
      <w:r>
        <w:rPr>
          <w:rFonts w:hint="eastAsia" w:ascii="宋体" w:hAnsi="宋体" w:eastAsia="宋体" w:cs="宋体"/>
          <w:caps w:val="0"/>
          <w:smallCaps w:val="0"/>
          <w:color w:val="auto"/>
          <w:spacing w:val="0"/>
          <w:sz w:val="28"/>
          <w:szCs w:val="28"/>
          <w:highlight w:val="none"/>
          <w:u w:val="none" w:color="auto"/>
          <w:lang w:val="en-US" w:eastAsia="zh-CN"/>
        </w:rPr>
        <w:t>》及批复；</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jc w:val="left"/>
        <w:textAlignment w:val="auto"/>
        <w:outlineLvl w:val="3"/>
        <w:rPr>
          <w:rFonts w:hint="eastAsia" w:ascii="宋体" w:hAnsi="宋体" w:eastAsia="宋体" w:cs="宋体"/>
          <w:color w:val="auto"/>
          <w:kern w:val="2"/>
          <w:sz w:val="28"/>
          <w:szCs w:val="28"/>
          <w:highlight w:val="none"/>
          <w:u w:val="none"/>
          <w:lang w:val="en-US" w:eastAsia="zh-CN" w:bidi="ar-SA"/>
        </w:rPr>
      </w:pPr>
      <w:r>
        <w:rPr>
          <w:rFonts w:hint="eastAsia" w:ascii="宋体" w:hAnsi="宋体" w:eastAsia="宋体" w:cs="宋体"/>
          <w:caps w:val="0"/>
          <w:smallCaps w:val="0"/>
          <w:color w:val="auto"/>
          <w:spacing w:val="0"/>
          <w:kern w:val="0"/>
          <w:sz w:val="28"/>
          <w:szCs w:val="28"/>
          <w:highlight w:val="none"/>
          <w:u w:val="none" w:color="auto"/>
        </w:rPr>
        <w:t>（</w:t>
      </w:r>
      <w:r>
        <w:rPr>
          <w:rFonts w:hint="eastAsia" w:ascii="宋体" w:hAnsi="宋体" w:eastAsia="宋体" w:cs="宋体"/>
          <w:caps w:val="0"/>
          <w:smallCaps w:val="0"/>
          <w:color w:val="auto"/>
          <w:spacing w:val="0"/>
          <w:kern w:val="0"/>
          <w:sz w:val="28"/>
          <w:szCs w:val="28"/>
          <w:highlight w:val="none"/>
          <w:u w:val="none" w:color="auto"/>
          <w:lang w:val="en-US" w:eastAsia="zh-CN"/>
        </w:rPr>
        <w:t>5</w:t>
      </w:r>
      <w:r>
        <w:rPr>
          <w:rFonts w:hint="eastAsia" w:ascii="宋体" w:hAnsi="宋体" w:eastAsia="宋体" w:cs="宋体"/>
          <w:caps w:val="0"/>
          <w:smallCaps w:val="0"/>
          <w:color w:val="auto"/>
          <w:spacing w:val="0"/>
          <w:kern w:val="0"/>
          <w:sz w:val="28"/>
          <w:szCs w:val="28"/>
          <w:highlight w:val="none"/>
          <w:u w:val="none" w:color="auto"/>
        </w:rPr>
        <w:t>）现场勘查资料</w:t>
      </w:r>
      <w:r>
        <w:rPr>
          <w:rFonts w:hint="eastAsia" w:ascii="宋体" w:hAnsi="宋体" w:eastAsia="宋体" w:cs="宋体"/>
          <w:caps w:val="0"/>
          <w:smallCaps w:val="0"/>
          <w:color w:val="auto"/>
          <w:spacing w:val="0"/>
          <w:kern w:val="0"/>
          <w:sz w:val="28"/>
          <w:szCs w:val="28"/>
          <w:highlight w:val="none"/>
          <w:u w:val="none" w:color="auto"/>
          <w:lang w:val="en-US" w:eastAsia="zh-CN"/>
        </w:rPr>
        <w:t>及</w:t>
      </w:r>
      <w:r>
        <w:rPr>
          <w:rFonts w:hint="eastAsia" w:ascii="宋体" w:hAnsi="宋体" w:eastAsia="宋体" w:cs="宋体"/>
          <w:color w:val="auto"/>
          <w:spacing w:val="0"/>
          <w:sz w:val="28"/>
          <w:szCs w:val="28"/>
          <w:highlight w:val="none"/>
          <w:u w:val="none"/>
          <w:lang w:val="en-US" w:eastAsia="zh-CN"/>
        </w:rPr>
        <w:t>其他相关资料。</w:t>
      </w:r>
    </w:p>
    <w:p>
      <w:pPr>
        <w:pStyle w:val="8"/>
        <w:pageBreakBefore w:val="0"/>
        <w:widowControl w:val="0"/>
        <w:kinsoku/>
        <w:wordWrap/>
        <w:overflowPunct/>
        <w:topLinePunct w:val="0"/>
        <w:autoSpaceDE/>
        <w:autoSpaceDN/>
        <w:bidi w:val="0"/>
        <w:adjustRightInd/>
        <w:snapToGrid/>
        <w:spacing w:before="0" w:after="0" w:line="276" w:lineRule="auto"/>
        <w:ind w:firstLine="562" w:firstLineChars="200"/>
        <w:textAlignment w:val="auto"/>
        <w:outlineLvl w:val="1"/>
        <w:rPr>
          <w:rFonts w:hint="eastAsia" w:ascii="宋体" w:hAnsi="宋体" w:eastAsia="宋体" w:cs="宋体"/>
          <w:color w:val="auto"/>
          <w:highlight w:val="none"/>
          <w:lang w:val="en-US" w:eastAsia="zh-CN"/>
        </w:rPr>
      </w:pPr>
      <w:bookmarkStart w:id="42" w:name="_Toc8212"/>
      <w:r>
        <w:rPr>
          <w:rFonts w:hint="eastAsia" w:ascii="宋体" w:hAnsi="宋体" w:eastAsia="宋体" w:cs="宋体"/>
          <w:color w:val="auto"/>
          <w:highlight w:val="none"/>
          <w:lang w:val="en-US" w:eastAsia="zh-CN"/>
        </w:rPr>
        <w:t>1.3工作内容及技术路线</w:t>
      </w:r>
      <w:bookmarkEnd w:id="40"/>
      <w:bookmarkEnd w:id="42"/>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outlineLvl w:val="9"/>
        <w:rPr>
          <w:rFonts w:hint="eastAsia" w:ascii="宋体" w:hAnsi="宋体" w:eastAsia="宋体" w:cs="宋体"/>
          <w:caps w:val="0"/>
          <w:smallCaps w:val="0"/>
          <w:color w:val="auto"/>
          <w:spacing w:val="0"/>
          <w:kern w:val="2"/>
          <w:sz w:val="28"/>
          <w:szCs w:val="28"/>
          <w:highlight w:val="none"/>
          <w:u w:val="none" w:color="auto"/>
          <w:vertAlign w:val="baseline"/>
          <w:lang w:val="en-US" w:eastAsia="zh-CN" w:bidi="ar-SA"/>
        </w:rPr>
      </w:pPr>
      <w:bookmarkStart w:id="43" w:name="_Toc21910"/>
      <w:bookmarkStart w:id="44" w:name="_Toc6562"/>
      <w:bookmarkStart w:id="45" w:name="_Toc26988"/>
      <w:bookmarkStart w:id="46" w:name="_Toc28139"/>
      <w:r>
        <w:rPr>
          <w:rFonts w:hint="eastAsia" w:ascii="宋体" w:hAnsi="宋体" w:eastAsia="宋体" w:cs="宋体"/>
          <w:caps w:val="0"/>
          <w:smallCaps w:val="0"/>
          <w:color w:val="auto"/>
          <w:spacing w:val="0"/>
          <w:kern w:val="2"/>
          <w:sz w:val="28"/>
          <w:szCs w:val="28"/>
          <w:highlight w:val="none"/>
          <w:u w:val="none" w:color="auto"/>
          <w:vertAlign w:val="baseline"/>
          <w:lang w:val="en-US" w:eastAsia="zh-CN" w:bidi="ar-SA"/>
        </w:rPr>
        <w:t>本次监测范围为企业厂区范围内的土壤和地下水。主要工作内容如下：场地历史资料收集和初步整理、现场踏勘和人员访谈、工作方案编制、样品采集分析测试、综合研究分析与报告编制。</w:t>
      </w:r>
      <w:bookmarkEnd w:id="43"/>
      <w:bookmarkEnd w:id="44"/>
      <w:bookmarkEnd w:id="45"/>
      <w:bookmarkEnd w:id="46"/>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outlineLvl w:val="9"/>
        <w:rPr>
          <w:rFonts w:hint="eastAsia" w:ascii="宋体" w:hAnsi="宋体" w:eastAsia="宋体" w:cs="宋体"/>
          <w:caps w:val="0"/>
          <w:smallCaps w:val="0"/>
          <w:color w:val="auto"/>
          <w:spacing w:val="0"/>
          <w:kern w:val="2"/>
          <w:sz w:val="28"/>
          <w:szCs w:val="28"/>
          <w:highlight w:val="none"/>
          <w:u w:val="none" w:color="auto"/>
          <w:vertAlign w:val="baseline"/>
          <w:lang w:val="en-US" w:eastAsia="zh-CN" w:bidi="ar-SA"/>
        </w:rPr>
      </w:pPr>
      <w:bookmarkStart w:id="47" w:name="_Toc26167"/>
      <w:bookmarkStart w:id="48" w:name="_Toc24316"/>
      <w:bookmarkStart w:id="49" w:name="_Toc27595"/>
      <w:bookmarkStart w:id="50" w:name="_Toc18438"/>
      <w:r>
        <w:rPr>
          <w:rFonts w:hint="eastAsia" w:ascii="宋体" w:hAnsi="宋体" w:eastAsia="宋体" w:cs="宋体"/>
          <w:caps w:val="0"/>
          <w:smallCaps w:val="0"/>
          <w:color w:val="auto"/>
          <w:spacing w:val="0"/>
          <w:kern w:val="2"/>
          <w:sz w:val="28"/>
          <w:szCs w:val="28"/>
          <w:highlight w:val="none"/>
          <w:u w:val="none" w:color="auto"/>
          <w:vertAlign w:val="baseline"/>
          <w:lang w:val="en-US" w:eastAsia="zh-CN" w:bidi="ar-SA"/>
        </w:rPr>
        <w:t>企业资料收集和初步整理：通过多种渠道和方式收集企业资料并整理，根据企业生产经营资料对企业土壤和地下水进行初步研判。收集地块周边环境资料，尤其是土壤和周围水环境的历史资料信息，初步判断存在土壤或地下水污染隐患重点区域。</w:t>
      </w:r>
      <w:bookmarkEnd w:id="47"/>
      <w:bookmarkEnd w:id="48"/>
      <w:bookmarkEnd w:id="49"/>
      <w:bookmarkEnd w:id="50"/>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outlineLvl w:val="9"/>
        <w:rPr>
          <w:rFonts w:hint="eastAsia" w:ascii="宋体" w:hAnsi="宋体" w:eastAsia="宋体" w:cs="宋体"/>
          <w:caps w:val="0"/>
          <w:smallCaps w:val="0"/>
          <w:color w:val="auto"/>
          <w:spacing w:val="0"/>
          <w:kern w:val="2"/>
          <w:sz w:val="28"/>
          <w:szCs w:val="28"/>
          <w:highlight w:val="none"/>
          <w:u w:val="none" w:color="auto"/>
          <w:vertAlign w:val="baseline"/>
          <w:lang w:val="en-US" w:eastAsia="zh-CN" w:bidi="ar-SA"/>
        </w:rPr>
      </w:pPr>
      <w:bookmarkStart w:id="51" w:name="_Toc20285"/>
      <w:bookmarkStart w:id="52" w:name="_Toc25966"/>
      <w:bookmarkStart w:id="53" w:name="_Toc22343"/>
      <w:bookmarkStart w:id="54" w:name="_Toc15315"/>
      <w:r>
        <w:rPr>
          <w:rFonts w:hint="eastAsia" w:ascii="宋体" w:hAnsi="宋体" w:eastAsia="宋体" w:cs="宋体"/>
          <w:caps w:val="0"/>
          <w:smallCaps w:val="0"/>
          <w:color w:val="auto"/>
          <w:spacing w:val="0"/>
          <w:kern w:val="2"/>
          <w:sz w:val="28"/>
          <w:szCs w:val="28"/>
          <w:highlight w:val="none"/>
          <w:u w:val="none" w:color="auto"/>
          <w:vertAlign w:val="baseline"/>
          <w:lang w:val="en-US" w:eastAsia="zh-CN" w:bidi="ar-SA"/>
        </w:rPr>
        <w:t>现场踏勘：实地踏勘场地时，利用激光测距仪测量场地距离，用GPS对企业地块进行精准定位，生产环境进行拍照记录。</w:t>
      </w:r>
      <w:bookmarkEnd w:id="51"/>
      <w:bookmarkEnd w:id="52"/>
      <w:bookmarkEnd w:id="53"/>
      <w:bookmarkEnd w:id="54"/>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outlineLvl w:val="9"/>
        <w:rPr>
          <w:rFonts w:hint="eastAsia" w:ascii="宋体" w:hAnsi="宋体" w:eastAsia="宋体" w:cs="宋体"/>
          <w:caps w:val="0"/>
          <w:smallCaps w:val="0"/>
          <w:color w:val="auto"/>
          <w:spacing w:val="0"/>
          <w:kern w:val="2"/>
          <w:sz w:val="28"/>
          <w:szCs w:val="28"/>
          <w:highlight w:val="none"/>
          <w:u w:val="none" w:color="auto"/>
          <w:vertAlign w:val="baseline"/>
          <w:lang w:val="en-US" w:eastAsia="zh-CN" w:bidi="ar-SA"/>
        </w:rPr>
      </w:pPr>
      <w:bookmarkStart w:id="55" w:name="_Toc25848"/>
      <w:bookmarkStart w:id="56" w:name="_Toc9347"/>
      <w:bookmarkStart w:id="57" w:name="_Toc6135"/>
      <w:bookmarkStart w:id="58" w:name="_Toc32054"/>
      <w:r>
        <w:rPr>
          <w:rFonts w:hint="eastAsia" w:ascii="宋体" w:hAnsi="宋体" w:eastAsia="宋体" w:cs="宋体"/>
          <w:caps w:val="0"/>
          <w:smallCaps w:val="0"/>
          <w:color w:val="auto"/>
          <w:spacing w:val="0"/>
          <w:kern w:val="2"/>
          <w:sz w:val="28"/>
          <w:szCs w:val="28"/>
          <w:highlight w:val="none"/>
          <w:u w:val="none" w:color="auto"/>
          <w:vertAlign w:val="baseline"/>
          <w:lang w:val="en-US" w:eastAsia="zh-CN" w:bidi="ar-SA"/>
        </w:rPr>
        <w:t>人员访谈：对企业工作人员和管理领导人员等进行访谈，对资料收集和现场踏勘所涉及的疑问，以及信息补充和已有资料的考证。</w:t>
      </w:r>
      <w:bookmarkEnd w:id="55"/>
      <w:bookmarkEnd w:id="56"/>
      <w:bookmarkEnd w:id="57"/>
      <w:bookmarkEnd w:id="58"/>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outlineLvl w:val="9"/>
        <w:rPr>
          <w:rFonts w:hint="eastAsia" w:ascii="宋体" w:hAnsi="宋体" w:eastAsia="宋体" w:cs="宋体"/>
          <w:caps w:val="0"/>
          <w:smallCaps w:val="0"/>
          <w:color w:val="auto"/>
          <w:spacing w:val="0"/>
          <w:kern w:val="2"/>
          <w:sz w:val="28"/>
          <w:szCs w:val="28"/>
          <w:highlight w:val="none"/>
          <w:u w:val="none" w:color="auto"/>
          <w:vertAlign w:val="baseline"/>
          <w:lang w:val="en-US" w:eastAsia="zh-CN" w:bidi="ar-SA"/>
        </w:rPr>
      </w:pPr>
      <w:bookmarkStart w:id="59" w:name="_Toc10334"/>
      <w:bookmarkStart w:id="60" w:name="_Toc31665"/>
      <w:bookmarkStart w:id="61" w:name="_Toc15813"/>
      <w:bookmarkStart w:id="62" w:name="_Toc3653"/>
      <w:r>
        <w:rPr>
          <w:rFonts w:hint="eastAsia" w:ascii="宋体" w:hAnsi="宋体" w:eastAsia="宋体" w:cs="宋体"/>
          <w:caps w:val="0"/>
          <w:smallCaps w:val="0"/>
          <w:color w:val="auto"/>
          <w:spacing w:val="0"/>
          <w:kern w:val="2"/>
          <w:sz w:val="28"/>
          <w:szCs w:val="28"/>
          <w:highlight w:val="none"/>
          <w:u w:val="none" w:color="auto"/>
          <w:vertAlign w:val="baseline"/>
          <w:lang w:val="en-US" w:eastAsia="zh-CN" w:bidi="ar-SA"/>
        </w:rPr>
        <w:t>排查重点场所及重点设施设备：对收集的资料以及现场踏勘，识别可能存在土壤和地下水环境污染隐患的场所、设施及设备。</w:t>
      </w:r>
      <w:bookmarkEnd w:id="59"/>
      <w:bookmarkEnd w:id="60"/>
      <w:bookmarkEnd w:id="61"/>
      <w:bookmarkEnd w:id="62"/>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outlineLvl w:val="9"/>
        <w:rPr>
          <w:rFonts w:hint="eastAsia" w:ascii="宋体" w:hAnsi="宋体" w:eastAsia="宋体" w:cs="宋体"/>
          <w:caps w:val="0"/>
          <w:smallCaps w:val="0"/>
          <w:color w:val="auto"/>
          <w:spacing w:val="0"/>
          <w:kern w:val="2"/>
          <w:sz w:val="28"/>
          <w:szCs w:val="28"/>
          <w:highlight w:val="none"/>
          <w:u w:val="none" w:color="auto"/>
          <w:vertAlign w:val="baseline"/>
          <w:lang w:val="en-US" w:eastAsia="zh-CN" w:bidi="ar-SA"/>
        </w:rPr>
      </w:pPr>
      <w:bookmarkStart w:id="63" w:name="_Toc4500"/>
      <w:bookmarkStart w:id="64" w:name="_Toc19730"/>
      <w:bookmarkStart w:id="65" w:name="_Toc30496"/>
      <w:r>
        <w:rPr>
          <w:rFonts w:hint="eastAsia" w:ascii="宋体" w:hAnsi="宋体" w:eastAsia="宋体" w:cs="宋体"/>
          <w:caps w:val="0"/>
          <w:smallCaps w:val="0"/>
          <w:color w:val="auto"/>
          <w:spacing w:val="0"/>
          <w:kern w:val="2"/>
          <w:sz w:val="28"/>
          <w:szCs w:val="28"/>
          <w:highlight w:val="none"/>
          <w:u w:val="none" w:color="auto"/>
          <w:vertAlign w:val="baseline"/>
          <w:lang w:val="en-US" w:eastAsia="zh-CN" w:bidi="ar-SA"/>
        </w:rPr>
        <w:t>确定重点监测单元：根据调查结果进行分析、评价和总结，参考《重点监管单位土壤污染隐患排查指南（试行）》确定重点场所和设备，并根据《工业企业土壤和地下水自行监测技术指南（试行）》HJ1209-2021。划分重点监测单元风险级别。现场工作方案编制：依据重点监测单元风险级别、场地历史资料、现场踏勘及人员访谈成果，编制自行监测工作方案。</w:t>
      </w:r>
      <w:bookmarkEnd w:id="63"/>
      <w:bookmarkEnd w:id="64"/>
      <w:bookmarkEnd w:id="65"/>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outlineLvl w:val="9"/>
        <w:rPr>
          <w:rFonts w:hint="eastAsia" w:ascii="宋体" w:hAnsi="宋体" w:eastAsia="宋体" w:cs="宋体"/>
          <w:caps w:val="0"/>
          <w:smallCaps w:val="0"/>
          <w:color w:val="auto"/>
          <w:spacing w:val="0"/>
          <w:kern w:val="2"/>
          <w:sz w:val="28"/>
          <w:szCs w:val="28"/>
          <w:highlight w:val="none"/>
          <w:u w:val="none" w:color="auto"/>
          <w:vertAlign w:val="baseline"/>
          <w:lang w:val="en-US" w:eastAsia="zh-CN" w:bidi="ar-SA"/>
        </w:rPr>
      </w:pPr>
      <w:bookmarkStart w:id="66" w:name="_Toc13667"/>
      <w:bookmarkStart w:id="67" w:name="_Toc32666"/>
      <w:bookmarkStart w:id="68" w:name="_Toc6668"/>
      <w:bookmarkStart w:id="69" w:name="_Toc2370"/>
      <w:r>
        <w:rPr>
          <w:rFonts w:hint="eastAsia" w:ascii="宋体" w:hAnsi="宋体" w:eastAsia="宋体" w:cs="宋体"/>
          <w:caps w:val="0"/>
          <w:smallCaps w:val="0"/>
          <w:color w:val="auto"/>
          <w:spacing w:val="0"/>
          <w:kern w:val="2"/>
          <w:sz w:val="28"/>
          <w:szCs w:val="28"/>
          <w:highlight w:val="none"/>
          <w:u w:val="none" w:color="auto"/>
          <w:vertAlign w:val="baseline"/>
          <w:lang w:val="en-US" w:eastAsia="zh-CN" w:bidi="ar-SA"/>
        </w:rPr>
        <w:t>现场采样和实验室分析：现场采样前如缺少土壤和地下水监测设施，需按相关技术标准提前进行建设，满足现场监测或采样条件后方可开始进行样品的采集。样品的采集和实验室检测分析，整理调查信息和检测结果，评估检测数据的质量，分析数据的有效性和充分性。根据土壤检测结果进行统计分析，确定地块关注污染物种类、浓度水平和空间分布，确认所监测重点设施或重点区域是否超过国家规定的限值标准。</w:t>
      </w:r>
      <w:bookmarkEnd w:id="66"/>
      <w:bookmarkEnd w:id="67"/>
      <w:bookmarkEnd w:id="68"/>
      <w:bookmarkEnd w:id="69"/>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outlineLvl w:val="9"/>
        <w:rPr>
          <w:rFonts w:hint="eastAsia" w:ascii="宋体" w:hAnsi="宋体" w:eastAsia="宋体" w:cs="宋体"/>
          <w:caps w:val="0"/>
          <w:smallCaps w:val="0"/>
          <w:color w:val="auto"/>
          <w:spacing w:val="0"/>
          <w:kern w:val="2"/>
          <w:sz w:val="28"/>
          <w:szCs w:val="28"/>
          <w:highlight w:val="none"/>
          <w:u w:val="none" w:color="auto"/>
          <w:vertAlign w:val="baseline"/>
          <w:lang w:val="en-US" w:eastAsia="zh-CN" w:bidi="ar-SA"/>
        </w:rPr>
      </w:pPr>
      <w:bookmarkStart w:id="70" w:name="_Toc6043"/>
      <w:bookmarkStart w:id="71" w:name="_Toc27666"/>
      <w:bookmarkStart w:id="72" w:name="_Toc24444"/>
      <w:bookmarkStart w:id="73" w:name="_Toc12503"/>
      <w:r>
        <w:rPr>
          <w:rFonts w:hint="eastAsia" w:ascii="宋体" w:hAnsi="宋体" w:eastAsia="宋体" w:cs="宋体"/>
          <w:caps w:val="0"/>
          <w:smallCaps w:val="0"/>
          <w:color w:val="auto"/>
          <w:spacing w:val="0"/>
          <w:kern w:val="2"/>
          <w:sz w:val="28"/>
          <w:szCs w:val="28"/>
          <w:highlight w:val="none"/>
          <w:u w:val="none" w:color="auto"/>
          <w:vertAlign w:val="baseline"/>
          <w:lang w:val="en-US" w:eastAsia="zh-CN" w:bidi="ar-SA"/>
        </w:rPr>
        <w:t>报告编制：编写本次自行监测方案，包括描述任务来源及依据、现场工作情况、企业污染源概况、监测布点情况、样品采集分析测试要求等内容。</w:t>
      </w:r>
      <w:bookmarkEnd w:id="70"/>
      <w:bookmarkEnd w:id="71"/>
      <w:bookmarkEnd w:id="72"/>
      <w:bookmarkEnd w:id="73"/>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outlineLvl w:val="9"/>
        <w:rPr>
          <w:rFonts w:hint="eastAsia" w:ascii="宋体" w:hAnsi="宋体" w:eastAsia="宋体" w:cs="宋体"/>
          <w:caps w:val="0"/>
          <w:smallCaps w:val="0"/>
          <w:color w:val="auto"/>
          <w:spacing w:val="0"/>
          <w:kern w:val="2"/>
          <w:sz w:val="28"/>
          <w:szCs w:val="28"/>
          <w:highlight w:val="none"/>
          <w:u w:val="none" w:color="auto"/>
          <w:vertAlign w:val="baseline"/>
          <w:lang w:val="en-US" w:eastAsia="zh-CN" w:bidi="ar-SA"/>
        </w:rPr>
      </w:pPr>
      <w:bookmarkStart w:id="74" w:name="_Toc5079"/>
      <w:bookmarkStart w:id="75" w:name="_Toc19514"/>
      <w:bookmarkStart w:id="76" w:name="_Toc3794"/>
      <w:bookmarkStart w:id="77" w:name="_Toc3675"/>
      <w:r>
        <w:rPr>
          <w:rFonts w:hint="eastAsia" w:ascii="宋体" w:hAnsi="宋体" w:eastAsia="宋体" w:cs="宋体"/>
          <w:caps w:val="0"/>
          <w:smallCaps w:val="0"/>
          <w:color w:val="auto"/>
          <w:spacing w:val="0"/>
          <w:kern w:val="2"/>
          <w:sz w:val="28"/>
          <w:szCs w:val="28"/>
          <w:highlight w:val="none"/>
          <w:u w:val="none" w:color="auto"/>
          <w:vertAlign w:val="baseline"/>
          <w:lang w:val="en-US" w:eastAsia="zh-CN" w:bidi="ar-SA"/>
        </w:rPr>
        <w:t>自行监测技术路线序流程图如下图1-1。</w:t>
      </w:r>
      <w:bookmarkEnd w:id="74"/>
      <w:bookmarkEnd w:id="75"/>
      <w:bookmarkEnd w:id="76"/>
      <w:bookmarkEnd w:id="77"/>
    </w:p>
    <w:p>
      <w:pPr>
        <w:pStyle w:val="7"/>
        <w:bidi w:val="0"/>
        <w:jc w:val="both"/>
        <w:outlineLvl w:val="9"/>
        <w:rPr>
          <w:rFonts w:hint="eastAsia" w:ascii="宋体" w:hAnsi="宋体" w:eastAsia="宋体" w:cs="宋体"/>
          <w:b w:val="0"/>
          <w:bCs w:val="0"/>
          <w:color w:val="auto"/>
          <w:kern w:val="2"/>
          <w:sz w:val="28"/>
          <w:szCs w:val="24"/>
          <w:highlight w:val="none"/>
          <w:lang w:val="en-US" w:eastAsia="zh-CN" w:bidi="ar-SA"/>
        </w:rPr>
      </w:pPr>
      <w:bookmarkStart w:id="78" w:name="_Toc11213"/>
      <w:bookmarkStart w:id="79" w:name="_Toc14701"/>
      <w:bookmarkStart w:id="80" w:name="_Toc17410"/>
    </w:p>
    <w:p>
      <w:pPr>
        <w:bidi w:val="0"/>
        <w:spacing w:line="240" w:lineRule="auto"/>
        <w:jc w:val="center"/>
        <w:outlineLvl w:val="9"/>
        <w:rPr>
          <w:rFonts w:hint="eastAsia" w:ascii="宋体" w:hAnsi="宋体" w:eastAsia="宋体" w:cs="宋体"/>
          <w:b w:val="0"/>
          <w:bCs w:val="0"/>
          <w:color w:val="auto"/>
          <w:kern w:val="2"/>
          <w:sz w:val="28"/>
          <w:szCs w:val="24"/>
          <w:highlight w:val="none"/>
          <w:lang w:val="en-US" w:eastAsia="zh-CN" w:bidi="ar-SA"/>
        </w:rPr>
      </w:pPr>
      <w:r>
        <w:rPr>
          <w:rFonts w:hint="eastAsia" w:ascii="宋体" w:hAnsi="宋体" w:eastAsia="宋体" w:cs="宋体"/>
          <w:b w:val="0"/>
          <w:bCs w:val="0"/>
          <w:color w:val="auto"/>
          <w:kern w:val="2"/>
          <w:sz w:val="28"/>
          <w:szCs w:val="24"/>
          <w:highlight w:val="none"/>
          <w:lang w:val="en-US" w:eastAsia="zh-CN" w:bidi="ar-SA"/>
        </w:rPr>
        <w:drawing>
          <wp:inline distT="0" distB="0" distL="114300" distR="114300">
            <wp:extent cx="5272405" cy="6006465"/>
            <wp:effectExtent l="0" t="0" r="10795" b="635"/>
            <wp:docPr id="1" name="图片 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图片1"/>
                    <pic:cNvPicPr>
                      <a:picLocks noChangeAspect="1"/>
                    </pic:cNvPicPr>
                  </pic:nvPicPr>
                  <pic:blipFill>
                    <a:blip r:embed="rId10"/>
                    <a:stretch>
                      <a:fillRect/>
                    </a:stretch>
                  </pic:blipFill>
                  <pic:spPr>
                    <a:xfrm>
                      <a:off x="0" y="0"/>
                      <a:ext cx="5272405" cy="6006465"/>
                    </a:xfrm>
                    <a:prstGeom prst="rect">
                      <a:avLst/>
                    </a:prstGeom>
                  </pic:spPr>
                </pic:pic>
              </a:graphicData>
            </a:graphic>
          </wp:inline>
        </w:drawing>
      </w:r>
    </w:p>
    <w:p>
      <w:pPr>
        <w:bidi w:val="0"/>
        <w:jc w:val="center"/>
        <w:outlineLvl w:val="9"/>
        <w:rPr>
          <w:rFonts w:hint="eastAsia" w:ascii="宋体" w:hAnsi="宋体" w:eastAsia="宋体" w:cs="宋体"/>
          <w:b w:val="0"/>
          <w:bCs w:val="0"/>
          <w:color w:val="auto"/>
          <w:kern w:val="2"/>
          <w:sz w:val="28"/>
          <w:szCs w:val="24"/>
          <w:highlight w:val="none"/>
          <w:lang w:val="en-US" w:eastAsia="zh-CN" w:bidi="ar-SA"/>
        </w:rPr>
      </w:pPr>
      <w:bookmarkStart w:id="81" w:name="_Toc17832"/>
      <w:r>
        <w:rPr>
          <w:rFonts w:hint="eastAsia" w:ascii="宋体" w:hAnsi="宋体" w:eastAsia="宋体" w:cs="宋体"/>
          <w:b w:val="0"/>
          <w:bCs w:val="0"/>
          <w:color w:val="auto"/>
          <w:kern w:val="2"/>
          <w:sz w:val="28"/>
          <w:szCs w:val="24"/>
          <w:highlight w:val="none"/>
          <w:lang w:val="en-US" w:eastAsia="zh-CN" w:bidi="ar-SA"/>
        </w:rPr>
        <w:t>图1-1 自行监测工作步骤</w:t>
      </w:r>
      <w:bookmarkEnd w:id="78"/>
      <w:bookmarkEnd w:id="79"/>
      <w:bookmarkEnd w:id="80"/>
      <w:bookmarkEnd w:id="81"/>
    </w:p>
    <w:p>
      <w:pPr>
        <w:pStyle w:val="5"/>
        <w:rPr>
          <w:rFonts w:hint="eastAsia" w:ascii="宋体" w:hAnsi="宋体" w:eastAsia="宋体" w:cs="宋体"/>
        </w:rPr>
      </w:pPr>
      <w:bookmarkStart w:id="82" w:name="_Toc25949"/>
      <w:bookmarkStart w:id="83" w:name="_Toc6941"/>
      <w:bookmarkStart w:id="84" w:name="_Toc8750_WPSOffice_Level1"/>
      <w:bookmarkStart w:id="85" w:name="_Toc53736326"/>
      <w:bookmarkStart w:id="86" w:name="_Toc20176"/>
      <w:bookmarkStart w:id="87" w:name="_Toc22199826"/>
      <w:bookmarkStart w:id="88" w:name="_Toc32373"/>
      <w:bookmarkStart w:id="89" w:name="_Toc2060"/>
      <w:bookmarkStart w:id="90" w:name="_Toc26004761"/>
      <w:bookmarkStart w:id="91" w:name="_Toc31745"/>
      <w:bookmarkStart w:id="92" w:name="_Toc18768"/>
      <w:bookmarkStart w:id="93" w:name="_Toc6453"/>
      <w:bookmarkStart w:id="94" w:name="_Toc2672"/>
    </w:p>
    <w:bookmarkEnd w:id="82"/>
    <w:bookmarkEnd w:id="83"/>
    <w:bookmarkEnd w:id="84"/>
    <w:bookmarkEnd w:id="85"/>
    <w:bookmarkEnd w:id="86"/>
    <w:bookmarkEnd w:id="87"/>
    <w:bookmarkEnd w:id="88"/>
    <w:bookmarkEnd w:id="89"/>
    <w:bookmarkEnd w:id="90"/>
    <w:bookmarkEnd w:id="91"/>
    <w:bookmarkEnd w:id="92"/>
    <w:bookmarkEnd w:id="93"/>
    <w:bookmarkEnd w:id="94"/>
    <w:p>
      <w:pPr>
        <w:pStyle w:val="7"/>
        <w:bidi w:val="0"/>
        <w:rPr>
          <w:rFonts w:hint="eastAsia" w:ascii="宋体" w:hAnsi="宋体" w:eastAsia="宋体" w:cs="宋体"/>
          <w:color w:val="auto"/>
          <w:highlight w:val="none"/>
          <w:lang w:val="en-US" w:eastAsia="zh-CN"/>
        </w:rPr>
      </w:pPr>
      <w:bookmarkStart w:id="95" w:name="_Toc13529"/>
      <w:bookmarkStart w:id="96" w:name="_Toc7883"/>
      <w:r>
        <w:rPr>
          <w:rFonts w:hint="eastAsia" w:ascii="宋体" w:hAnsi="宋体" w:eastAsia="宋体" w:cs="宋体"/>
          <w:color w:val="auto"/>
          <w:highlight w:val="none"/>
          <w:lang w:val="en-US" w:eastAsia="zh-CN"/>
        </w:rPr>
        <w:t>2.企业概况</w:t>
      </w:r>
      <w:bookmarkEnd w:id="95"/>
      <w:bookmarkEnd w:id="96"/>
    </w:p>
    <w:p>
      <w:pPr>
        <w:bidi w:val="0"/>
        <w:spacing w:line="520" w:lineRule="exact"/>
        <w:ind w:firstLine="560" w:firstLineChars="200"/>
        <w:jc w:val="left"/>
        <w:rPr>
          <w:rFonts w:hint="eastAsia" w:ascii="宋体" w:hAnsi="宋体" w:eastAsia="宋体" w:cs="宋体"/>
          <w:color w:val="auto"/>
          <w:sz w:val="28"/>
          <w:highlight w:val="none"/>
          <w:lang w:val="en-US" w:eastAsia="zh-CN"/>
        </w:rPr>
      </w:pPr>
      <w:r>
        <w:rPr>
          <w:rFonts w:hint="eastAsia" w:ascii="宋体" w:hAnsi="宋体" w:eastAsia="宋体" w:cs="宋体"/>
          <w:color w:val="auto"/>
          <w:sz w:val="28"/>
          <w:highlight w:val="none"/>
          <w:lang w:val="en-US" w:eastAsia="zh-CN"/>
        </w:rPr>
        <w:t>根据收集到的资料，企业情况概括如下：</w:t>
      </w:r>
    </w:p>
    <w:p>
      <w:pPr>
        <w:pStyle w:val="8"/>
        <w:bidi w:val="0"/>
        <w:rPr>
          <w:rFonts w:hint="eastAsia" w:ascii="宋体" w:hAnsi="宋体" w:eastAsia="宋体" w:cs="宋体"/>
          <w:color w:val="auto"/>
          <w:highlight w:val="none"/>
          <w:lang w:val="en-US" w:eastAsia="zh-CN"/>
        </w:rPr>
      </w:pPr>
      <w:bookmarkStart w:id="97" w:name="_Toc11007"/>
      <w:bookmarkStart w:id="98" w:name="_Toc2834"/>
      <w:r>
        <w:rPr>
          <w:rFonts w:hint="eastAsia" w:ascii="宋体" w:hAnsi="宋体" w:eastAsia="宋体" w:cs="宋体"/>
          <w:color w:val="auto"/>
          <w:highlight w:val="none"/>
          <w:lang w:val="en-US" w:eastAsia="zh-CN"/>
        </w:rPr>
        <w:t>2.1企业基本情况</w:t>
      </w:r>
      <w:bookmarkEnd w:id="97"/>
      <w:bookmarkEnd w:id="98"/>
    </w:p>
    <w:p>
      <w:pPr>
        <w:spacing w:line="360" w:lineRule="auto"/>
        <w:ind w:firstLine="560"/>
        <w:rPr>
          <w:rFonts w:hint="eastAsia" w:ascii="宋体" w:hAnsi="宋体" w:eastAsia="宋体" w:cs="宋体"/>
          <w:color w:val="auto"/>
          <w:spacing w:val="0"/>
          <w:kern w:val="2"/>
          <w:sz w:val="28"/>
          <w:szCs w:val="28"/>
          <w:highlight w:val="none"/>
          <w:u w:val="none" w:color="auto"/>
          <w:lang w:val="en-US" w:eastAsia="zh-CN" w:bidi="zh-CN"/>
        </w:rPr>
      </w:pPr>
      <w:r>
        <w:rPr>
          <w:rFonts w:hint="eastAsia" w:ascii="宋体" w:hAnsi="宋体" w:eastAsia="宋体" w:cs="宋体"/>
          <w:caps w:val="0"/>
          <w:smallCaps w:val="0"/>
          <w:color w:val="auto"/>
          <w:spacing w:val="0"/>
          <w:sz w:val="28"/>
          <w:szCs w:val="28"/>
          <w:highlight w:val="none"/>
          <w:u w:val="none" w:color="auto"/>
          <w:lang w:val="en-US" w:eastAsia="zh-CN"/>
        </w:rPr>
        <w:t>三门峡新鑫源科技有限公司创建于</w:t>
      </w:r>
      <w:r>
        <w:rPr>
          <w:rFonts w:hint="eastAsia" w:ascii="宋体" w:hAnsi="宋体" w:eastAsia="宋体" w:cs="宋体"/>
          <w:caps w:val="0"/>
          <w:smallCaps w:val="0"/>
          <w:color w:val="auto"/>
          <w:spacing w:val="0"/>
          <w:kern w:val="0"/>
          <w:sz w:val="28"/>
          <w:szCs w:val="28"/>
          <w:highlight w:val="none"/>
          <w:u w:val="none" w:color="auto"/>
          <w:lang w:val="en-US" w:eastAsia="zh-CN" w:bidi="ar"/>
        </w:rPr>
        <w:t>2016年7月</w:t>
      </w:r>
      <w:r>
        <w:rPr>
          <w:rFonts w:hint="eastAsia" w:ascii="宋体" w:hAnsi="宋体" w:eastAsia="宋体" w:cs="宋体"/>
          <w:caps w:val="0"/>
          <w:smallCaps w:val="0"/>
          <w:color w:val="auto"/>
          <w:spacing w:val="0"/>
          <w:sz w:val="28"/>
          <w:szCs w:val="28"/>
          <w:highlight w:val="none"/>
          <w:u w:val="none" w:color="auto"/>
          <w:lang w:val="en-US" w:eastAsia="zh-CN"/>
        </w:rPr>
        <w:t>，公司位于三门峡陕州区先进制造业开发区（原陕州区产业聚集区）内，主要生产精细化工产品。公司厂区共分三个项目并配套2台燃气锅炉。</w:t>
      </w:r>
      <w:r>
        <w:rPr>
          <w:rFonts w:hint="eastAsia" w:ascii="宋体" w:hAnsi="宋体" w:eastAsia="宋体" w:cs="宋体"/>
          <w:color w:val="auto"/>
          <w:spacing w:val="0"/>
          <w:kern w:val="2"/>
          <w:sz w:val="28"/>
          <w:szCs w:val="28"/>
          <w:highlight w:val="none"/>
          <w:u w:val="none" w:color="auto"/>
          <w:lang w:val="zh-CN" w:eastAsia="zh-CN" w:bidi="zh-CN"/>
        </w:rPr>
        <w:t>建厂至今，三门峡新鑫源科技有限公司从未发生过重大环境投诉、群体性上访、重大安全与环境事故等。</w:t>
      </w:r>
    </w:p>
    <w:p>
      <w:pPr>
        <w:autoSpaceDE w:val="0"/>
        <w:adjustRightInd w:val="0"/>
        <w:snapToGrid w:val="0"/>
        <w:ind w:firstLine="560" w:firstLineChars="200"/>
        <w:jc w:val="both"/>
        <w:rPr>
          <w:rFonts w:hint="eastAsia" w:ascii="宋体" w:hAnsi="宋体" w:eastAsia="宋体" w:cs="宋体"/>
          <w:b w:val="0"/>
          <w:bCs w:val="0"/>
          <w:color w:val="auto"/>
          <w:kern w:val="2"/>
          <w:sz w:val="28"/>
          <w:szCs w:val="24"/>
          <w:highlight w:val="none"/>
          <w:lang w:val="en-US" w:eastAsia="zh-CN" w:bidi="ar-SA"/>
        </w:rPr>
      </w:pPr>
      <w:r>
        <w:rPr>
          <w:rFonts w:hint="eastAsia" w:ascii="宋体" w:hAnsi="宋体" w:eastAsia="宋体" w:cs="宋体"/>
          <w:b w:val="0"/>
          <w:bCs w:val="0"/>
          <w:color w:val="auto"/>
          <w:kern w:val="2"/>
          <w:sz w:val="28"/>
          <w:szCs w:val="24"/>
          <w:highlight w:val="none"/>
          <w:lang w:val="en-US" w:eastAsia="zh-CN" w:bidi="ar-SA"/>
        </w:rPr>
        <w:t>企业基本信息见表2-1。</w:t>
      </w:r>
    </w:p>
    <w:p>
      <w:pPr>
        <w:widowControl/>
        <w:tabs>
          <w:tab w:val="left" w:pos="2278"/>
        </w:tabs>
        <w:spacing w:line="540" w:lineRule="exact"/>
        <w:ind w:firstLine="482" w:firstLineChars="200"/>
        <w:jc w:val="center"/>
        <w:rPr>
          <w:rFonts w:hint="eastAsia" w:ascii="宋体" w:hAnsi="宋体" w:eastAsia="宋体" w:cs="宋体"/>
          <w:b/>
          <w:bCs/>
          <w:sz w:val="24"/>
          <w:szCs w:val="24"/>
        </w:rPr>
      </w:pPr>
      <w:r>
        <w:rPr>
          <w:rFonts w:hint="eastAsia" w:ascii="宋体" w:hAnsi="宋体" w:eastAsia="宋体" w:cs="宋体"/>
          <w:b/>
          <w:bCs/>
          <w:sz w:val="24"/>
          <w:szCs w:val="24"/>
        </w:rPr>
        <w:t>表2-1企业基本信息表</w:t>
      </w:r>
    </w:p>
    <w:tbl>
      <w:tblPr>
        <w:tblStyle w:val="21"/>
        <w:tblW w:w="886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84"/>
        <w:gridCol w:w="1797"/>
        <w:gridCol w:w="1938"/>
        <w:gridCol w:w="28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84" w:type="dxa"/>
            <w:vAlign w:val="center"/>
          </w:tcPr>
          <w:p>
            <w:pPr>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4"/>
                <w:szCs w:val="24"/>
                <w:highlight w:val="none"/>
                <w:u w:val="none" w:color="auto"/>
              </w:rPr>
            </w:pPr>
            <w:bookmarkStart w:id="99" w:name="_Toc5896"/>
            <w:r>
              <w:rPr>
                <w:rFonts w:hint="eastAsia" w:ascii="宋体" w:hAnsi="宋体" w:eastAsia="宋体" w:cs="宋体"/>
                <w:caps w:val="0"/>
                <w:smallCaps w:val="0"/>
                <w:color w:val="auto"/>
                <w:spacing w:val="0"/>
                <w:sz w:val="24"/>
                <w:szCs w:val="24"/>
                <w:highlight w:val="none"/>
                <w:u w:val="none" w:color="auto"/>
              </w:rPr>
              <w:t>单位名称</w:t>
            </w:r>
          </w:p>
        </w:tc>
        <w:tc>
          <w:tcPr>
            <w:tcW w:w="6595" w:type="dxa"/>
            <w:gridSpan w:val="3"/>
            <w:vAlign w:val="center"/>
          </w:tcPr>
          <w:p>
            <w:pPr>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4"/>
                <w:szCs w:val="24"/>
                <w:highlight w:val="none"/>
                <w:u w:val="none" w:color="auto"/>
              </w:rPr>
            </w:pPr>
            <w:r>
              <w:rPr>
                <w:rFonts w:hint="eastAsia" w:ascii="宋体" w:hAnsi="宋体" w:eastAsia="宋体" w:cs="宋体"/>
                <w:caps w:val="0"/>
                <w:smallCaps w:val="0"/>
                <w:color w:val="auto"/>
                <w:spacing w:val="0"/>
                <w:kern w:val="0"/>
                <w:sz w:val="24"/>
                <w:szCs w:val="24"/>
                <w:highlight w:val="none"/>
                <w:u w:val="none" w:color="auto"/>
              </w:rPr>
              <w:t>三门峡新鑫源科技有限公司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84" w:type="dxa"/>
            <w:vAlign w:val="center"/>
          </w:tcPr>
          <w:p>
            <w:pPr>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4"/>
                <w:szCs w:val="24"/>
                <w:highlight w:val="none"/>
                <w:u w:val="none" w:color="auto"/>
              </w:rPr>
            </w:pPr>
            <w:r>
              <w:rPr>
                <w:rFonts w:hint="eastAsia" w:ascii="宋体" w:hAnsi="宋体" w:eastAsia="宋体" w:cs="宋体"/>
                <w:caps w:val="0"/>
                <w:smallCaps w:val="0"/>
                <w:color w:val="auto"/>
                <w:spacing w:val="0"/>
                <w:sz w:val="24"/>
                <w:szCs w:val="24"/>
                <w:highlight w:val="none"/>
                <w:u w:val="none" w:color="auto"/>
              </w:rPr>
              <w:t>单位地址</w:t>
            </w:r>
          </w:p>
        </w:tc>
        <w:tc>
          <w:tcPr>
            <w:tcW w:w="6595" w:type="dxa"/>
            <w:gridSpan w:val="3"/>
            <w:vAlign w:val="center"/>
          </w:tcPr>
          <w:p>
            <w:pPr>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4"/>
                <w:szCs w:val="24"/>
                <w:highlight w:val="none"/>
                <w:u w:val="none" w:color="auto"/>
                <w:lang w:eastAsia="zh-CN"/>
              </w:rPr>
            </w:pPr>
            <w:r>
              <w:rPr>
                <w:rFonts w:hint="eastAsia" w:ascii="宋体" w:hAnsi="宋体" w:eastAsia="宋体" w:cs="宋体"/>
                <w:caps w:val="0"/>
                <w:smallCaps w:val="0"/>
                <w:color w:val="auto"/>
                <w:spacing w:val="0"/>
                <w:sz w:val="24"/>
                <w:szCs w:val="24"/>
                <w:highlight w:val="none"/>
                <w:u w:val="none" w:color="auto"/>
              </w:rPr>
              <w:t>三门峡</w:t>
            </w:r>
            <w:r>
              <w:rPr>
                <w:rFonts w:hint="eastAsia" w:ascii="宋体" w:hAnsi="宋体" w:eastAsia="宋体" w:cs="宋体"/>
                <w:caps w:val="0"/>
                <w:smallCaps w:val="0"/>
                <w:color w:val="auto"/>
                <w:spacing w:val="0"/>
                <w:sz w:val="24"/>
                <w:szCs w:val="24"/>
                <w:highlight w:val="none"/>
                <w:u w:val="none" w:color="auto"/>
                <w:lang w:eastAsia="zh-CN"/>
              </w:rPr>
              <w:t>陕州区先进制造业开发区（原陕州区产业聚集区）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84" w:type="dxa"/>
            <w:vAlign w:val="center"/>
          </w:tcPr>
          <w:p>
            <w:pPr>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4"/>
                <w:szCs w:val="24"/>
                <w:highlight w:val="none"/>
                <w:u w:val="none" w:color="auto"/>
              </w:rPr>
            </w:pPr>
            <w:r>
              <w:rPr>
                <w:rFonts w:hint="eastAsia" w:ascii="宋体" w:hAnsi="宋体" w:eastAsia="宋体" w:cs="宋体"/>
                <w:caps w:val="0"/>
                <w:smallCaps w:val="0"/>
                <w:color w:val="auto"/>
                <w:spacing w:val="0"/>
                <w:sz w:val="24"/>
                <w:szCs w:val="24"/>
                <w:highlight w:val="none"/>
                <w:u w:val="none" w:color="auto"/>
              </w:rPr>
              <w:t>统一社会信用代码</w:t>
            </w:r>
          </w:p>
        </w:tc>
        <w:tc>
          <w:tcPr>
            <w:tcW w:w="6595" w:type="dxa"/>
            <w:gridSpan w:val="3"/>
            <w:vAlign w:val="center"/>
          </w:tcPr>
          <w:p>
            <w:pPr>
              <w:pageBreakBefore w:val="0"/>
              <w:widowControl/>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4"/>
                <w:szCs w:val="24"/>
                <w:highlight w:val="none"/>
                <w:u w:val="none" w:color="auto"/>
              </w:rPr>
            </w:pPr>
            <w:r>
              <w:rPr>
                <w:rFonts w:hint="eastAsia" w:ascii="宋体" w:hAnsi="宋体" w:eastAsia="宋体" w:cs="宋体"/>
                <w:caps w:val="0"/>
                <w:smallCaps w:val="0"/>
                <w:color w:val="auto"/>
                <w:spacing w:val="0"/>
                <w:sz w:val="24"/>
                <w:szCs w:val="24"/>
                <w:highlight w:val="none"/>
                <w:u w:val="none" w:color="auto"/>
                <w:shd w:val="clear" w:color="auto" w:fill="FFFFFF"/>
              </w:rPr>
              <w:t>91411222MA3XBQCN8U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84" w:type="dxa"/>
            <w:vAlign w:val="center"/>
          </w:tcPr>
          <w:p>
            <w:pPr>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4"/>
                <w:szCs w:val="24"/>
                <w:highlight w:val="none"/>
                <w:u w:val="none" w:color="auto"/>
              </w:rPr>
            </w:pPr>
            <w:r>
              <w:rPr>
                <w:rFonts w:hint="eastAsia" w:ascii="宋体" w:hAnsi="宋体" w:eastAsia="宋体" w:cs="宋体"/>
                <w:caps w:val="0"/>
                <w:smallCaps w:val="0"/>
                <w:color w:val="auto"/>
                <w:spacing w:val="0"/>
                <w:sz w:val="24"/>
                <w:szCs w:val="24"/>
                <w:highlight w:val="none"/>
                <w:u w:val="none" w:color="auto"/>
              </w:rPr>
              <w:t>法定代表人</w:t>
            </w:r>
          </w:p>
        </w:tc>
        <w:tc>
          <w:tcPr>
            <w:tcW w:w="1797" w:type="dxa"/>
            <w:vAlign w:val="center"/>
          </w:tcPr>
          <w:p>
            <w:pPr>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4"/>
                <w:szCs w:val="24"/>
                <w:highlight w:val="none"/>
                <w:u w:val="none" w:color="auto"/>
              </w:rPr>
            </w:pPr>
            <w:r>
              <w:rPr>
                <w:rFonts w:hint="eastAsia" w:ascii="宋体" w:hAnsi="宋体" w:eastAsia="宋体" w:cs="宋体"/>
                <w:caps w:val="0"/>
                <w:smallCaps w:val="0"/>
                <w:color w:val="auto"/>
                <w:spacing w:val="0"/>
                <w:sz w:val="24"/>
                <w:szCs w:val="24"/>
                <w:highlight w:val="none"/>
                <w:u w:val="none" w:color="auto"/>
                <w:shd w:val="clear" w:color="auto" w:fill="FFFFFF"/>
              </w:rPr>
              <w:t>丁青波</w:t>
            </w:r>
          </w:p>
        </w:tc>
        <w:tc>
          <w:tcPr>
            <w:tcW w:w="1938" w:type="dxa"/>
            <w:vAlign w:val="center"/>
          </w:tcPr>
          <w:p>
            <w:pPr>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4"/>
                <w:szCs w:val="24"/>
                <w:highlight w:val="none"/>
                <w:u w:val="none" w:color="auto"/>
              </w:rPr>
            </w:pPr>
            <w:r>
              <w:rPr>
                <w:rFonts w:hint="eastAsia" w:ascii="宋体" w:hAnsi="宋体" w:eastAsia="宋体" w:cs="宋体"/>
                <w:caps w:val="0"/>
                <w:smallCaps w:val="0"/>
                <w:color w:val="auto"/>
                <w:spacing w:val="0"/>
                <w:sz w:val="24"/>
                <w:szCs w:val="24"/>
                <w:highlight w:val="none"/>
                <w:u w:val="none" w:color="auto"/>
              </w:rPr>
              <w:t>所属行业类别</w:t>
            </w:r>
          </w:p>
        </w:tc>
        <w:tc>
          <w:tcPr>
            <w:tcW w:w="2860" w:type="dxa"/>
            <w:vAlign w:val="center"/>
          </w:tcPr>
          <w:p>
            <w:pPr>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4"/>
                <w:szCs w:val="24"/>
                <w:highlight w:val="none"/>
                <w:u w:val="none" w:color="auto"/>
              </w:rPr>
            </w:pPr>
            <w:r>
              <w:rPr>
                <w:rFonts w:hint="eastAsia" w:ascii="宋体" w:hAnsi="宋体" w:eastAsia="宋体" w:cs="宋体"/>
                <w:caps w:val="0"/>
                <w:smallCaps w:val="0"/>
                <w:color w:val="auto"/>
                <w:spacing w:val="0"/>
                <w:sz w:val="24"/>
                <w:szCs w:val="24"/>
                <w:highlight w:val="none"/>
                <w:u w:val="none" w:color="auto"/>
              </w:rPr>
              <w:t>C2662专用化学品制造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84" w:type="dxa"/>
            <w:vAlign w:val="center"/>
          </w:tcPr>
          <w:p>
            <w:pPr>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4"/>
                <w:szCs w:val="24"/>
                <w:highlight w:val="none"/>
                <w:u w:val="none" w:color="auto"/>
              </w:rPr>
            </w:pPr>
            <w:r>
              <w:rPr>
                <w:rFonts w:hint="eastAsia" w:ascii="宋体" w:hAnsi="宋体" w:eastAsia="宋体" w:cs="宋体"/>
                <w:caps w:val="0"/>
                <w:smallCaps w:val="0"/>
                <w:color w:val="auto"/>
                <w:spacing w:val="0"/>
                <w:sz w:val="24"/>
                <w:szCs w:val="24"/>
                <w:highlight w:val="none"/>
                <w:u w:val="none" w:color="auto"/>
              </w:rPr>
              <w:t>地理坐标</w:t>
            </w:r>
          </w:p>
        </w:tc>
        <w:tc>
          <w:tcPr>
            <w:tcW w:w="6595" w:type="dxa"/>
            <w:gridSpan w:val="3"/>
            <w:vAlign w:val="center"/>
          </w:tcPr>
          <w:p>
            <w:pPr>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4"/>
                <w:szCs w:val="24"/>
                <w:highlight w:val="none"/>
                <w:u w:val="none" w:color="auto"/>
              </w:rPr>
            </w:pPr>
            <w:r>
              <w:rPr>
                <w:rFonts w:hint="eastAsia" w:ascii="宋体" w:hAnsi="宋体" w:eastAsia="宋体" w:cs="宋体"/>
                <w:caps w:val="0"/>
                <w:smallCaps w:val="0"/>
                <w:color w:val="auto"/>
                <w:spacing w:val="0"/>
                <w:sz w:val="24"/>
                <w:szCs w:val="24"/>
                <w:highlight w:val="none"/>
                <w:u w:val="none" w:color="auto"/>
              </w:rPr>
              <w:t>东经111°35'45.44"，北纬34°40'24.94"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84" w:type="dxa"/>
            <w:vAlign w:val="center"/>
          </w:tcPr>
          <w:p>
            <w:pPr>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4"/>
                <w:szCs w:val="24"/>
                <w:highlight w:val="none"/>
                <w:u w:val="none" w:color="auto"/>
              </w:rPr>
            </w:pPr>
            <w:r>
              <w:rPr>
                <w:rFonts w:hint="eastAsia" w:ascii="宋体" w:hAnsi="宋体" w:eastAsia="宋体" w:cs="宋体"/>
                <w:caps w:val="0"/>
                <w:smallCaps w:val="0"/>
                <w:color w:val="auto"/>
                <w:spacing w:val="0"/>
                <w:sz w:val="24"/>
                <w:szCs w:val="24"/>
                <w:highlight w:val="none"/>
                <w:u w:val="none" w:color="auto"/>
              </w:rPr>
              <w:t>建厂年月</w:t>
            </w:r>
          </w:p>
        </w:tc>
        <w:tc>
          <w:tcPr>
            <w:tcW w:w="1797" w:type="dxa"/>
            <w:vAlign w:val="center"/>
          </w:tcPr>
          <w:p>
            <w:pPr>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4"/>
                <w:szCs w:val="24"/>
                <w:highlight w:val="none"/>
                <w:u w:val="none" w:color="auto"/>
              </w:rPr>
            </w:pPr>
            <w:r>
              <w:rPr>
                <w:rFonts w:hint="eastAsia" w:ascii="宋体" w:hAnsi="宋体" w:eastAsia="宋体" w:cs="宋体"/>
                <w:caps w:val="0"/>
                <w:smallCaps w:val="0"/>
                <w:color w:val="auto"/>
                <w:spacing w:val="0"/>
                <w:sz w:val="24"/>
                <w:szCs w:val="24"/>
                <w:highlight w:val="none"/>
                <w:u w:val="none" w:color="auto"/>
              </w:rPr>
              <w:t>2016.12</w:t>
            </w:r>
          </w:p>
        </w:tc>
        <w:tc>
          <w:tcPr>
            <w:tcW w:w="1938" w:type="dxa"/>
            <w:vAlign w:val="center"/>
          </w:tcPr>
          <w:p>
            <w:pPr>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4"/>
                <w:szCs w:val="24"/>
                <w:highlight w:val="none"/>
                <w:u w:val="none" w:color="auto"/>
              </w:rPr>
            </w:pPr>
            <w:r>
              <w:rPr>
                <w:rFonts w:hint="eastAsia" w:ascii="宋体" w:hAnsi="宋体" w:eastAsia="宋体" w:cs="宋体"/>
                <w:caps w:val="0"/>
                <w:smallCaps w:val="0"/>
                <w:color w:val="auto"/>
                <w:spacing w:val="0"/>
                <w:sz w:val="24"/>
                <w:szCs w:val="24"/>
                <w:highlight w:val="none"/>
                <w:u w:val="none" w:color="auto"/>
              </w:rPr>
              <w:t>最新扩改年月</w:t>
            </w:r>
          </w:p>
        </w:tc>
        <w:tc>
          <w:tcPr>
            <w:tcW w:w="2860" w:type="dxa"/>
            <w:vAlign w:val="center"/>
          </w:tcPr>
          <w:p>
            <w:pPr>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4"/>
                <w:szCs w:val="24"/>
                <w:highlight w:val="none"/>
                <w:u w:val="none" w:color="auto"/>
                <w:lang w:val="en-US" w:eastAsia="zh-CN"/>
              </w:rPr>
            </w:pPr>
            <w:r>
              <w:rPr>
                <w:rFonts w:hint="eastAsia" w:ascii="宋体" w:hAnsi="宋体" w:eastAsia="宋体" w:cs="宋体"/>
                <w:caps w:val="0"/>
                <w:smallCaps w:val="0"/>
                <w:color w:val="auto"/>
                <w:spacing w:val="0"/>
                <w:sz w:val="24"/>
                <w:szCs w:val="24"/>
                <w:highlight w:val="none"/>
                <w:u w:val="none" w:color="auto"/>
                <w:lang w:val="en-US" w:eastAsia="zh-CN"/>
              </w:rPr>
              <w:t>2022.6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84" w:type="dxa"/>
            <w:vAlign w:val="center"/>
          </w:tcPr>
          <w:p>
            <w:pPr>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4"/>
                <w:szCs w:val="24"/>
                <w:highlight w:val="none"/>
                <w:u w:val="none" w:color="auto"/>
              </w:rPr>
            </w:pPr>
            <w:r>
              <w:rPr>
                <w:rFonts w:hint="eastAsia" w:ascii="宋体" w:hAnsi="宋体" w:eastAsia="宋体" w:cs="宋体"/>
                <w:caps w:val="0"/>
                <w:smallCaps w:val="0"/>
                <w:color w:val="auto"/>
                <w:spacing w:val="0"/>
                <w:sz w:val="24"/>
                <w:szCs w:val="24"/>
                <w:highlight w:val="none"/>
                <w:u w:val="none" w:color="auto"/>
              </w:rPr>
              <w:t>联系人</w:t>
            </w:r>
          </w:p>
        </w:tc>
        <w:tc>
          <w:tcPr>
            <w:tcW w:w="1797" w:type="dxa"/>
            <w:vAlign w:val="center"/>
          </w:tcPr>
          <w:p>
            <w:pPr>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4"/>
                <w:szCs w:val="24"/>
                <w:highlight w:val="none"/>
                <w:u w:val="none" w:color="auto"/>
              </w:rPr>
            </w:pPr>
            <w:r>
              <w:rPr>
                <w:rFonts w:hint="eastAsia" w:ascii="宋体" w:hAnsi="宋体" w:eastAsia="宋体" w:cs="宋体"/>
                <w:caps w:val="0"/>
                <w:smallCaps w:val="0"/>
                <w:color w:val="auto"/>
                <w:spacing w:val="0"/>
                <w:sz w:val="24"/>
                <w:szCs w:val="24"/>
                <w:highlight w:val="none"/>
                <w:u w:val="none" w:color="auto"/>
              </w:rPr>
              <w:t>薛慧忠</w:t>
            </w:r>
          </w:p>
        </w:tc>
        <w:tc>
          <w:tcPr>
            <w:tcW w:w="1938" w:type="dxa"/>
            <w:vAlign w:val="center"/>
          </w:tcPr>
          <w:p>
            <w:pPr>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4"/>
                <w:szCs w:val="24"/>
                <w:highlight w:val="none"/>
                <w:u w:val="none" w:color="auto"/>
              </w:rPr>
            </w:pPr>
            <w:r>
              <w:rPr>
                <w:rFonts w:hint="eastAsia" w:ascii="宋体" w:hAnsi="宋体" w:eastAsia="宋体" w:cs="宋体"/>
                <w:caps w:val="0"/>
                <w:smallCaps w:val="0"/>
                <w:color w:val="auto"/>
                <w:spacing w:val="0"/>
                <w:sz w:val="24"/>
                <w:szCs w:val="24"/>
                <w:highlight w:val="none"/>
                <w:u w:val="none" w:color="auto"/>
              </w:rPr>
              <w:t>联系方式</w:t>
            </w:r>
          </w:p>
        </w:tc>
        <w:tc>
          <w:tcPr>
            <w:tcW w:w="2860" w:type="dxa"/>
            <w:vAlign w:val="center"/>
          </w:tcPr>
          <w:p>
            <w:pPr>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4"/>
                <w:szCs w:val="24"/>
                <w:highlight w:val="none"/>
                <w:u w:val="none" w:color="auto"/>
              </w:rPr>
            </w:pPr>
            <w:r>
              <w:rPr>
                <w:rFonts w:hint="eastAsia" w:ascii="宋体" w:hAnsi="宋体" w:eastAsia="宋体" w:cs="宋体"/>
                <w:caps w:val="0"/>
                <w:smallCaps w:val="0"/>
                <w:color w:val="auto"/>
                <w:spacing w:val="0"/>
                <w:kern w:val="0"/>
                <w:sz w:val="24"/>
                <w:szCs w:val="24"/>
                <w:highlight w:val="none"/>
                <w:u w:val="none" w:color="auto"/>
              </w:rPr>
              <w:t>13949799251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84" w:type="dxa"/>
            <w:vAlign w:val="center"/>
          </w:tcPr>
          <w:p>
            <w:pPr>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4"/>
                <w:szCs w:val="24"/>
                <w:highlight w:val="none"/>
                <w:u w:val="none" w:color="auto"/>
              </w:rPr>
            </w:pPr>
            <w:r>
              <w:rPr>
                <w:rFonts w:hint="eastAsia" w:ascii="宋体" w:hAnsi="宋体" w:eastAsia="宋体" w:cs="宋体"/>
                <w:caps w:val="0"/>
                <w:smallCaps w:val="0"/>
                <w:color w:val="auto"/>
                <w:spacing w:val="0"/>
                <w:sz w:val="24"/>
                <w:szCs w:val="24"/>
                <w:highlight w:val="none"/>
                <w:u w:val="none" w:color="auto"/>
              </w:rPr>
              <w:t>厂区面积</w:t>
            </w:r>
          </w:p>
        </w:tc>
        <w:tc>
          <w:tcPr>
            <w:tcW w:w="1797" w:type="dxa"/>
            <w:vAlign w:val="center"/>
          </w:tcPr>
          <w:p>
            <w:pPr>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4"/>
                <w:szCs w:val="24"/>
                <w:highlight w:val="none"/>
                <w:u w:val="none" w:color="auto"/>
              </w:rPr>
            </w:pPr>
            <w:r>
              <w:rPr>
                <w:rFonts w:hint="eastAsia" w:ascii="宋体" w:hAnsi="宋体" w:eastAsia="宋体" w:cs="宋体"/>
                <w:caps w:val="0"/>
                <w:smallCaps w:val="0"/>
                <w:color w:val="auto"/>
                <w:spacing w:val="0"/>
                <w:sz w:val="24"/>
                <w:szCs w:val="24"/>
                <w:highlight w:val="none"/>
                <w:u w:val="none" w:color="auto"/>
              </w:rPr>
              <w:t>100亩</w:t>
            </w:r>
          </w:p>
        </w:tc>
        <w:tc>
          <w:tcPr>
            <w:tcW w:w="1938" w:type="dxa"/>
            <w:vAlign w:val="center"/>
          </w:tcPr>
          <w:p>
            <w:pPr>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4"/>
                <w:szCs w:val="24"/>
                <w:highlight w:val="none"/>
                <w:u w:val="none" w:color="auto"/>
              </w:rPr>
            </w:pPr>
            <w:r>
              <w:rPr>
                <w:rFonts w:hint="eastAsia" w:ascii="宋体" w:hAnsi="宋体" w:eastAsia="宋体" w:cs="宋体"/>
                <w:caps w:val="0"/>
                <w:smallCaps w:val="0"/>
                <w:color w:val="auto"/>
                <w:spacing w:val="0"/>
                <w:sz w:val="24"/>
                <w:szCs w:val="24"/>
                <w:highlight w:val="none"/>
                <w:u w:val="none" w:color="auto"/>
              </w:rPr>
              <w:t>从业人数</w:t>
            </w:r>
          </w:p>
        </w:tc>
        <w:tc>
          <w:tcPr>
            <w:tcW w:w="2860" w:type="dxa"/>
            <w:vAlign w:val="center"/>
          </w:tcPr>
          <w:p>
            <w:pPr>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4"/>
                <w:szCs w:val="24"/>
                <w:highlight w:val="none"/>
                <w:u w:val="none" w:color="auto"/>
                <w:lang w:val="en-US" w:eastAsia="zh-CN"/>
              </w:rPr>
            </w:pPr>
            <w:r>
              <w:rPr>
                <w:rFonts w:hint="eastAsia" w:ascii="宋体" w:hAnsi="宋体" w:eastAsia="宋体" w:cs="宋体"/>
                <w:caps w:val="0"/>
                <w:smallCaps w:val="0"/>
                <w:color w:val="auto"/>
                <w:spacing w:val="0"/>
                <w:sz w:val="24"/>
                <w:szCs w:val="24"/>
                <w:highlight w:val="none"/>
                <w:u w:val="none" w:color="auto"/>
                <w:lang w:val="en-US" w:eastAsia="zh-CN"/>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8" w:hRule="atLeast"/>
          <w:jc w:val="center"/>
        </w:trPr>
        <w:tc>
          <w:tcPr>
            <w:tcW w:w="2084" w:type="dxa"/>
            <w:vAlign w:val="center"/>
          </w:tcPr>
          <w:p>
            <w:pPr>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4"/>
                <w:szCs w:val="24"/>
                <w:highlight w:val="none"/>
                <w:u w:val="none" w:color="auto"/>
                <w:lang w:val="en-US" w:eastAsia="zh-CN"/>
              </w:rPr>
            </w:pPr>
            <w:r>
              <w:rPr>
                <w:rFonts w:hint="eastAsia" w:ascii="宋体" w:hAnsi="宋体" w:eastAsia="宋体" w:cs="宋体"/>
                <w:caps w:val="0"/>
                <w:smallCaps w:val="0"/>
                <w:color w:val="auto"/>
                <w:spacing w:val="0"/>
                <w:sz w:val="24"/>
                <w:szCs w:val="24"/>
                <w:highlight w:val="none"/>
                <w:u w:val="none" w:color="auto"/>
                <w:lang w:val="en-US" w:eastAsia="zh-CN"/>
              </w:rPr>
              <w:t>突发环境事件应急预案备案表</w:t>
            </w:r>
          </w:p>
        </w:tc>
        <w:tc>
          <w:tcPr>
            <w:tcW w:w="6595" w:type="dxa"/>
            <w:gridSpan w:val="3"/>
            <w:vAlign w:val="center"/>
          </w:tcPr>
          <w:p>
            <w:pPr>
              <w:spacing w:line="360" w:lineRule="exact"/>
              <w:ind w:firstLine="0" w:firstLineChars="0"/>
              <w:jc w:val="center"/>
              <w:rPr>
                <w:rFonts w:hint="eastAsia" w:ascii="宋体" w:hAnsi="宋体" w:eastAsia="宋体" w:cs="宋体"/>
                <w:caps w:val="0"/>
                <w:smallCaps w:val="0"/>
                <w:color w:val="auto"/>
                <w:spacing w:val="0"/>
                <w:sz w:val="24"/>
                <w:szCs w:val="24"/>
                <w:highlight w:val="none"/>
                <w:u w:val="none" w:color="auto"/>
                <w:lang w:val="en-US" w:eastAsia="zh-CN"/>
              </w:rPr>
            </w:pPr>
            <w:r>
              <w:rPr>
                <w:rFonts w:hint="eastAsia" w:ascii="宋体" w:hAnsi="宋体" w:eastAsia="宋体" w:cs="宋体"/>
                <w:caps w:val="0"/>
                <w:smallCaps w:val="0"/>
                <w:color w:val="auto"/>
                <w:spacing w:val="0"/>
                <w:sz w:val="24"/>
                <w:szCs w:val="24"/>
                <w:highlight w:val="none"/>
                <w:u w:val="none" w:color="auto"/>
                <w:lang w:val="en-US" w:eastAsia="zh-CN"/>
              </w:rPr>
              <w:t>三门峡市生态环境局、三门峡市生态环境局第二分局</w:t>
            </w:r>
          </w:p>
          <w:p>
            <w:pPr>
              <w:spacing w:line="360" w:lineRule="exact"/>
              <w:ind w:firstLine="0" w:firstLineChars="0"/>
              <w:jc w:val="center"/>
              <w:rPr>
                <w:rFonts w:hint="eastAsia" w:ascii="宋体" w:hAnsi="宋体" w:eastAsia="宋体" w:cs="宋体"/>
                <w:caps w:val="0"/>
                <w:smallCaps w:val="0"/>
                <w:color w:val="auto"/>
                <w:spacing w:val="0"/>
                <w:sz w:val="24"/>
                <w:szCs w:val="24"/>
                <w:highlight w:val="none"/>
                <w:u w:val="none" w:color="auto"/>
                <w:lang w:val="en-US" w:eastAsia="zh-CN"/>
              </w:rPr>
            </w:pPr>
            <w:r>
              <w:rPr>
                <w:rFonts w:hint="eastAsia" w:ascii="宋体" w:hAnsi="宋体" w:eastAsia="宋体" w:cs="宋体"/>
                <w:caps w:val="0"/>
                <w:smallCaps w:val="0"/>
                <w:color w:val="auto"/>
                <w:spacing w:val="0"/>
                <w:sz w:val="24"/>
                <w:szCs w:val="24"/>
                <w:highlight w:val="none"/>
                <w:u w:val="none" w:color="auto"/>
                <w:lang w:val="en-US" w:eastAsia="zh-CN"/>
              </w:rPr>
              <w:t>备案编号：4112222023C030102M（2023年1月10日）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8" w:hRule="atLeast"/>
          <w:jc w:val="center"/>
        </w:trPr>
        <w:tc>
          <w:tcPr>
            <w:tcW w:w="2084" w:type="dxa"/>
            <w:vAlign w:val="center"/>
          </w:tcPr>
          <w:p>
            <w:pPr>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4"/>
                <w:szCs w:val="24"/>
                <w:highlight w:val="none"/>
                <w:u w:val="none" w:color="auto"/>
              </w:rPr>
            </w:pPr>
            <w:r>
              <w:rPr>
                <w:rFonts w:hint="eastAsia" w:ascii="宋体" w:hAnsi="宋体" w:eastAsia="宋体" w:cs="宋体"/>
                <w:caps w:val="0"/>
                <w:smallCaps w:val="0"/>
                <w:color w:val="auto"/>
                <w:spacing w:val="0"/>
                <w:sz w:val="24"/>
                <w:szCs w:val="24"/>
                <w:highlight w:val="none"/>
                <w:u w:val="none" w:color="auto"/>
              </w:rPr>
              <w:t>生产安全事故应急预案备案登记表</w:t>
            </w:r>
          </w:p>
        </w:tc>
        <w:tc>
          <w:tcPr>
            <w:tcW w:w="6595" w:type="dxa"/>
            <w:gridSpan w:val="3"/>
            <w:vAlign w:val="center"/>
          </w:tcPr>
          <w:p>
            <w:pPr>
              <w:spacing w:line="360" w:lineRule="exact"/>
              <w:ind w:firstLine="0" w:firstLineChars="0"/>
              <w:jc w:val="center"/>
              <w:rPr>
                <w:rFonts w:hint="eastAsia" w:ascii="宋体" w:hAnsi="宋体" w:eastAsia="宋体" w:cs="宋体"/>
                <w:caps w:val="0"/>
                <w:smallCaps w:val="0"/>
                <w:color w:val="auto"/>
                <w:spacing w:val="0"/>
                <w:sz w:val="24"/>
                <w:szCs w:val="24"/>
                <w:highlight w:val="none"/>
                <w:u w:val="none" w:color="auto"/>
              </w:rPr>
            </w:pPr>
            <w:r>
              <w:rPr>
                <w:rFonts w:hint="eastAsia" w:ascii="宋体" w:hAnsi="宋体" w:eastAsia="宋体" w:cs="宋体"/>
                <w:caps w:val="0"/>
                <w:smallCaps w:val="0"/>
                <w:color w:val="auto"/>
                <w:spacing w:val="0"/>
                <w:sz w:val="24"/>
                <w:szCs w:val="24"/>
                <w:highlight w:val="none"/>
                <w:u w:val="none" w:color="auto"/>
              </w:rPr>
              <w:t>三门峡市陕州区安全生产监督管理局</w:t>
            </w:r>
          </w:p>
          <w:p>
            <w:pPr>
              <w:spacing w:line="360" w:lineRule="exact"/>
              <w:ind w:firstLine="0" w:firstLineChars="0"/>
              <w:jc w:val="center"/>
              <w:rPr>
                <w:rFonts w:hint="eastAsia" w:ascii="宋体" w:hAnsi="宋体" w:eastAsia="宋体" w:cs="宋体"/>
                <w:caps w:val="0"/>
                <w:smallCaps w:val="0"/>
                <w:color w:val="auto"/>
                <w:spacing w:val="0"/>
                <w:kern w:val="2"/>
                <w:sz w:val="24"/>
                <w:szCs w:val="24"/>
                <w:highlight w:val="none"/>
                <w:u w:val="none" w:color="auto"/>
                <w:lang w:val="en-US" w:eastAsia="zh-CN" w:bidi="ar-SA"/>
              </w:rPr>
            </w:pPr>
            <w:r>
              <w:rPr>
                <w:rFonts w:hint="eastAsia" w:ascii="宋体" w:hAnsi="宋体" w:eastAsia="宋体" w:cs="宋体"/>
                <w:caps w:val="0"/>
                <w:smallCaps w:val="0"/>
                <w:color w:val="auto"/>
                <w:spacing w:val="0"/>
                <w:sz w:val="24"/>
                <w:szCs w:val="24"/>
                <w:highlight w:val="none"/>
                <w:u w:val="none" w:color="auto"/>
              </w:rPr>
              <w:t>备案编号：41122220</w:t>
            </w:r>
            <w:r>
              <w:rPr>
                <w:rFonts w:hint="eastAsia" w:ascii="宋体" w:hAnsi="宋体" w:eastAsia="宋体" w:cs="宋体"/>
                <w:caps w:val="0"/>
                <w:smallCaps w:val="0"/>
                <w:color w:val="auto"/>
                <w:spacing w:val="0"/>
                <w:sz w:val="24"/>
                <w:szCs w:val="24"/>
                <w:highlight w:val="none"/>
                <w:u w:val="none" w:color="auto"/>
                <w:lang w:val="en-US" w:eastAsia="zh-CN"/>
              </w:rPr>
              <w:t>22028</w:t>
            </w:r>
            <w:r>
              <w:rPr>
                <w:rFonts w:hint="eastAsia" w:ascii="宋体" w:hAnsi="宋体" w:eastAsia="宋体" w:cs="宋体"/>
                <w:caps w:val="0"/>
                <w:smallCaps w:val="0"/>
                <w:color w:val="auto"/>
                <w:spacing w:val="0"/>
                <w:sz w:val="24"/>
                <w:szCs w:val="24"/>
                <w:highlight w:val="none"/>
                <w:u w:val="none" w:color="auto"/>
              </w:rPr>
              <w:t>（20</w:t>
            </w:r>
            <w:r>
              <w:rPr>
                <w:rFonts w:hint="eastAsia" w:ascii="宋体" w:hAnsi="宋体" w:eastAsia="宋体" w:cs="宋体"/>
                <w:caps w:val="0"/>
                <w:smallCaps w:val="0"/>
                <w:color w:val="auto"/>
                <w:spacing w:val="0"/>
                <w:sz w:val="24"/>
                <w:szCs w:val="24"/>
                <w:highlight w:val="none"/>
                <w:u w:val="none" w:color="auto"/>
                <w:lang w:val="en-US" w:eastAsia="zh-CN"/>
              </w:rPr>
              <w:t>22</w:t>
            </w:r>
            <w:r>
              <w:rPr>
                <w:rFonts w:hint="eastAsia" w:ascii="宋体" w:hAnsi="宋体" w:eastAsia="宋体" w:cs="宋体"/>
                <w:caps w:val="0"/>
                <w:smallCaps w:val="0"/>
                <w:color w:val="auto"/>
                <w:spacing w:val="0"/>
                <w:sz w:val="24"/>
                <w:szCs w:val="24"/>
                <w:highlight w:val="none"/>
                <w:u w:val="none" w:color="auto"/>
              </w:rPr>
              <w:t>年</w:t>
            </w:r>
            <w:r>
              <w:rPr>
                <w:rFonts w:hint="eastAsia" w:ascii="宋体" w:hAnsi="宋体" w:eastAsia="宋体" w:cs="宋体"/>
                <w:caps w:val="0"/>
                <w:smallCaps w:val="0"/>
                <w:color w:val="auto"/>
                <w:spacing w:val="0"/>
                <w:sz w:val="24"/>
                <w:szCs w:val="24"/>
                <w:highlight w:val="none"/>
                <w:u w:val="none" w:color="auto"/>
                <w:lang w:val="en-US" w:eastAsia="zh-CN"/>
              </w:rPr>
              <w:t>11月22日</w:t>
            </w:r>
            <w:r>
              <w:rPr>
                <w:rFonts w:hint="eastAsia" w:ascii="宋体" w:hAnsi="宋体" w:eastAsia="宋体" w:cs="宋体"/>
                <w:caps w:val="0"/>
                <w:smallCaps w:val="0"/>
                <w:color w:val="auto"/>
                <w:spacing w:val="0"/>
                <w:sz w:val="24"/>
                <w:szCs w:val="24"/>
                <w:highlight w:val="none"/>
                <w:u w:val="none" w:color="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70" w:hRule="atLeast"/>
          <w:jc w:val="center"/>
        </w:trPr>
        <w:tc>
          <w:tcPr>
            <w:tcW w:w="2084" w:type="dxa"/>
            <w:vMerge w:val="restart"/>
            <w:vAlign w:val="center"/>
          </w:tcPr>
          <w:p>
            <w:pPr>
              <w:pageBreakBefore w:val="0"/>
              <w:kinsoku/>
              <w:wordWrap/>
              <w:bidi w:val="0"/>
              <w:spacing w:line="240" w:lineRule="auto"/>
              <w:ind w:left="0" w:leftChars="0" w:right="0" w:firstLine="0" w:firstLineChars="0"/>
              <w:jc w:val="center"/>
              <w:rPr>
                <w:rFonts w:hint="eastAsia" w:ascii="宋体" w:hAnsi="宋体" w:eastAsia="宋体" w:cs="宋体"/>
                <w:caps w:val="0"/>
                <w:smallCaps w:val="0"/>
                <w:color w:val="auto"/>
                <w:spacing w:val="0"/>
                <w:sz w:val="24"/>
                <w:szCs w:val="24"/>
                <w:highlight w:val="none"/>
                <w:u w:val="none" w:color="auto"/>
                <w:lang w:val="en-US" w:eastAsia="zh-CN"/>
              </w:rPr>
            </w:pPr>
            <w:r>
              <w:rPr>
                <w:rFonts w:hint="eastAsia" w:ascii="宋体" w:hAnsi="宋体" w:eastAsia="宋体" w:cs="宋体"/>
                <w:caps w:val="0"/>
                <w:smallCaps w:val="0"/>
                <w:color w:val="auto"/>
                <w:spacing w:val="0"/>
                <w:sz w:val="24"/>
                <w:szCs w:val="24"/>
                <w:highlight w:val="none"/>
                <w:u w:val="none" w:color="auto"/>
                <w:lang w:val="en-US" w:eastAsia="zh-CN"/>
              </w:rPr>
              <w:t>环保手续情况</w:t>
            </w:r>
          </w:p>
        </w:tc>
        <w:tc>
          <w:tcPr>
            <w:tcW w:w="6595" w:type="dxa"/>
            <w:gridSpan w:val="3"/>
            <w:vAlign w:val="center"/>
          </w:tcPr>
          <w:p>
            <w:pPr>
              <w:pStyle w:val="3"/>
              <w:keepNext w:val="0"/>
              <w:keepLines w:val="0"/>
              <w:pageBreakBefore w:val="0"/>
              <w:kinsoku/>
              <w:wordWrap/>
              <w:overflowPunct/>
              <w:topLinePunct w:val="0"/>
              <w:autoSpaceDE/>
              <w:autoSpaceDN/>
              <w:bidi w:val="0"/>
              <w:adjustRightInd w:val="0"/>
              <w:snapToGrid w:val="0"/>
              <w:spacing w:after="0" w:line="240" w:lineRule="auto"/>
              <w:ind w:left="0" w:leftChars="0" w:right="0" w:firstLine="480" w:firstLineChars="200"/>
              <w:textAlignment w:val="auto"/>
              <w:rPr>
                <w:rFonts w:hint="eastAsia" w:ascii="宋体" w:hAnsi="宋体" w:eastAsia="宋体" w:cs="宋体"/>
                <w:caps w:val="0"/>
                <w:smallCaps w:val="0"/>
                <w:color w:val="auto"/>
                <w:spacing w:val="0"/>
                <w:sz w:val="24"/>
                <w:szCs w:val="24"/>
                <w:highlight w:val="none"/>
                <w:u w:val="none" w:color="auto"/>
              </w:rPr>
            </w:pPr>
            <w:r>
              <w:rPr>
                <w:rFonts w:hint="eastAsia" w:ascii="宋体" w:hAnsi="宋体" w:eastAsia="宋体" w:cs="宋体"/>
                <w:caps w:val="0"/>
                <w:smallCaps w:val="0"/>
                <w:color w:val="auto"/>
                <w:spacing w:val="0"/>
                <w:sz w:val="24"/>
                <w:szCs w:val="24"/>
                <w:highlight w:val="none"/>
                <w:u w:val="none" w:color="auto"/>
                <w:lang w:val="en-US" w:eastAsia="zh-CN"/>
              </w:rPr>
              <w:t>一</w:t>
            </w:r>
            <w:r>
              <w:rPr>
                <w:rFonts w:hint="eastAsia" w:ascii="宋体" w:hAnsi="宋体" w:eastAsia="宋体" w:cs="宋体"/>
                <w:caps w:val="0"/>
                <w:smallCaps w:val="0"/>
                <w:color w:val="auto"/>
                <w:spacing w:val="0"/>
                <w:sz w:val="24"/>
                <w:szCs w:val="24"/>
                <w:highlight w:val="none"/>
                <w:u w:val="none" w:color="auto"/>
              </w:rPr>
              <w:t>期项目：《三门峡新鑫源科技有限公司</w:t>
            </w:r>
            <w:r>
              <w:rPr>
                <w:rFonts w:hint="eastAsia" w:ascii="宋体" w:hAnsi="宋体" w:eastAsia="宋体" w:cs="宋体"/>
                <w:caps w:val="0"/>
                <w:smallCaps w:val="0"/>
                <w:color w:val="auto"/>
                <w:spacing w:val="0"/>
                <w:sz w:val="24"/>
                <w:szCs w:val="24"/>
                <w:highlight w:val="none"/>
                <w:u w:val="none" w:color="auto"/>
                <w:lang w:val="en-US" w:eastAsia="zh-CN"/>
              </w:rPr>
              <w:t>年产1500吨1-4酸钠盐、500吨尼文酸、2000吨甲酸乙酯与丙酸乙酯</w:t>
            </w:r>
            <w:r>
              <w:rPr>
                <w:rFonts w:hint="eastAsia" w:ascii="宋体" w:hAnsi="宋体" w:eastAsia="宋体" w:cs="宋体"/>
                <w:caps w:val="0"/>
                <w:smallCaps w:val="0"/>
                <w:color w:val="auto"/>
                <w:spacing w:val="0"/>
                <w:sz w:val="24"/>
                <w:szCs w:val="24"/>
                <w:highlight w:val="none"/>
                <w:u w:val="none" w:color="auto"/>
              </w:rPr>
              <w:t>环境影响报告书》（河北冀都环保科技有限公司，2016年11月）</w:t>
            </w:r>
          </w:p>
          <w:p>
            <w:pPr>
              <w:pStyle w:val="3"/>
              <w:keepNext w:val="0"/>
              <w:keepLines w:val="0"/>
              <w:pageBreakBefore w:val="0"/>
              <w:kinsoku/>
              <w:wordWrap/>
              <w:overflowPunct/>
              <w:topLinePunct w:val="0"/>
              <w:autoSpaceDE/>
              <w:autoSpaceDN/>
              <w:bidi w:val="0"/>
              <w:adjustRightInd w:val="0"/>
              <w:snapToGrid w:val="0"/>
              <w:spacing w:after="0" w:line="240" w:lineRule="auto"/>
              <w:ind w:left="0" w:leftChars="0" w:right="0" w:firstLine="480" w:firstLineChars="200"/>
              <w:textAlignment w:val="auto"/>
              <w:rPr>
                <w:rFonts w:hint="eastAsia" w:ascii="宋体" w:hAnsi="宋体" w:eastAsia="宋体" w:cs="宋体"/>
                <w:caps w:val="0"/>
                <w:smallCaps w:val="0"/>
                <w:color w:val="auto"/>
                <w:spacing w:val="0"/>
                <w:sz w:val="24"/>
                <w:szCs w:val="24"/>
                <w:highlight w:val="none"/>
                <w:u w:val="none" w:color="auto"/>
              </w:rPr>
            </w:pPr>
            <w:r>
              <w:rPr>
                <w:rFonts w:hint="eastAsia" w:ascii="宋体" w:hAnsi="宋体" w:eastAsia="宋体" w:cs="宋体"/>
                <w:caps w:val="0"/>
                <w:smallCaps w:val="0"/>
                <w:color w:val="auto"/>
                <w:spacing w:val="0"/>
                <w:sz w:val="24"/>
                <w:szCs w:val="24"/>
                <w:highlight w:val="none"/>
                <w:u w:val="none" w:color="auto"/>
                <w:lang w:val="en-US" w:eastAsia="zh-CN"/>
              </w:rPr>
              <w:t>批复：</w:t>
            </w:r>
            <w:r>
              <w:rPr>
                <w:rFonts w:hint="eastAsia" w:ascii="宋体" w:hAnsi="宋体" w:eastAsia="宋体" w:cs="宋体"/>
                <w:caps w:val="0"/>
                <w:smallCaps w:val="0"/>
                <w:color w:val="auto"/>
                <w:spacing w:val="0"/>
                <w:sz w:val="24"/>
                <w:szCs w:val="24"/>
                <w:highlight w:val="none"/>
                <w:u w:val="none" w:color="auto"/>
              </w:rPr>
              <w:t>2016年12月9日三门峡市环保局（三环审[2016]100号）</w:t>
            </w:r>
          </w:p>
          <w:p>
            <w:pPr>
              <w:pStyle w:val="14"/>
              <w:keepNext w:val="0"/>
              <w:keepLines w:val="0"/>
              <w:pageBreakBefore w:val="0"/>
              <w:numPr>
                <w:ilvl w:val="0"/>
                <w:numId w:val="0"/>
              </w:numPr>
              <w:kinsoku/>
              <w:wordWrap/>
              <w:overflowPunct/>
              <w:topLinePunct w:val="0"/>
              <w:autoSpaceDE/>
              <w:autoSpaceDN/>
              <w:bidi w:val="0"/>
              <w:adjustRightInd w:val="0"/>
              <w:snapToGrid w:val="0"/>
              <w:spacing w:line="240" w:lineRule="auto"/>
              <w:ind w:leftChars="200"/>
              <w:textAlignment w:val="auto"/>
              <w:rPr>
                <w:rFonts w:hint="eastAsia" w:ascii="宋体" w:hAnsi="宋体" w:eastAsia="宋体" w:cs="宋体"/>
                <w:caps w:val="0"/>
                <w:smallCaps w:val="0"/>
                <w:color w:val="auto"/>
                <w:spacing w:val="0"/>
                <w:sz w:val="24"/>
                <w:szCs w:val="24"/>
                <w:highlight w:val="none"/>
                <w:u w:val="none" w:color="auto"/>
                <w:lang w:val="en-US" w:eastAsia="zh-CN"/>
              </w:rPr>
            </w:pPr>
            <w:r>
              <w:rPr>
                <w:rFonts w:hint="eastAsia" w:ascii="宋体" w:hAnsi="宋体" w:eastAsia="宋体" w:cs="宋体"/>
                <w:caps w:val="0"/>
                <w:smallCaps w:val="0"/>
                <w:color w:val="auto"/>
                <w:spacing w:val="0"/>
                <w:sz w:val="24"/>
                <w:szCs w:val="24"/>
                <w:highlight w:val="none"/>
                <w:u w:val="none" w:color="auto"/>
                <w:lang w:val="en-US" w:eastAsia="zh-CN"/>
              </w:rPr>
              <w:t>验收：2020年3月7日自主完成了竣工环保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80" w:hRule="atLeast"/>
          <w:jc w:val="center"/>
        </w:trPr>
        <w:tc>
          <w:tcPr>
            <w:tcW w:w="2084" w:type="dxa"/>
            <w:vMerge w:val="continue"/>
            <w:vAlign w:val="center"/>
          </w:tcPr>
          <w:p>
            <w:pPr>
              <w:pageBreakBefore w:val="0"/>
              <w:kinsoku/>
              <w:wordWrap/>
              <w:bidi w:val="0"/>
              <w:spacing w:line="240" w:lineRule="auto"/>
              <w:ind w:left="0" w:leftChars="0" w:right="0" w:firstLine="0" w:firstLineChars="0"/>
              <w:jc w:val="center"/>
              <w:rPr>
                <w:rFonts w:hint="eastAsia" w:ascii="宋体" w:hAnsi="宋体" w:eastAsia="宋体" w:cs="宋体"/>
                <w:caps w:val="0"/>
                <w:smallCaps w:val="0"/>
                <w:color w:val="auto"/>
                <w:spacing w:val="0"/>
                <w:sz w:val="24"/>
                <w:szCs w:val="24"/>
                <w:highlight w:val="none"/>
                <w:u w:val="none" w:color="auto"/>
              </w:rPr>
            </w:pPr>
          </w:p>
        </w:tc>
        <w:tc>
          <w:tcPr>
            <w:tcW w:w="6595" w:type="dxa"/>
            <w:gridSpan w:val="3"/>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firstLine="480" w:firstLineChars="200"/>
              <w:textAlignment w:val="auto"/>
              <w:rPr>
                <w:rFonts w:hint="eastAsia" w:ascii="宋体" w:hAnsi="宋体" w:eastAsia="宋体" w:cs="宋体"/>
                <w:caps w:val="0"/>
                <w:smallCaps w:val="0"/>
                <w:color w:val="auto"/>
                <w:spacing w:val="0"/>
                <w:sz w:val="24"/>
                <w:szCs w:val="24"/>
                <w:highlight w:val="none"/>
                <w:u w:val="none" w:color="auto"/>
              </w:rPr>
            </w:pPr>
            <w:r>
              <w:rPr>
                <w:rFonts w:hint="eastAsia" w:ascii="宋体" w:hAnsi="宋体" w:eastAsia="宋体" w:cs="宋体"/>
                <w:caps w:val="0"/>
                <w:smallCaps w:val="0"/>
                <w:color w:val="auto"/>
                <w:spacing w:val="0"/>
                <w:sz w:val="24"/>
                <w:szCs w:val="24"/>
                <w:highlight w:val="none"/>
                <w:u w:val="none" w:color="auto"/>
                <w:lang w:val="en-US" w:eastAsia="zh-CN"/>
              </w:rPr>
              <w:t>二期项目</w:t>
            </w:r>
            <w:r>
              <w:rPr>
                <w:rFonts w:hint="eastAsia" w:ascii="宋体" w:hAnsi="宋体" w:eastAsia="宋体" w:cs="宋体"/>
                <w:caps w:val="0"/>
                <w:smallCaps w:val="0"/>
                <w:color w:val="auto"/>
                <w:spacing w:val="0"/>
                <w:sz w:val="24"/>
                <w:szCs w:val="24"/>
                <w:highlight w:val="none"/>
                <w:u w:val="none" w:color="auto"/>
              </w:rPr>
              <w:t>：《三门峡新鑫源科技有限公司年产400t三溴新戊醇、200t三溴磷酸酯、400t二溴新戊二醇、600t溴化氢乙酸溶液、10t三乙基氯硅烷项目环境影响报告书》（郑州大学环境咨询工程有限公司，201</w:t>
            </w:r>
            <w:r>
              <w:rPr>
                <w:rFonts w:hint="eastAsia" w:ascii="宋体" w:hAnsi="宋体" w:eastAsia="宋体" w:cs="宋体"/>
                <w:caps w:val="0"/>
                <w:smallCaps w:val="0"/>
                <w:color w:val="auto"/>
                <w:spacing w:val="0"/>
                <w:sz w:val="24"/>
                <w:szCs w:val="24"/>
                <w:highlight w:val="none"/>
                <w:u w:val="none" w:color="auto"/>
                <w:lang w:val="en-US" w:eastAsia="zh-CN"/>
              </w:rPr>
              <w:t>9</w:t>
            </w:r>
            <w:r>
              <w:rPr>
                <w:rFonts w:hint="eastAsia" w:ascii="宋体" w:hAnsi="宋体" w:eastAsia="宋体" w:cs="宋体"/>
                <w:caps w:val="0"/>
                <w:smallCaps w:val="0"/>
                <w:color w:val="auto"/>
                <w:spacing w:val="0"/>
                <w:sz w:val="24"/>
                <w:szCs w:val="24"/>
                <w:highlight w:val="none"/>
                <w:u w:val="none" w:color="auto"/>
              </w:rPr>
              <w:t>年</w:t>
            </w:r>
            <w:r>
              <w:rPr>
                <w:rFonts w:hint="eastAsia" w:ascii="宋体" w:hAnsi="宋体" w:eastAsia="宋体" w:cs="宋体"/>
                <w:caps w:val="0"/>
                <w:smallCaps w:val="0"/>
                <w:color w:val="auto"/>
                <w:spacing w:val="0"/>
                <w:sz w:val="24"/>
                <w:szCs w:val="24"/>
                <w:highlight w:val="none"/>
                <w:u w:val="none" w:color="auto"/>
                <w:lang w:val="en-US" w:eastAsia="zh-CN"/>
              </w:rPr>
              <w:t>9</w:t>
            </w:r>
            <w:r>
              <w:rPr>
                <w:rFonts w:hint="eastAsia" w:ascii="宋体" w:hAnsi="宋体" w:eastAsia="宋体" w:cs="宋体"/>
                <w:caps w:val="0"/>
                <w:smallCaps w:val="0"/>
                <w:color w:val="auto"/>
                <w:spacing w:val="0"/>
                <w:sz w:val="24"/>
                <w:szCs w:val="24"/>
                <w:highlight w:val="none"/>
                <w:u w:val="none" w:color="auto"/>
              </w:rPr>
              <w:t>月）</w:t>
            </w:r>
          </w:p>
          <w:p>
            <w:pPr>
              <w:pStyle w:val="3"/>
              <w:keepNext w:val="0"/>
              <w:keepLines w:val="0"/>
              <w:pageBreakBefore w:val="0"/>
              <w:kinsoku/>
              <w:wordWrap/>
              <w:overflowPunct/>
              <w:topLinePunct w:val="0"/>
              <w:autoSpaceDE/>
              <w:autoSpaceDN/>
              <w:bidi w:val="0"/>
              <w:adjustRightInd w:val="0"/>
              <w:snapToGrid w:val="0"/>
              <w:spacing w:after="0" w:line="240" w:lineRule="auto"/>
              <w:ind w:left="0" w:leftChars="0" w:right="0" w:firstLine="480" w:firstLineChars="200"/>
              <w:textAlignment w:val="auto"/>
              <w:rPr>
                <w:rFonts w:hint="eastAsia" w:ascii="宋体" w:hAnsi="宋体" w:eastAsia="宋体" w:cs="宋体"/>
                <w:caps w:val="0"/>
                <w:smallCaps w:val="0"/>
                <w:color w:val="auto"/>
                <w:spacing w:val="0"/>
                <w:sz w:val="24"/>
                <w:szCs w:val="24"/>
                <w:highlight w:val="none"/>
                <w:u w:val="none" w:color="auto"/>
                <w:lang w:val="en-US" w:eastAsia="zh-CN"/>
              </w:rPr>
            </w:pPr>
            <w:r>
              <w:rPr>
                <w:rFonts w:hint="eastAsia" w:ascii="宋体" w:hAnsi="宋体" w:eastAsia="宋体" w:cs="宋体"/>
                <w:caps w:val="0"/>
                <w:smallCaps w:val="0"/>
                <w:color w:val="auto"/>
                <w:spacing w:val="0"/>
                <w:sz w:val="24"/>
                <w:szCs w:val="24"/>
                <w:highlight w:val="none"/>
                <w:u w:val="none" w:color="auto"/>
                <w:lang w:val="en-US" w:eastAsia="zh-CN"/>
              </w:rPr>
              <w:t>批复：</w:t>
            </w:r>
            <w:r>
              <w:rPr>
                <w:rFonts w:hint="eastAsia" w:ascii="宋体" w:hAnsi="宋体" w:eastAsia="宋体" w:cs="宋体"/>
                <w:caps w:val="0"/>
                <w:smallCaps w:val="0"/>
                <w:color w:val="auto"/>
                <w:spacing w:val="0"/>
                <w:sz w:val="24"/>
                <w:szCs w:val="24"/>
                <w:highlight w:val="none"/>
                <w:u w:val="none" w:color="auto"/>
              </w:rPr>
              <w:t>201</w:t>
            </w:r>
            <w:r>
              <w:rPr>
                <w:rFonts w:hint="eastAsia" w:ascii="宋体" w:hAnsi="宋体" w:eastAsia="宋体" w:cs="宋体"/>
                <w:caps w:val="0"/>
                <w:smallCaps w:val="0"/>
                <w:color w:val="auto"/>
                <w:spacing w:val="0"/>
                <w:sz w:val="24"/>
                <w:szCs w:val="24"/>
                <w:highlight w:val="none"/>
                <w:u w:val="none" w:color="auto"/>
                <w:lang w:val="en-US" w:eastAsia="zh-CN"/>
              </w:rPr>
              <w:t>9</w:t>
            </w:r>
            <w:r>
              <w:rPr>
                <w:rFonts w:hint="eastAsia" w:ascii="宋体" w:hAnsi="宋体" w:eastAsia="宋体" w:cs="宋体"/>
                <w:caps w:val="0"/>
                <w:smallCaps w:val="0"/>
                <w:color w:val="auto"/>
                <w:spacing w:val="0"/>
                <w:sz w:val="24"/>
                <w:szCs w:val="24"/>
                <w:highlight w:val="none"/>
                <w:u w:val="none" w:color="auto"/>
              </w:rPr>
              <w:t>年</w:t>
            </w:r>
            <w:r>
              <w:rPr>
                <w:rFonts w:hint="eastAsia" w:ascii="宋体" w:hAnsi="宋体" w:eastAsia="宋体" w:cs="宋体"/>
                <w:caps w:val="0"/>
                <w:smallCaps w:val="0"/>
                <w:color w:val="auto"/>
                <w:spacing w:val="0"/>
                <w:sz w:val="24"/>
                <w:szCs w:val="24"/>
                <w:highlight w:val="none"/>
                <w:u w:val="none" w:color="auto"/>
                <w:lang w:val="en-US" w:eastAsia="zh-CN"/>
              </w:rPr>
              <w:t>9</w:t>
            </w:r>
            <w:r>
              <w:rPr>
                <w:rFonts w:hint="eastAsia" w:ascii="宋体" w:hAnsi="宋体" w:eastAsia="宋体" w:cs="宋体"/>
                <w:caps w:val="0"/>
                <w:smallCaps w:val="0"/>
                <w:color w:val="auto"/>
                <w:spacing w:val="0"/>
                <w:sz w:val="24"/>
                <w:szCs w:val="24"/>
                <w:highlight w:val="none"/>
                <w:u w:val="none" w:color="auto"/>
              </w:rPr>
              <w:t>月</w:t>
            </w:r>
            <w:r>
              <w:rPr>
                <w:rFonts w:hint="eastAsia" w:ascii="宋体" w:hAnsi="宋体" w:eastAsia="宋体" w:cs="宋体"/>
                <w:caps w:val="0"/>
                <w:smallCaps w:val="0"/>
                <w:color w:val="auto"/>
                <w:spacing w:val="0"/>
                <w:sz w:val="24"/>
                <w:szCs w:val="24"/>
                <w:highlight w:val="none"/>
                <w:u w:val="none" w:color="auto"/>
                <w:lang w:val="en-US" w:eastAsia="zh-CN"/>
              </w:rPr>
              <w:t>17</w:t>
            </w:r>
            <w:r>
              <w:rPr>
                <w:rFonts w:hint="eastAsia" w:ascii="宋体" w:hAnsi="宋体" w:eastAsia="宋体" w:cs="宋体"/>
                <w:caps w:val="0"/>
                <w:smallCaps w:val="0"/>
                <w:color w:val="auto"/>
                <w:spacing w:val="0"/>
                <w:sz w:val="24"/>
                <w:szCs w:val="24"/>
                <w:highlight w:val="none"/>
                <w:u w:val="none" w:color="auto"/>
              </w:rPr>
              <w:t>日三门峡市环保局</w:t>
            </w:r>
            <w:r>
              <w:rPr>
                <w:rFonts w:hint="eastAsia" w:ascii="宋体" w:hAnsi="宋体" w:eastAsia="宋体" w:cs="宋体"/>
                <w:caps w:val="0"/>
                <w:smallCaps w:val="0"/>
                <w:color w:val="auto"/>
                <w:spacing w:val="0"/>
                <w:sz w:val="24"/>
                <w:szCs w:val="24"/>
                <w:highlight w:val="none"/>
                <w:u w:val="none" w:color="auto"/>
                <w:lang w:eastAsia="zh-CN"/>
              </w:rPr>
              <w:t>（</w:t>
            </w:r>
            <w:r>
              <w:rPr>
                <w:rFonts w:hint="eastAsia" w:ascii="宋体" w:hAnsi="宋体" w:eastAsia="宋体" w:cs="宋体"/>
                <w:caps w:val="0"/>
                <w:smallCaps w:val="0"/>
                <w:color w:val="auto"/>
                <w:spacing w:val="0"/>
                <w:sz w:val="24"/>
                <w:szCs w:val="24"/>
                <w:highlight w:val="none"/>
                <w:u w:val="none" w:color="auto"/>
                <w:lang w:val="en-US" w:eastAsia="zh-CN"/>
              </w:rPr>
              <w:t>三环审[2019]39号）</w:t>
            </w:r>
          </w:p>
          <w:p>
            <w:pPr>
              <w:pStyle w:val="14"/>
              <w:keepNext w:val="0"/>
              <w:keepLines w:val="0"/>
              <w:pageBreakBefore w:val="0"/>
              <w:numPr>
                <w:ilvl w:val="0"/>
                <w:numId w:val="0"/>
              </w:numPr>
              <w:kinsoku/>
              <w:wordWrap/>
              <w:overflowPunct/>
              <w:topLinePunct w:val="0"/>
              <w:autoSpaceDE/>
              <w:autoSpaceDN/>
              <w:bidi w:val="0"/>
              <w:adjustRightInd w:val="0"/>
              <w:snapToGrid w:val="0"/>
              <w:spacing w:line="240" w:lineRule="auto"/>
              <w:ind w:firstLine="480" w:firstLineChars="200"/>
              <w:textAlignment w:val="auto"/>
              <w:rPr>
                <w:rFonts w:hint="eastAsia" w:ascii="宋体" w:hAnsi="宋体" w:eastAsia="宋体" w:cs="宋体"/>
                <w:caps w:val="0"/>
                <w:smallCaps w:val="0"/>
                <w:color w:val="auto"/>
                <w:spacing w:val="0"/>
                <w:sz w:val="24"/>
                <w:szCs w:val="24"/>
                <w:highlight w:val="none"/>
                <w:u w:val="none" w:color="auto"/>
              </w:rPr>
            </w:pPr>
            <w:r>
              <w:rPr>
                <w:rFonts w:hint="eastAsia" w:ascii="宋体" w:hAnsi="宋体" w:eastAsia="宋体" w:cs="宋体"/>
                <w:caps w:val="0"/>
                <w:smallCaps w:val="0"/>
                <w:color w:val="auto"/>
                <w:spacing w:val="0"/>
                <w:sz w:val="24"/>
                <w:szCs w:val="24"/>
                <w:highlight w:val="none"/>
                <w:u w:val="none" w:color="auto"/>
                <w:lang w:val="en-US" w:eastAsia="zh-CN"/>
              </w:rPr>
              <w:t>验收：2020年11月分阶段自主完成竣工环保验收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70" w:hRule="atLeast"/>
          <w:jc w:val="center"/>
        </w:trPr>
        <w:tc>
          <w:tcPr>
            <w:tcW w:w="2084" w:type="dxa"/>
            <w:vMerge w:val="continue"/>
            <w:vAlign w:val="center"/>
          </w:tcPr>
          <w:p>
            <w:pPr>
              <w:pageBreakBefore w:val="0"/>
              <w:kinsoku/>
              <w:wordWrap/>
              <w:bidi w:val="0"/>
              <w:spacing w:line="240" w:lineRule="auto"/>
              <w:ind w:left="0" w:leftChars="0" w:right="0" w:firstLine="0" w:firstLineChars="0"/>
              <w:jc w:val="center"/>
              <w:rPr>
                <w:rFonts w:hint="eastAsia" w:ascii="宋体" w:hAnsi="宋体" w:eastAsia="宋体" w:cs="宋体"/>
                <w:caps w:val="0"/>
                <w:smallCaps w:val="0"/>
                <w:color w:val="auto"/>
                <w:spacing w:val="0"/>
                <w:sz w:val="24"/>
                <w:szCs w:val="24"/>
                <w:highlight w:val="none"/>
                <w:u w:val="none" w:color="auto"/>
              </w:rPr>
            </w:pPr>
          </w:p>
        </w:tc>
        <w:tc>
          <w:tcPr>
            <w:tcW w:w="6595" w:type="dxa"/>
            <w:gridSpan w:val="3"/>
            <w:vAlign w:val="center"/>
          </w:tcPr>
          <w:p>
            <w:pPr>
              <w:pStyle w:val="3"/>
              <w:keepNext w:val="0"/>
              <w:keepLines w:val="0"/>
              <w:pageBreakBefore w:val="0"/>
              <w:kinsoku/>
              <w:wordWrap/>
              <w:overflowPunct/>
              <w:topLinePunct w:val="0"/>
              <w:autoSpaceDE/>
              <w:autoSpaceDN/>
              <w:bidi w:val="0"/>
              <w:adjustRightInd w:val="0"/>
              <w:snapToGrid w:val="0"/>
              <w:spacing w:after="0" w:line="240" w:lineRule="auto"/>
              <w:ind w:left="0" w:leftChars="0" w:right="0" w:firstLine="480" w:firstLineChars="200"/>
              <w:textAlignment w:val="auto"/>
              <w:rPr>
                <w:rFonts w:hint="eastAsia" w:ascii="宋体" w:hAnsi="宋体" w:eastAsia="宋体" w:cs="宋体"/>
                <w:caps w:val="0"/>
                <w:smallCaps w:val="0"/>
                <w:color w:val="auto"/>
                <w:spacing w:val="0"/>
                <w:sz w:val="24"/>
                <w:szCs w:val="24"/>
                <w:highlight w:val="none"/>
                <w:u w:val="none" w:color="auto"/>
                <w:lang w:val="en-US" w:eastAsia="zh-CN"/>
              </w:rPr>
            </w:pPr>
            <w:r>
              <w:rPr>
                <w:rFonts w:hint="eastAsia" w:ascii="宋体" w:hAnsi="宋体" w:eastAsia="宋体" w:cs="宋体"/>
                <w:caps w:val="0"/>
                <w:smallCaps w:val="0"/>
                <w:color w:val="auto"/>
                <w:spacing w:val="0"/>
                <w:sz w:val="24"/>
                <w:szCs w:val="24"/>
                <w:highlight w:val="none"/>
                <w:u w:val="none" w:color="auto"/>
                <w:lang w:val="en-US" w:eastAsia="zh-CN"/>
              </w:rPr>
              <w:t>6吨备用锅炉项目：《三门峡新鑫源科技有限公司新增6吨备用天然气锅炉项目环评报告表》（河南景润环保技术有限公司，2021.10.8）</w:t>
            </w:r>
          </w:p>
          <w:p>
            <w:pPr>
              <w:pStyle w:val="14"/>
              <w:keepNext w:val="0"/>
              <w:keepLines w:val="0"/>
              <w:pageBreakBefore w:val="0"/>
              <w:numPr>
                <w:ilvl w:val="0"/>
                <w:numId w:val="0"/>
              </w:numPr>
              <w:kinsoku/>
              <w:wordWrap/>
              <w:overflowPunct/>
              <w:topLinePunct w:val="0"/>
              <w:autoSpaceDE/>
              <w:autoSpaceDN/>
              <w:bidi w:val="0"/>
              <w:adjustRightInd w:val="0"/>
              <w:snapToGrid w:val="0"/>
              <w:spacing w:line="240" w:lineRule="auto"/>
              <w:ind w:firstLine="480" w:firstLineChars="200"/>
              <w:jc w:val="both"/>
              <w:textAlignment w:val="auto"/>
              <w:rPr>
                <w:rFonts w:hint="eastAsia" w:ascii="宋体" w:hAnsi="宋体" w:eastAsia="宋体" w:cs="宋体"/>
                <w:caps w:val="0"/>
                <w:smallCaps w:val="0"/>
                <w:color w:val="auto"/>
                <w:spacing w:val="0"/>
                <w:sz w:val="24"/>
                <w:szCs w:val="24"/>
                <w:highlight w:val="none"/>
                <w:u w:val="none" w:color="auto"/>
                <w:lang w:val="en-US" w:eastAsia="zh-CN"/>
              </w:rPr>
            </w:pPr>
            <w:r>
              <w:rPr>
                <w:rFonts w:hint="eastAsia" w:ascii="宋体" w:hAnsi="宋体" w:eastAsia="宋体" w:cs="宋体"/>
                <w:caps w:val="0"/>
                <w:smallCaps w:val="0"/>
                <w:color w:val="auto"/>
                <w:spacing w:val="0"/>
                <w:sz w:val="24"/>
                <w:szCs w:val="24"/>
                <w:highlight w:val="none"/>
                <w:u w:val="none" w:color="auto"/>
                <w:lang w:val="en-US" w:eastAsia="zh-CN"/>
              </w:rPr>
              <w:t>批复：2021年10月8日三门峡市生态环境局第二分局（三环二分局审〔2021〕11号）</w:t>
            </w:r>
          </w:p>
          <w:p>
            <w:pPr>
              <w:pStyle w:val="14"/>
              <w:keepNext w:val="0"/>
              <w:keepLines w:val="0"/>
              <w:pageBreakBefore w:val="0"/>
              <w:numPr>
                <w:ilvl w:val="0"/>
                <w:numId w:val="0"/>
              </w:numPr>
              <w:kinsoku/>
              <w:wordWrap/>
              <w:overflowPunct/>
              <w:topLinePunct w:val="0"/>
              <w:autoSpaceDE/>
              <w:autoSpaceDN/>
              <w:bidi w:val="0"/>
              <w:adjustRightInd w:val="0"/>
              <w:snapToGrid w:val="0"/>
              <w:spacing w:line="240" w:lineRule="auto"/>
              <w:ind w:firstLine="480" w:firstLineChars="200"/>
              <w:jc w:val="both"/>
              <w:textAlignment w:val="auto"/>
              <w:rPr>
                <w:rFonts w:hint="eastAsia" w:ascii="宋体" w:hAnsi="宋体" w:eastAsia="宋体" w:cs="宋体"/>
                <w:caps w:val="0"/>
                <w:smallCaps w:val="0"/>
                <w:color w:val="auto"/>
                <w:spacing w:val="0"/>
                <w:sz w:val="24"/>
                <w:szCs w:val="24"/>
                <w:highlight w:val="none"/>
                <w:u w:val="none" w:color="auto"/>
                <w:lang w:val="en-US" w:eastAsia="zh-CN"/>
              </w:rPr>
            </w:pPr>
            <w:r>
              <w:rPr>
                <w:rFonts w:hint="eastAsia" w:ascii="宋体" w:hAnsi="宋体" w:eastAsia="宋体" w:cs="宋体"/>
                <w:caps w:val="0"/>
                <w:smallCaps w:val="0"/>
                <w:color w:val="auto"/>
                <w:spacing w:val="0"/>
                <w:sz w:val="24"/>
                <w:szCs w:val="24"/>
                <w:highlight w:val="none"/>
                <w:u w:val="none" w:color="auto"/>
                <w:lang w:val="en-US" w:eastAsia="zh-CN"/>
              </w:rPr>
              <w:t>验收：于202</w:t>
            </w:r>
            <w:r>
              <w:rPr>
                <w:rFonts w:hint="eastAsia" w:ascii="宋体" w:hAnsi="宋体" w:cs="宋体"/>
                <w:caps w:val="0"/>
                <w:smallCaps w:val="0"/>
                <w:color w:val="auto"/>
                <w:spacing w:val="0"/>
                <w:sz w:val="24"/>
                <w:szCs w:val="24"/>
                <w:highlight w:val="none"/>
                <w:u w:val="none" w:color="auto"/>
                <w:lang w:val="en-US" w:eastAsia="zh-CN"/>
              </w:rPr>
              <w:t>2</w:t>
            </w:r>
            <w:r>
              <w:rPr>
                <w:rFonts w:hint="eastAsia" w:ascii="宋体" w:hAnsi="宋体" w:eastAsia="宋体" w:cs="宋体"/>
                <w:caps w:val="0"/>
                <w:smallCaps w:val="0"/>
                <w:color w:val="auto"/>
                <w:spacing w:val="0"/>
                <w:sz w:val="24"/>
                <w:szCs w:val="24"/>
                <w:highlight w:val="none"/>
                <w:u w:val="none" w:color="auto"/>
                <w:lang w:val="en-US" w:eastAsia="zh-CN"/>
              </w:rPr>
              <w:t>年2月自主完成了竣工环保验收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80" w:hRule="atLeast"/>
          <w:jc w:val="center"/>
        </w:trPr>
        <w:tc>
          <w:tcPr>
            <w:tcW w:w="2084" w:type="dxa"/>
            <w:vMerge w:val="continue"/>
            <w:vAlign w:val="center"/>
          </w:tcPr>
          <w:p>
            <w:pPr>
              <w:pageBreakBefore w:val="0"/>
              <w:kinsoku/>
              <w:wordWrap/>
              <w:bidi w:val="0"/>
              <w:spacing w:line="240" w:lineRule="auto"/>
              <w:ind w:left="0" w:leftChars="0" w:right="0" w:firstLine="0" w:firstLineChars="0"/>
              <w:jc w:val="center"/>
              <w:rPr>
                <w:rFonts w:hint="eastAsia" w:ascii="宋体" w:hAnsi="宋体" w:eastAsia="宋体" w:cs="宋体"/>
                <w:caps w:val="0"/>
                <w:smallCaps w:val="0"/>
                <w:color w:val="auto"/>
                <w:spacing w:val="0"/>
                <w:sz w:val="24"/>
                <w:szCs w:val="24"/>
                <w:highlight w:val="none"/>
                <w:u w:val="none" w:color="auto"/>
              </w:rPr>
            </w:pPr>
          </w:p>
        </w:tc>
        <w:tc>
          <w:tcPr>
            <w:tcW w:w="6595" w:type="dxa"/>
            <w:gridSpan w:val="3"/>
            <w:vAlign w:val="center"/>
          </w:tcPr>
          <w:p>
            <w:pPr>
              <w:pStyle w:val="3"/>
              <w:keepNext w:val="0"/>
              <w:keepLines w:val="0"/>
              <w:pageBreakBefore w:val="0"/>
              <w:kinsoku/>
              <w:wordWrap/>
              <w:overflowPunct/>
              <w:topLinePunct w:val="0"/>
              <w:autoSpaceDE/>
              <w:autoSpaceDN/>
              <w:bidi w:val="0"/>
              <w:adjustRightInd w:val="0"/>
              <w:snapToGrid w:val="0"/>
              <w:spacing w:after="0" w:line="240" w:lineRule="auto"/>
              <w:ind w:left="0" w:leftChars="0" w:right="0" w:firstLine="480" w:firstLineChars="200"/>
              <w:textAlignment w:val="auto"/>
              <w:rPr>
                <w:rFonts w:hint="eastAsia" w:ascii="宋体" w:hAnsi="宋体" w:eastAsia="宋体" w:cs="宋体"/>
                <w:caps w:val="0"/>
                <w:smallCaps w:val="0"/>
                <w:color w:val="auto"/>
                <w:spacing w:val="0"/>
                <w:sz w:val="24"/>
                <w:szCs w:val="24"/>
                <w:highlight w:val="none"/>
                <w:u w:val="none" w:color="auto"/>
                <w:lang w:val="en-US" w:eastAsia="zh-CN"/>
              </w:rPr>
            </w:pPr>
            <w:r>
              <w:rPr>
                <w:rFonts w:hint="eastAsia" w:ascii="宋体" w:hAnsi="宋体" w:eastAsia="宋体" w:cs="宋体"/>
                <w:caps w:val="0"/>
                <w:smallCaps w:val="0"/>
                <w:color w:val="auto"/>
                <w:spacing w:val="0"/>
                <w:sz w:val="24"/>
                <w:szCs w:val="24"/>
                <w:highlight w:val="none"/>
                <w:u w:val="none" w:color="auto"/>
                <w:lang w:val="en-US" w:eastAsia="zh-CN"/>
              </w:rPr>
              <w:t>三期项目：《三门峡新鑫源科技有限公司年产3000t-四溴双酚A、50t-4甲基二苯胺项目》（河南金汇来环保科技有限公司，2022.6）</w:t>
            </w:r>
          </w:p>
          <w:p>
            <w:pPr>
              <w:pStyle w:val="14"/>
              <w:keepNext w:val="0"/>
              <w:keepLines w:val="0"/>
              <w:pageBreakBefore w:val="0"/>
              <w:numPr>
                <w:ilvl w:val="0"/>
                <w:numId w:val="0"/>
              </w:numPr>
              <w:kinsoku/>
              <w:wordWrap/>
              <w:overflowPunct/>
              <w:topLinePunct w:val="0"/>
              <w:autoSpaceDE/>
              <w:autoSpaceDN/>
              <w:bidi w:val="0"/>
              <w:adjustRightInd w:val="0"/>
              <w:snapToGrid w:val="0"/>
              <w:spacing w:line="240" w:lineRule="auto"/>
              <w:ind w:firstLine="480" w:firstLineChars="200"/>
              <w:textAlignment w:val="auto"/>
              <w:rPr>
                <w:rFonts w:hint="eastAsia" w:ascii="宋体" w:hAnsi="宋体" w:eastAsia="宋体" w:cs="宋体"/>
                <w:caps w:val="0"/>
                <w:smallCaps w:val="0"/>
                <w:color w:val="auto"/>
                <w:spacing w:val="0"/>
                <w:sz w:val="24"/>
                <w:szCs w:val="24"/>
                <w:highlight w:val="none"/>
                <w:u w:val="none" w:color="auto"/>
                <w:lang w:val="en-US" w:eastAsia="zh-CN"/>
              </w:rPr>
            </w:pPr>
            <w:r>
              <w:rPr>
                <w:rFonts w:hint="eastAsia" w:ascii="宋体" w:hAnsi="宋体" w:eastAsia="宋体" w:cs="宋体"/>
                <w:caps w:val="0"/>
                <w:smallCaps w:val="0"/>
                <w:color w:val="auto"/>
                <w:spacing w:val="0"/>
                <w:sz w:val="24"/>
                <w:szCs w:val="24"/>
                <w:highlight w:val="none"/>
                <w:u w:val="none" w:color="auto"/>
                <w:lang w:val="en-US" w:eastAsia="zh-CN"/>
              </w:rPr>
              <w:t>批复：2022年6月8日三门峡市陕州区产业聚集区管理委员会（三陕集审〔2022〕2号）</w:t>
            </w:r>
          </w:p>
          <w:p>
            <w:pPr>
              <w:pStyle w:val="14"/>
              <w:keepNext w:val="0"/>
              <w:keepLines w:val="0"/>
              <w:pageBreakBefore w:val="0"/>
              <w:numPr>
                <w:ilvl w:val="0"/>
                <w:numId w:val="0"/>
              </w:numPr>
              <w:kinsoku/>
              <w:wordWrap/>
              <w:overflowPunct/>
              <w:topLinePunct w:val="0"/>
              <w:autoSpaceDE/>
              <w:autoSpaceDN/>
              <w:bidi w:val="0"/>
              <w:adjustRightInd w:val="0"/>
              <w:snapToGrid w:val="0"/>
              <w:spacing w:line="240" w:lineRule="auto"/>
              <w:ind w:leftChars="200"/>
              <w:textAlignment w:val="auto"/>
              <w:rPr>
                <w:rFonts w:hint="eastAsia" w:ascii="宋体" w:hAnsi="宋体" w:eastAsia="宋体" w:cs="宋体"/>
                <w:caps w:val="0"/>
                <w:smallCaps w:val="0"/>
                <w:color w:val="auto"/>
                <w:spacing w:val="0"/>
                <w:sz w:val="24"/>
                <w:szCs w:val="24"/>
                <w:highlight w:val="none"/>
                <w:u w:val="none" w:color="auto"/>
                <w:lang w:val="en-US" w:eastAsia="zh-CN"/>
              </w:rPr>
            </w:pPr>
            <w:r>
              <w:rPr>
                <w:rFonts w:hint="eastAsia" w:ascii="宋体" w:hAnsi="宋体" w:eastAsia="宋体" w:cs="宋体"/>
                <w:caps w:val="0"/>
                <w:smallCaps w:val="0"/>
                <w:color w:val="auto"/>
                <w:spacing w:val="0"/>
                <w:sz w:val="24"/>
                <w:szCs w:val="24"/>
                <w:highlight w:val="none"/>
                <w:u w:val="none" w:color="auto"/>
                <w:lang w:val="en-US" w:eastAsia="zh-CN"/>
              </w:rPr>
              <w:t>验收：于2023年1月自主开展竣工环境保护验收</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2" w:hRule="atLeast"/>
          <w:jc w:val="center"/>
        </w:trPr>
        <w:tc>
          <w:tcPr>
            <w:tcW w:w="2084" w:type="dxa"/>
            <w:noWrap w:val="0"/>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项目</w:t>
            </w:r>
          </w:p>
        </w:tc>
        <w:tc>
          <w:tcPr>
            <w:tcW w:w="6595" w:type="dxa"/>
            <w:gridSpan w:val="3"/>
            <w:noWrap w:val="0"/>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内容</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11" w:hRule="atLeast"/>
          <w:jc w:val="center"/>
        </w:trPr>
        <w:tc>
          <w:tcPr>
            <w:tcW w:w="2084" w:type="dxa"/>
            <w:noWrap w:val="0"/>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项目名称</w:t>
            </w:r>
          </w:p>
        </w:tc>
        <w:tc>
          <w:tcPr>
            <w:tcW w:w="6595" w:type="dxa"/>
            <w:gridSpan w:val="3"/>
            <w:noWrap w:val="0"/>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年产100吨瑞巴派特、1000吨一甲胺甲醇溶液、</w:t>
            </w:r>
          </w:p>
          <w:p>
            <w:pPr>
              <w:pStyle w:val="32"/>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100吨十四烷基三甲基溴化铵等化工产品项目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14" w:hRule="atLeast"/>
          <w:jc w:val="center"/>
        </w:trPr>
        <w:tc>
          <w:tcPr>
            <w:tcW w:w="2084" w:type="dxa"/>
            <w:noWrap w:val="0"/>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总投资</w:t>
            </w:r>
          </w:p>
        </w:tc>
        <w:tc>
          <w:tcPr>
            <w:tcW w:w="6595" w:type="dxa"/>
            <w:gridSpan w:val="3"/>
            <w:noWrap w:val="0"/>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11000万元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2" w:hRule="atLeast"/>
          <w:jc w:val="center"/>
        </w:trPr>
        <w:tc>
          <w:tcPr>
            <w:tcW w:w="2084" w:type="dxa"/>
            <w:noWrap w:val="0"/>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建设地点</w:t>
            </w:r>
          </w:p>
        </w:tc>
        <w:tc>
          <w:tcPr>
            <w:tcW w:w="6595" w:type="dxa"/>
            <w:gridSpan w:val="3"/>
            <w:noWrap w:val="0"/>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lang w:val="en-US" w:eastAsia="zh-CN"/>
              </w:rPr>
              <w:t>三门峡陕州区先进制造业开发区（</w:t>
            </w:r>
            <w:r>
              <w:rPr>
                <w:rFonts w:hint="eastAsia" w:ascii="宋体" w:hAnsi="宋体" w:eastAsia="宋体" w:cs="宋体"/>
                <w:color w:val="auto"/>
                <w:spacing w:val="0"/>
                <w:sz w:val="24"/>
                <w:szCs w:val="24"/>
                <w:highlight w:val="none"/>
              </w:rPr>
              <w:t>三门峡市陕州区产业集聚区</w:t>
            </w:r>
            <w:r>
              <w:rPr>
                <w:rFonts w:hint="eastAsia" w:ascii="宋体" w:hAnsi="宋体" w:eastAsia="宋体" w:cs="宋体"/>
                <w:color w:val="auto"/>
                <w:spacing w:val="0"/>
                <w:sz w:val="24"/>
                <w:szCs w:val="24"/>
                <w:highlight w:val="none"/>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12" w:hRule="atLeast"/>
          <w:jc w:val="center"/>
        </w:trPr>
        <w:tc>
          <w:tcPr>
            <w:tcW w:w="2084" w:type="dxa"/>
            <w:noWrap w:val="0"/>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建设规模</w:t>
            </w:r>
          </w:p>
        </w:tc>
        <w:tc>
          <w:tcPr>
            <w:tcW w:w="6595" w:type="dxa"/>
            <w:gridSpan w:val="3"/>
            <w:noWrap w:val="0"/>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年产100吨瑞巴派特、150吨2，3-二溴-2-丁烯-1，4-二醇、80吨2-乙酰氧基异丁酰氯、500吨硅酸乙酯（缩）200吨无水溴化锂、1000吨一甲胺甲醇溶液、100吨十四烷基三甲基溴化铵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2" w:hRule="atLeast"/>
          <w:jc w:val="center"/>
        </w:trPr>
        <w:tc>
          <w:tcPr>
            <w:tcW w:w="2084" w:type="dxa"/>
            <w:noWrap w:val="0"/>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占地面积</w:t>
            </w:r>
          </w:p>
        </w:tc>
        <w:tc>
          <w:tcPr>
            <w:tcW w:w="6595" w:type="dxa"/>
            <w:gridSpan w:val="3"/>
            <w:noWrap w:val="0"/>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占地面积46.413亩（三类工业用地）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14" w:hRule="atLeast"/>
          <w:jc w:val="center"/>
        </w:trPr>
        <w:tc>
          <w:tcPr>
            <w:tcW w:w="2084" w:type="dxa"/>
            <w:noWrap w:val="0"/>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olor w:val="auto"/>
                <w:spacing w:val="0"/>
                <w:sz w:val="24"/>
                <w:szCs w:val="24"/>
                <w:highlight w:val="none"/>
              </w:rPr>
            </w:pPr>
          </w:p>
          <w:p>
            <w:pPr>
              <w:pStyle w:val="32"/>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劳动定员</w:t>
            </w:r>
          </w:p>
        </w:tc>
        <w:tc>
          <w:tcPr>
            <w:tcW w:w="6595" w:type="dxa"/>
            <w:gridSpan w:val="3"/>
            <w:noWrap w:val="0"/>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olor w:val="auto"/>
                <w:spacing w:val="0"/>
                <w:sz w:val="24"/>
                <w:szCs w:val="24"/>
                <w:highlight w:val="none"/>
                <w:lang w:eastAsia="zh-CN"/>
              </w:rPr>
            </w:pPr>
            <w:r>
              <w:rPr>
                <w:rFonts w:hint="eastAsia" w:ascii="宋体" w:hAnsi="宋体" w:eastAsia="宋体" w:cs="宋体"/>
                <w:color w:val="auto"/>
                <w:spacing w:val="0"/>
                <w:sz w:val="24"/>
                <w:szCs w:val="24"/>
                <w:highlight w:val="none"/>
              </w:rPr>
              <w:t>本项目劳动定员</w:t>
            </w:r>
            <w:r>
              <w:rPr>
                <w:rFonts w:hint="eastAsia" w:ascii="宋体" w:hAnsi="宋体" w:eastAsia="宋体" w:cs="宋体"/>
                <w:color w:val="auto"/>
                <w:spacing w:val="0"/>
                <w:sz w:val="24"/>
                <w:szCs w:val="24"/>
                <w:highlight w:val="none"/>
                <w:lang w:val="en-US" w:eastAsia="zh-CN"/>
              </w:rPr>
              <w:t>57</w:t>
            </w:r>
            <w:r>
              <w:rPr>
                <w:rFonts w:hint="eastAsia" w:ascii="宋体" w:hAnsi="宋体" w:eastAsia="宋体" w:cs="宋体"/>
                <w:color w:val="auto"/>
                <w:spacing w:val="0"/>
                <w:sz w:val="24"/>
                <w:szCs w:val="24"/>
                <w:highlight w:val="none"/>
              </w:rPr>
              <w:t>人，其中管理人员1</w:t>
            </w:r>
            <w:r>
              <w:rPr>
                <w:rFonts w:hint="eastAsia" w:ascii="宋体" w:hAnsi="宋体" w:eastAsia="宋体" w:cs="宋体"/>
                <w:color w:val="auto"/>
                <w:spacing w:val="0"/>
                <w:sz w:val="24"/>
                <w:szCs w:val="24"/>
                <w:highlight w:val="none"/>
                <w:lang w:val="en-US" w:eastAsia="zh-CN"/>
              </w:rPr>
              <w:t>0</w:t>
            </w:r>
            <w:r>
              <w:rPr>
                <w:rFonts w:hint="eastAsia" w:ascii="宋体" w:hAnsi="宋体" w:eastAsia="宋体" w:cs="宋体"/>
                <w:color w:val="auto"/>
                <w:spacing w:val="0"/>
                <w:sz w:val="24"/>
                <w:szCs w:val="24"/>
                <w:highlight w:val="none"/>
              </w:rPr>
              <w:t>人，生产人员</w:t>
            </w:r>
            <w:r>
              <w:rPr>
                <w:rFonts w:hint="eastAsia" w:ascii="宋体" w:hAnsi="宋体" w:eastAsia="宋体" w:cs="宋体"/>
                <w:color w:val="auto"/>
                <w:spacing w:val="0"/>
                <w:sz w:val="24"/>
                <w:szCs w:val="24"/>
                <w:highlight w:val="none"/>
                <w:lang w:val="en-US" w:eastAsia="zh-CN"/>
              </w:rPr>
              <w:t>4</w:t>
            </w:r>
            <w:r>
              <w:rPr>
                <w:rFonts w:hint="eastAsia" w:ascii="宋体" w:hAnsi="宋体" w:eastAsia="宋体" w:cs="宋体"/>
                <w:color w:val="auto"/>
                <w:spacing w:val="0"/>
                <w:sz w:val="24"/>
                <w:szCs w:val="24"/>
                <w:highlight w:val="none"/>
                <w:lang w:eastAsia="zh-CN"/>
              </w:rPr>
              <w:t>7人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11" w:hRule="atLeast"/>
          <w:jc w:val="center"/>
        </w:trPr>
        <w:tc>
          <w:tcPr>
            <w:tcW w:w="2084" w:type="dxa"/>
            <w:noWrap w:val="0"/>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olor w:val="auto"/>
                <w:spacing w:val="0"/>
                <w:sz w:val="24"/>
                <w:szCs w:val="24"/>
                <w:highlight w:val="none"/>
              </w:rPr>
            </w:pPr>
          </w:p>
          <w:p>
            <w:pPr>
              <w:pStyle w:val="32"/>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工作制度</w:t>
            </w:r>
          </w:p>
        </w:tc>
        <w:tc>
          <w:tcPr>
            <w:tcW w:w="6595" w:type="dxa"/>
            <w:gridSpan w:val="3"/>
            <w:noWrap w:val="0"/>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年工作300天，每天24小时，7200小时/年，生产三班</w:t>
            </w:r>
          </w:p>
          <w:p>
            <w:pPr>
              <w:pStyle w:val="32"/>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倒工作制，行政管理部门实行单班工作制，每天8小时</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22" w:hRule="atLeast"/>
          <w:jc w:val="center"/>
        </w:trPr>
        <w:tc>
          <w:tcPr>
            <w:tcW w:w="2084" w:type="dxa"/>
            <w:noWrap w:val="0"/>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排水去向</w:t>
            </w:r>
          </w:p>
        </w:tc>
        <w:tc>
          <w:tcPr>
            <w:tcW w:w="6595" w:type="dxa"/>
            <w:gridSpan w:val="3"/>
            <w:noWrap w:val="0"/>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废水经厂内污水处理站处理达标后，与清净下水（循环水及制冷系统排水）一起经总排口纳入集聚区污水管网，排入陕州区产业集聚区污水处理厂，处理达标后排入观音堂人工湿地进一步处理，最终排入南涧河。</w:t>
            </w:r>
          </w:p>
        </w:tc>
      </w:tr>
    </w:tbl>
    <w:p>
      <w:pPr>
        <w:pStyle w:val="8"/>
        <w:bidi w:val="0"/>
        <w:rPr>
          <w:rFonts w:hint="eastAsia" w:ascii="宋体" w:hAnsi="宋体" w:eastAsia="宋体" w:cs="宋体"/>
          <w:color w:val="auto"/>
          <w:highlight w:val="none"/>
          <w:lang w:val="en-US" w:eastAsia="zh-CN"/>
        </w:rPr>
      </w:pPr>
      <w:bookmarkStart w:id="100" w:name="_Toc28248"/>
      <w:r>
        <w:rPr>
          <w:rFonts w:hint="eastAsia" w:ascii="宋体" w:hAnsi="宋体" w:eastAsia="宋体" w:cs="宋体"/>
          <w:color w:val="auto"/>
          <w:highlight w:val="none"/>
          <w:lang w:val="en-US" w:eastAsia="zh-CN"/>
        </w:rPr>
        <w:t>2.2企业用地历史沿革</w:t>
      </w:r>
      <w:bookmarkEnd w:id="99"/>
      <w:bookmarkEnd w:id="100"/>
    </w:p>
    <w:p>
      <w:pPr>
        <w:spacing w:line="360" w:lineRule="auto"/>
        <w:ind w:firstLine="560"/>
        <w:rPr>
          <w:rFonts w:hint="eastAsia" w:ascii="宋体" w:hAnsi="宋体" w:eastAsia="宋体" w:cs="宋体"/>
          <w:caps w:val="0"/>
          <w:smallCaps w:val="0"/>
          <w:color w:val="auto"/>
          <w:spacing w:val="0"/>
          <w:sz w:val="28"/>
          <w:szCs w:val="28"/>
          <w:highlight w:val="none"/>
          <w:u w:val="none" w:color="auto"/>
          <w:lang w:val="en-US" w:eastAsia="zh-CN"/>
        </w:rPr>
      </w:pPr>
      <w:r>
        <w:rPr>
          <w:rFonts w:hint="eastAsia" w:ascii="宋体" w:hAnsi="宋体" w:eastAsia="宋体" w:cs="宋体"/>
          <w:caps w:val="0"/>
          <w:smallCaps w:val="0"/>
          <w:color w:val="auto"/>
          <w:spacing w:val="0"/>
          <w:sz w:val="28"/>
          <w:szCs w:val="28"/>
          <w:highlight w:val="none"/>
          <w:u w:val="none" w:color="auto"/>
          <w:lang w:val="en-US" w:eastAsia="zh-CN"/>
        </w:rPr>
        <w:t>根据企业提供相关资料，建厂前，2016年之前企业所在地块用地情况为空地。环保等各项手续情况如下：</w:t>
      </w:r>
    </w:p>
    <w:p>
      <w:pPr>
        <w:spacing w:line="360" w:lineRule="auto"/>
        <w:ind w:firstLine="560"/>
        <w:rPr>
          <w:rFonts w:hint="eastAsia" w:ascii="宋体" w:hAnsi="宋体" w:eastAsia="宋体" w:cs="宋体"/>
          <w:caps w:val="0"/>
          <w:smallCaps w:val="0"/>
          <w:color w:val="auto"/>
          <w:spacing w:val="0"/>
          <w:sz w:val="28"/>
          <w:szCs w:val="28"/>
          <w:highlight w:val="none"/>
          <w:u w:val="none" w:color="auto"/>
          <w:lang w:val="en-US" w:eastAsia="zh-CN"/>
        </w:rPr>
      </w:pPr>
      <w:r>
        <w:rPr>
          <w:rFonts w:hint="eastAsia" w:ascii="宋体" w:hAnsi="宋体" w:eastAsia="宋体" w:cs="宋体"/>
          <w:caps w:val="0"/>
          <w:smallCaps w:val="0"/>
          <w:color w:val="auto"/>
          <w:spacing w:val="0"/>
          <w:sz w:val="28"/>
          <w:szCs w:val="28"/>
          <w:highlight w:val="none"/>
          <w:u w:val="none" w:color="auto"/>
          <w:lang w:val="en-US" w:eastAsia="zh-CN"/>
        </w:rPr>
        <w:t>公司环保手续合法，年产1500吨1-4酸钠盐、500吨尼文酸、2000吨甲酸乙酯与丙酸乙酯项目包含一台4t/h天然气锅炉，已于2016年9月由三门峡市环境保护局以三环审〔2016〕100号文予以批复，并于2020年3月7日自主完成了竣工环保验收。</w:t>
      </w:r>
    </w:p>
    <w:p>
      <w:pPr>
        <w:spacing w:line="360" w:lineRule="auto"/>
        <w:ind w:firstLine="560"/>
        <w:rPr>
          <w:rFonts w:hint="eastAsia" w:ascii="宋体" w:hAnsi="宋体" w:eastAsia="宋体" w:cs="宋体"/>
          <w:caps w:val="0"/>
          <w:smallCaps w:val="0"/>
          <w:color w:val="auto"/>
          <w:spacing w:val="0"/>
          <w:sz w:val="28"/>
          <w:szCs w:val="28"/>
          <w:highlight w:val="none"/>
          <w:u w:val="none" w:color="auto"/>
          <w:lang w:val="en-US" w:eastAsia="zh-CN"/>
        </w:rPr>
      </w:pPr>
      <w:r>
        <w:rPr>
          <w:rFonts w:hint="eastAsia" w:ascii="宋体" w:hAnsi="宋体" w:eastAsia="宋体" w:cs="宋体"/>
          <w:caps w:val="0"/>
          <w:smallCaps w:val="0"/>
          <w:color w:val="auto"/>
          <w:spacing w:val="0"/>
          <w:sz w:val="28"/>
          <w:szCs w:val="28"/>
          <w:highlight w:val="none"/>
          <w:u w:val="none" w:color="auto"/>
          <w:lang w:val="en-US" w:eastAsia="zh-CN"/>
        </w:rPr>
        <w:t>年产400t三溴新戊醇、200t三溴磷酸酯、400t二溴新戊二醇、600t溴化氢乙酸溶液项目，已于2019年9月17日由三门峡市生态环境局以三环审〔2019〕39号文予以批复，并于2020年11月分阶段自主完成竣工环保验收。</w:t>
      </w:r>
    </w:p>
    <w:p>
      <w:pPr>
        <w:spacing w:line="360" w:lineRule="auto"/>
        <w:ind w:firstLine="560"/>
        <w:rPr>
          <w:rFonts w:hint="eastAsia" w:ascii="宋体" w:hAnsi="宋体" w:eastAsia="宋体" w:cs="宋体"/>
          <w:caps w:val="0"/>
          <w:smallCaps w:val="0"/>
          <w:color w:val="auto"/>
          <w:spacing w:val="0"/>
          <w:sz w:val="28"/>
          <w:szCs w:val="28"/>
          <w:highlight w:val="none"/>
          <w:u w:val="none" w:color="auto"/>
          <w:lang w:val="en-US" w:eastAsia="zh-CN"/>
        </w:rPr>
      </w:pPr>
      <w:r>
        <w:rPr>
          <w:rFonts w:hint="eastAsia" w:ascii="宋体" w:hAnsi="宋体" w:eastAsia="宋体" w:cs="宋体"/>
          <w:caps w:val="0"/>
          <w:smallCaps w:val="0"/>
          <w:color w:val="auto"/>
          <w:spacing w:val="0"/>
          <w:sz w:val="28"/>
          <w:szCs w:val="28"/>
          <w:highlight w:val="none"/>
          <w:u w:val="none" w:color="auto"/>
          <w:lang w:val="en-US" w:eastAsia="zh-CN"/>
        </w:rPr>
        <w:t>公司新增6吨天然气备用锅炉项目环评报告表于2021年10月8日由三门峡市生态环境局第二分局以三环二分局审〔2021〕11号文予以批复，于2022年2月自主完成了竣工环保验收。</w:t>
      </w:r>
    </w:p>
    <w:p>
      <w:pPr>
        <w:spacing w:line="360" w:lineRule="auto"/>
        <w:ind w:firstLine="560"/>
        <w:rPr>
          <w:rFonts w:hint="eastAsia" w:ascii="宋体" w:hAnsi="宋体" w:eastAsia="宋体" w:cs="宋体"/>
          <w:caps w:val="0"/>
          <w:smallCaps w:val="0"/>
          <w:color w:val="auto"/>
          <w:spacing w:val="0"/>
          <w:sz w:val="28"/>
          <w:szCs w:val="28"/>
          <w:highlight w:val="none"/>
          <w:u w:val="none" w:color="auto"/>
          <w:lang w:val="en-US" w:eastAsia="zh-CN"/>
        </w:rPr>
      </w:pPr>
      <w:r>
        <w:rPr>
          <w:rFonts w:hint="eastAsia" w:ascii="宋体" w:hAnsi="宋体" w:eastAsia="宋体" w:cs="宋体"/>
          <w:caps w:val="0"/>
          <w:smallCaps w:val="0"/>
          <w:color w:val="auto"/>
          <w:spacing w:val="0"/>
          <w:sz w:val="28"/>
          <w:szCs w:val="28"/>
          <w:highlight w:val="none"/>
          <w:u w:val="none" w:color="auto"/>
          <w:lang w:val="en-US" w:eastAsia="zh-CN"/>
        </w:rPr>
        <w:t>年产3000t-四溴双酚A、50t-4甲基二苯胺项目于2022年6月8日由三门峡市陕州区产业聚集区管理委员会以三陕集审〔2022〕2号文予以批复，并于2023年1月组织竣工环境保护验收。</w:t>
      </w:r>
    </w:p>
    <w:p>
      <w:pPr>
        <w:spacing w:line="360" w:lineRule="auto"/>
        <w:ind w:firstLine="560"/>
        <w:rPr>
          <w:rFonts w:hint="eastAsia" w:ascii="宋体" w:hAnsi="宋体" w:eastAsia="宋体" w:cs="宋体"/>
          <w:caps w:val="0"/>
          <w:smallCaps w:val="0"/>
          <w:color w:val="auto"/>
          <w:spacing w:val="0"/>
          <w:sz w:val="28"/>
          <w:szCs w:val="28"/>
          <w:highlight w:val="none"/>
          <w:u w:val="none" w:color="auto"/>
          <w:lang w:val="en-US" w:eastAsia="zh-CN"/>
        </w:rPr>
      </w:pPr>
      <w:r>
        <w:rPr>
          <w:rFonts w:hint="eastAsia" w:ascii="宋体" w:hAnsi="宋体" w:eastAsia="宋体" w:cs="宋体"/>
          <w:caps w:val="0"/>
          <w:smallCaps w:val="0"/>
          <w:color w:val="auto"/>
          <w:spacing w:val="0"/>
          <w:sz w:val="28"/>
          <w:szCs w:val="28"/>
          <w:highlight w:val="none"/>
          <w:u w:val="none" w:color="auto"/>
          <w:lang w:val="en-US" w:eastAsia="zh-CN"/>
        </w:rPr>
        <w:t>2020年8月，公司取得了排污许可证，编号为91411222MA3XBQCN8U001P。</w:t>
      </w:r>
    </w:p>
    <w:p>
      <w:pPr>
        <w:keepNext w:val="0"/>
        <w:keepLines w:val="0"/>
        <w:pageBreakBefore w:val="0"/>
        <w:widowControl w:val="0"/>
        <w:kinsoku/>
        <w:wordWrap/>
        <w:overflowPunct/>
        <w:topLinePunct w:val="0"/>
        <w:autoSpaceDE/>
        <w:autoSpaceDN/>
        <w:bidi w:val="0"/>
        <w:adjustRightInd w:val="0"/>
        <w:snapToGrid w:val="0"/>
        <w:spacing w:after="0" w:line="520" w:lineRule="exact"/>
        <w:ind w:left="0" w:leftChars="0" w:firstLine="560" w:firstLineChars="200"/>
        <w:jc w:val="both"/>
        <w:textAlignment w:val="auto"/>
        <w:rPr>
          <w:rFonts w:hint="eastAsia" w:ascii="宋体" w:hAnsi="宋体" w:eastAsia="宋体" w:cs="宋体"/>
          <w:color w:val="auto"/>
          <w:sz w:val="28"/>
          <w:highlight w:val="none"/>
          <w:lang w:val="en-US" w:eastAsia="zh-CN"/>
        </w:rPr>
      </w:pPr>
      <w:r>
        <w:rPr>
          <w:rFonts w:hint="eastAsia" w:ascii="宋体" w:hAnsi="宋体" w:eastAsia="宋体" w:cs="宋体"/>
          <w:color w:val="auto"/>
          <w:sz w:val="28"/>
          <w:highlight w:val="none"/>
          <w:lang w:val="en-US" w:eastAsia="zh-CN"/>
        </w:rPr>
        <w:t>地块利用历史沿革见表2-2，</w:t>
      </w:r>
    </w:p>
    <w:p>
      <w:pPr>
        <w:spacing w:line="520" w:lineRule="exact"/>
        <w:ind w:firstLine="480" w:firstLineChars="200"/>
        <w:jc w:val="center"/>
        <w:rPr>
          <w:rFonts w:hint="eastAsia" w:ascii="宋体" w:hAnsi="宋体" w:eastAsia="宋体" w:cs="宋体"/>
          <w:sz w:val="24"/>
          <w:szCs w:val="24"/>
          <w:highlight w:val="none"/>
          <w:lang w:bidi="ar"/>
        </w:rPr>
      </w:pPr>
      <w:r>
        <w:rPr>
          <w:rFonts w:hint="eastAsia" w:ascii="宋体" w:hAnsi="宋体" w:eastAsia="宋体" w:cs="宋体"/>
          <w:sz w:val="24"/>
          <w:szCs w:val="24"/>
          <w:highlight w:val="none"/>
          <w:lang w:bidi="ar"/>
        </w:rPr>
        <w:t>表</w:t>
      </w:r>
      <w:r>
        <w:rPr>
          <w:rFonts w:hint="eastAsia" w:ascii="宋体" w:hAnsi="宋体" w:eastAsia="宋体" w:cs="宋体"/>
          <w:b/>
          <w:bCs/>
          <w:sz w:val="24"/>
          <w:szCs w:val="24"/>
          <w:highlight w:val="none"/>
          <w:lang w:bidi="ar"/>
        </w:rPr>
        <w:t>2</w:t>
      </w:r>
      <w:r>
        <w:rPr>
          <w:rFonts w:hint="eastAsia" w:ascii="宋体" w:hAnsi="宋体" w:eastAsia="宋体" w:cs="宋体"/>
          <w:b/>
          <w:bCs/>
          <w:sz w:val="24"/>
          <w:szCs w:val="24"/>
          <w:highlight w:val="none"/>
          <w:lang w:val="en-US" w:eastAsia="zh-CN" w:bidi="ar"/>
        </w:rPr>
        <w:t>-</w:t>
      </w:r>
      <w:r>
        <w:rPr>
          <w:rFonts w:hint="eastAsia" w:ascii="宋体" w:hAnsi="宋体" w:eastAsia="宋体" w:cs="宋体"/>
          <w:b/>
          <w:bCs/>
          <w:sz w:val="24"/>
          <w:szCs w:val="24"/>
          <w:highlight w:val="none"/>
          <w:lang w:bidi="ar"/>
        </w:rPr>
        <w:t>2</w:t>
      </w:r>
      <w:r>
        <w:rPr>
          <w:rFonts w:hint="eastAsia" w:ascii="宋体" w:hAnsi="宋体" w:eastAsia="宋体" w:cs="宋体"/>
          <w:b/>
          <w:bCs/>
          <w:sz w:val="24"/>
          <w:szCs w:val="24"/>
          <w:highlight w:val="none"/>
          <w:lang w:val="en-US" w:eastAsia="zh-CN" w:bidi="ar"/>
        </w:rPr>
        <w:t xml:space="preserve">  </w:t>
      </w:r>
      <w:r>
        <w:rPr>
          <w:rFonts w:hint="eastAsia" w:ascii="宋体" w:hAnsi="宋体" w:eastAsia="宋体" w:cs="宋体"/>
          <w:sz w:val="24"/>
          <w:szCs w:val="24"/>
          <w:highlight w:val="none"/>
          <w:lang w:bidi="ar"/>
        </w:rPr>
        <w:t>地块历史信息一览表</w:t>
      </w:r>
    </w:p>
    <w:tbl>
      <w:tblPr>
        <w:tblStyle w:val="21"/>
        <w:tblW w:w="5031"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792"/>
        <w:gridCol w:w="1572"/>
        <w:gridCol w:w="1504"/>
        <w:gridCol w:w="526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433" w:type="pct"/>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hint="eastAsia" w:ascii="宋体" w:hAnsi="宋体" w:eastAsia="宋体" w:cs="宋体"/>
                <w:sz w:val="24"/>
                <w:szCs w:val="24"/>
                <w:highlight w:val="none"/>
                <w:lang w:bidi="ar"/>
              </w:rPr>
            </w:pPr>
            <w:r>
              <w:rPr>
                <w:rFonts w:hint="eastAsia" w:ascii="宋体" w:hAnsi="宋体" w:eastAsia="宋体" w:cs="宋体"/>
                <w:sz w:val="24"/>
                <w:szCs w:val="24"/>
                <w:highlight w:val="none"/>
                <w:lang w:bidi="ar"/>
              </w:rPr>
              <w:t>序号</w:t>
            </w:r>
          </w:p>
        </w:tc>
        <w:tc>
          <w:tcPr>
            <w:tcW w:w="860" w:type="pct"/>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hint="eastAsia" w:ascii="宋体" w:hAnsi="宋体" w:eastAsia="宋体" w:cs="宋体"/>
                <w:sz w:val="24"/>
                <w:szCs w:val="24"/>
                <w:highlight w:val="none"/>
                <w:lang w:bidi="ar"/>
              </w:rPr>
            </w:pPr>
            <w:r>
              <w:rPr>
                <w:rFonts w:hint="eastAsia" w:ascii="宋体" w:hAnsi="宋体" w:eastAsia="宋体" w:cs="宋体"/>
                <w:sz w:val="24"/>
                <w:szCs w:val="24"/>
                <w:highlight w:val="none"/>
                <w:lang w:bidi="ar"/>
              </w:rPr>
              <w:t>起（年）</w:t>
            </w:r>
          </w:p>
        </w:tc>
        <w:tc>
          <w:tcPr>
            <w:tcW w:w="823" w:type="pct"/>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hint="eastAsia" w:ascii="宋体" w:hAnsi="宋体" w:eastAsia="宋体" w:cs="宋体"/>
                <w:sz w:val="24"/>
                <w:szCs w:val="24"/>
                <w:highlight w:val="none"/>
                <w:lang w:bidi="ar"/>
              </w:rPr>
            </w:pPr>
            <w:r>
              <w:rPr>
                <w:rFonts w:hint="eastAsia" w:ascii="宋体" w:hAnsi="宋体" w:eastAsia="宋体" w:cs="宋体"/>
                <w:sz w:val="24"/>
                <w:szCs w:val="24"/>
                <w:highlight w:val="none"/>
                <w:lang w:bidi="ar"/>
              </w:rPr>
              <w:t>止</w:t>
            </w:r>
          </w:p>
        </w:tc>
        <w:tc>
          <w:tcPr>
            <w:tcW w:w="2882" w:type="pct"/>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hint="eastAsia" w:ascii="宋体" w:hAnsi="宋体" w:eastAsia="宋体" w:cs="宋体"/>
                <w:sz w:val="24"/>
                <w:szCs w:val="24"/>
                <w:highlight w:val="none"/>
                <w:lang w:bidi="ar"/>
              </w:rPr>
            </w:pPr>
            <w:r>
              <w:rPr>
                <w:rFonts w:hint="eastAsia" w:ascii="宋体" w:hAnsi="宋体" w:eastAsia="宋体" w:cs="宋体"/>
                <w:sz w:val="24"/>
                <w:szCs w:val="24"/>
                <w:highlight w:val="none"/>
                <w:lang w:bidi="ar"/>
              </w:rPr>
              <w:t>地块情况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433" w:type="pct"/>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hint="eastAsia" w:ascii="宋体" w:hAnsi="宋体" w:eastAsia="宋体" w:cs="宋体"/>
                <w:sz w:val="24"/>
                <w:szCs w:val="24"/>
                <w:highlight w:val="none"/>
                <w:lang w:bidi="ar"/>
              </w:rPr>
            </w:pPr>
            <w:r>
              <w:rPr>
                <w:rFonts w:hint="eastAsia" w:ascii="宋体" w:hAnsi="宋体" w:eastAsia="宋体" w:cs="宋体"/>
                <w:sz w:val="24"/>
                <w:szCs w:val="24"/>
                <w:highlight w:val="none"/>
                <w:lang w:bidi="ar"/>
              </w:rPr>
              <w:t>1</w:t>
            </w:r>
          </w:p>
        </w:tc>
        <w:tc>
          <w:tcPr>
            <w:tcW w:w="860" w:type="pct"/>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hint="eastAsia" w:ascii="宋体" w:hAnsi="宋体" w:eastAsia="宋体" w:cs="宋体"/>
                <w:sz w:val="24"/>
                <w:szCs w:val="24"/>
                <w:highlight w:val="none"/>
                <w:lang w:bidi="ar"/>
              </w:rPr>
            </w:pPr>
            <w:r>
              <w:rPr>
                <w:rFonts w:hint="eastAsia" w:ascii="宋体" w:hAnsi="宋体" w:eastAsia="宋体" w:cs="宋体"/>
                <w:sz w:val="24"/>
                <w:szCs w:val="24"/>
                <w:highlight w:val="none"/>
                <w:lang w:bidi="ar"/>
              </w:rPr>
              <w:t>--</w:t>
            </w:r>
          </w:p>
        </w:tc>
        <w:tc>
          <w:tcPr>
            <w:tcW w:w="823" w:type="pct"/>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hint="eastAsia" w:ascii="宋体" w:hAnsi="宋体" w:eastAsia="宋体" w:cs="宋体"/>
                <w:sz w:val="24"/>
                <w:szCs w:val="24"/>
                <w:highlight w:val="none"/>
                <w:lang w:val="en-US" w:eastAsia="zh-CN" w:bidi="ar"/>
              </w:rPr>
            </w:pPr>
            <w:r>
              <w:rPr>
                <w:rFonts w:hint="eastAsia" w:ascii="宋体" w:hAnsi="宋体" w:eastAsia="宋体" w:cs="宋体"/>
                <w:sz w:val="24"/>
                <w:szCs w:val="24"/>
                <w:highlight w:val="none"/>
                <w:lang w:bidi="ar"/>
              </w:rPr>
              <w:t>20</w:t>
            </w:r>
            <w:r>
              <w:rPr>
                <w:rFonts w:hint="eastAsia" w:ascii="宋体" w:hAnsi="宋体" w:eastAsia="宋体" w:cs="宋体"/>
                <w:sz w:val="24"/>
                <w:szCs w:val="24"/>
                <w:highlight w:val="none"/>
                <w:lang w:val="en-US" w:eastAsia="zh-CN" w:bidi="ar"/>
              </w:rPr>
              <w:t>16</w:t>
            </w:r>
          </w:p>
        </w:tc>
        <w:tc>
          <w:tcPr>
            <w:tcW w:w="2882" w:type="pct"/>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hint="eastAsia" w:ascii="宋体" w:hAnsi="宋体" w:eastAsia="宋体" w:cs="宋体"/>
                <w:sz w:val="24"/>
                <w:szCs w:val="24"/>
                <w:highlight w:val="none"/>
                <w:lang w:eastAsia="zh-CN" w:bidi="ar"/>
              </w:rPr>
            </w:pPr>
            <w:r>
              <w:rPr>
                <w:rFonts w:hint="eastAsia" w:ascii="宋体" w:hAnsi="宋体" w:eastAsia="宋体" w:cs="宋体"/>
                <w:sz w:val="24"/>
                <w:szCs w:val="24"/>
                <w:highlight w:val="none"/>
                <w:lang w:eastAsia="zh-CN" w:bidi="ar"/>
              </w:rPr>
              <w:t>空地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433" w:type="pct"/>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hint="eastAsia" w:ascii="宋体" w:hAnsi="宋体" w:eastAsia="宋体" w:cs="宋体"/>
                <w:sz w:val="24"/>
                <w:szCs w:val="24"/>
                <w:highlight w:val="none"/>
                <w:lang w:bidi="ar"/>
              </w:rPr>
            </w:pPr>
            <w:r>
              <w:rPr>
                <w:rFonts w:hint="eastAsia" w:ascii="宋体" w:hAnsi="宋体" w:eastAsia="宋体" w:cs="宋体"/>
                <w:sz w:val="24"/>
                <w:szCs w:val="24"/>
                <w:highlight w:val="none"/>
                <w:lang w:bidi="ar"/>
              </w:rPr>
              <w:t>2</w:t>
            </w:r>
          </w:p>
        </w:tc>
        <w:tc>
          <w:tcPr>
            <w:tcW w:w="860" w:type="pct"/>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hint="eastAsia" w:ascii="宋体" w:hAnsi="宋体" w:eastAsia="宋体" w:cs="宋体"/>
                <w:sz w:val="24"/>
                <w:szCs w:val="24"/>
                <w:highlight w:val="none"/>
                <w:lang w:val="en-US" w:eastAsia="zh-CN" w:bidi="ar"/>
              </w:rPr>
            </w:pPr>
            <w:r>
              <w:rPr>
                <w:rFonts w:hint="eastAsia" w:ascii="宋体" w:hAnsi="宋体" w:eastAsia="宋体" w:cs="宋体"/>
                <w:sz w:val="24"/>
                <w:szCs w:val="24"/>
                <w:highlight w:val="none"/>
                <w:lang w:bidi="ar"/>
              </w:rPr>
              <w:t>20</w:t>
            </w:r>
            <w:r>
              <w:rPr>
                <w:rFonts w:hint="eastAsia" w:ascii="宋体" w:hAnsi="宋体" w:eastAsia="宋体" w:cs="宋体"/>
                <w:sz w:val="24"/>
                <w:szCs w:val="24"/>
                <w:highlight w:val="none"/>
                <w:lang w:val="en-US" w:eastAsia="zh-CN" w:bidi="ar"/>
              </w:rPr>
              <w:t>16年9月</w:t>
            </w:r>
          </w:p>
        </w:tc>
        <w:tc>
          <w:tcPr>
            <w:tcW w:w="823" w:type="pct"/>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hint="eastAsia" w:ascii="宋体" w:hAnsi="宋体" w:eastAsia="宋体" w:cs="宋体"/>
                <w:sz w:val="24"/>
                <w:szCs w:val="24"/>
                <w:highlight w:val="none"/>
                <w:lang w:val="en-US" w:eastAsia="zh-CN" w:bidi="ar"/>
              </w:rPr>
            </w:pPr>
            <w:r>
              <w:rPr>
                <w:rFonts w:hint="eastAsia" w:ascii="宋体" w:hAnsi="宋体" w:eastAsia="宋体" w:cs="宋体"/>
                <w:sz w:val="24"/>
                <w:szCs w:val="24"/>
                <w:highlight w:val="none"/>
                <w:lang w:eastAsia="zh-CN" w:bidi="ar"/>
              </w:rPr>
              <w:t>20</w:t>
            </w:r>
            <w:r>
              <w:rPr>
                <w:rFonts w:hint="eastAsia" w:ascii="宋体" w:hAnsi="宋体" w:eastAsia="宋体" w:cs="宋体"/>
                <w:sz w:val="24"/>
                <w:szCs w:val="24"/>
                <w:highlight w:val="none"/>
                <w:lang w:val="en-US" w:eastAsia="zh-CN" w:bidi="ar"/>
              </w:rPr>
              <w:t>20</w:t>
            </w:r>
            <w:r>
              <w:rPr>
                <w:rFonts w:hint="eastAsia" w:ascii="宋体" w:hAnsi="宋体" w:eastAsia="宋体" w:cs="宋体"/>
                <w:sz w:val="24"/>
                <w:szCs w:val="24"/>
                <w:highlight w:val="none"/>
                <w:lang w:val="en-US" w:eastAsia="zh-Hans" w:bidi="ar"/>
              </w:rPr>
              <w:t>年</w:t>
            </w:r>
            <w:r>
              <w:rPr>
                <w:rFonts w:hint="eastAsia" w:ascii="宋体" w:hAnsi="宋体" w:eastAsia="宋体" w:cs="宋体"/>
                <w:sz w:val="24"/>
                <w:szCs w:val="24"/>
                <w:highlight w:val="none"/>
                <w:lang w:val="en-US" w:eastAsia="zh-CN" w:bidi="ar"/>
              </w:rPr>
              <w:t>3月</w:t>
            </w:r>
          </w:p>
        </w:tc>
        <w:tc>
          <w:tcPr>
            <w:tcW w:w="2882" w:type="pct"/>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hint="eastAsia" w:ascii="宋体" w:hAnsi="宋体" w:eastAsia="宋体" w:cs="宋体"/>
                <w:sz w:val="24"/>
                <w:szCs w:val="24"/>
                <w:highlight w:val="none"/>
                <w:lang w:eastAsia="zh-CN" w:bidi="ar"/>
              </w:rPr>
            </w:pPr>
            <w:r>
              <w:rPr>
                <w:rFonts w:hint="eastAsia" w:ascii="宋体" w:hAnsi="宋体" w:eastAsia="宋体" w:cs="宋体"/>
                <w:sz w:val="24"/>
                <w:szCs w:val="24"/>
                <w:highlight w:val="none"/>
                <w:lang w:val="en-US" w:eastAsia="zh-CN" w:bidi="ar"/>
              </w:rPr>
              <w:t>年产1500吨1-4酸钠盐、500吨尼文酸、2000吨甲酸乙酯与丙酸乙酯项目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433" w:type="pct"/>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hint="eastAsia" w:ascii="宋体" w:hAnsi="宋体" w:eastAsia="宋体" w:cs="宋体"/>
                <w:sz w:val="24"/>
                <w:szCs w:val="24"/>
                <w:highlight w:val="none"/>
                <w:lang w:val="en-US" w:eastAsia="zh-CN" w:bidi="ar"/>
              </w:rPr>
            </w:pPr>
            <w:r>
              <w:rPr>
                <w:rFonts w:hint="eastAsia" w:ascii="宋体" w:hAnsi="宋体" w:eastAsia="宋体" w:cs="宋体"/>
                <w:sz w:val="24"/>
                <w:szCs w:val="24"/>
                <w:highlight w:val="none"/>
                <w:lang w:val="en-US" w:eastAsia="zh-CN" w:bidi="ar"/>
              </w:rPr>
              <w:t>3</w:t>
            </w:r>
          </w:p>
        </w:tc>
        <w:tc>
          <w:tcPr>
            <w:tcW w:w="860" w:type="pct"/>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hint="default" w:ascii="宋体" w:hAnsi="宋体" w:eastAsia="宋体" w:cs="宋体"/>
                <w:sz w:val="24"/>
                <w:szCs w:val="24"/>
                <w:highlight w:val="none"/>
                <w:lang w:val="en-US" w:eastAsia="zh-CN" w:bidi="ar"/>
              </w:rPr>
            </w:pPr>
            <w:r>
              <w:rPr>
                <w:rFonts w:hint="eastAsia" w:ascii="宋体" w:hAnsi="宋体" w:eastAsia="宋体" w:cs="宋体"/>
                <w:sz w:val="24"/>
                <w:szCs w:val="24"/>
                <w:highlight w:val="none"/>
                <w:lang w:val="en-US" w:eastAsia="zh-CN" w:bidi="ar"/>
              </w:rPr>
              <w:t>2019年10月</w:t>
            </w:r>
          </w:p>
        </w:tc>
        <w:tc>
          <w:tcPr>
            <w:tcW w:w="823" w:type="pct"/>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hint="default" w:ascii="宋体" w:hAnsi="宋体" w:eastAsia="宋体" w:cs="宋体"/>
                <w:sz w:val="24"/>
                <w:szCs w:val="24"/>
                <w:highlight w:val="none"/>
                <w:lang w:val="en-US" w:eastAsia="zh-CN" w:bidi="ar"/>
              </w:rPr>
            </w:pPr>
            <w:r>
              <w:rPr>
                <w:rFonts w:hint="eastAsia" w:ascii="宋体" w:hAnsi="宋体" w:eastAsia="宋体" w:cs="宋体"/>
                <w:sz w:val="24"/>
                <w:szCs w:val="24"/>
                <w:highlight w:val="none"/>
                <w:lang w:val="en-US" w:eastAsia="zh-CN" w:bidi="ar"/>
              </w:rPr>
              <w:t>2020年11月</w:t>
            </w:r>
          </w:p>
        </w:tc>
        <w:tc>
          <w:tcPr>
            <w:tcW w:w="2882" w:type="pct"/>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hint="eastAsia" w:ascii="宋体" w:hAnsi="宋体" w:eastAsia="宋体" w:cs="宋体"/>
                <w:sz w:val="24"/>
                <w:szCs w:val="24"/>
                <w:highlight w:val="none"/>
                <w:lang w:val="en-US" w:eastAsia="zh-CN" w:bidi="ar"/>
              </w:rPr>
            </w:pPr>
            <w:r>
              <w:rPr>
                <w:rFonts w:hint="eastAsia" w:ascii="宋体" w:hAnsi="宋体" w:eastAsia="宋体" w:cs="宋体"/>
                <w:sz w:val="24"/>
                <w:szCs w:val="24"/>
                <w:highlight w:val="none"/>
                <w:lang w:val="en-US" w:eastAsia="zh-CN" w:bidi="ar"/>
              </w:rPr>
              <w:t>年产400t三溴新戊醇、200t三溴磷酸酯、400t二溴新戊二醇、600t溴化氢乙酸溶液项目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433" w:type="pct"/>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hint="default" w:ascii="宋体" w:hAnsi="宋体" w:eastAsia="宋体" w:cs="宋体"/>
                <w:sz w:val="24"/>
                <w:szCs w:val="24"/>
                <w:highlight w:val="none"/>
                <w:lang w:val="en-US" w:eastAsia="zh-CN" w:bidi="ar"/>
              </w:rPr>
            </w:pPr>
            <w:r>
              <w:rPr>
                <w:rFonts w:hint="eastAsia" w:ascii="宋体" w:hAnsi="宋体" w:eastAsia="宋体" w:cs="宋体"/>
                <w:sz w:val="24"/>
                <w:szCs w:val="24"/>
                <w:highlight w:val="none"/>
                <w:lang w:val="en-US" w:eastAsia="zh-CN" w:bidi="ar"/>
              </w:rPr>
              <w:t>4</w:t>
            </w:r>
          </w:p>
        </w:tc>
        <w:tc>
          <w:tcPr>
            <w:tcW w:w="860" w:type="pct"/>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hint="default" w:ascii="宋体" w:hAnsi="宋体" w:eastAsia="宋体" w:cs="宋体"/>
                <w:sz w:val="24"/>
                <w:szCs w:val="24"/>
                <w:highlight w:val="none"/>
                <w:lang w:val="en-US" w:eastAsia="zh-CN" w:bidi="ar"/>
              </w:rPr>
            </w:pPr>
            <w:r>
              <w:rPr>
                <w:rFonts w:hint="eastAsia" w:ascii="宋体" w:hAnsi="宋体" w:eastAsia="宋体" w:cs="宋体"/>
                <w:sz w:val="24"/>
                <w:szCs w:val="24"/>
                <w:highlight w:val="none"/>
                <w:lang w:val="en-US" w:eastAsia="zh-CN" w:bidi="ar"/>
              </w:rPr>
              <w:t>2021年10月</w:t>
            </w:r>
          </w:p>
        </w:tc>
        <w:tc>
          <w:tcPr>
            <w:tcW w:w="823" w:type="pct"/>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hint="default" w:ascii="宋体" w:hAnsi="宋体" w:eastAsia="宋体" w:cs="宋体"/>
                <w:sz w:val="24"/>
                <w:szCs w:val="24"/>
                <w:highlight w:val="none"/>
                <w:lang w:val="en-US" w:eastAsia="zh-CN" w:bidi="ar"/>
              </w:rPr>
            </w:pPr>
            <w:r>
              <w:rPr>
                <w:rFonts w:hint="eastAsia" w:ascii="宋体" w:hAnsi="宋体" w:eastAsia="宋体" w:cs="宋体"/>
                <w:sz w:val="24"/>
                <w:szCs w:val="24"/>
                <w:highlight w:val="none"/>
                <w:lang w:val="en-US" w:eastAsia="zh-CN" w:bidi="ar"/>
              </w:rPr>
              <w:t>2022年2月</w:t>
            </w:r>
          </w:p>
        </w:tc>
        <w:tc>
          <w:tcPr>
            <w:tcW w:w="2882" w:type="pct"/>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hint="eastAsia" w:ascii="宋体" w:hAnsi="宋体" w:eastAsia="宋体" w:cs="宋体"/>
                <w:sz w:val="24"/>
                <w:szCs w:val="24"/>
                <w:highlight w:val="none"/>
                <w:lang w:val="en-US" w:eastAsia="zh-CN" w:bidi="ar"/>
              </w:rPr>
            </w:pPr>
            <w:r>
              <w:rPr>
                <w:rFonts w:hint="eastAsia" w:ascii="宋体" w:hAnsi="宋体" w:eastAsia="宋体" w:cs="宋体"/>
                <w:sz w:val="24"/>
                <w:szCs w:val="24"/>
                <w:highlight w:val="none"/>
                <w:lang w:val="en-US" w:eastAsia="zh-CN" w:bidi="ar"/>
              </w:rPr>
              <w:t>新增6吨天然气备用锅炉项目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433" w:type="pct"/>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hint="default" w:ascii="宋体" w:hAnsi="宋体" w:eastAsia="宋体" w:cs="宋体"/>
                <w:sz w:val="24"/>
                <w:szCs w:val="24"/>
                <w:highlight w:val="none"/>
                <w:lang w:val="en-US" w:eastAsia="zh-CN" w:bidi="ar"/>
              </w:rPr>
            </w:pPr>
            <w:r>
              <w:rPr>
                <w:rFonts w:hint="eastAsia" w:ascii="宋体" w:hAnsi="宋体" w:eastAsia="宋体" w:cs="宋体"/>
                <w:sz w:val="24"/>
                <w:szCs w:val="24"/>
                <w:highlight w:val="none"/>
                <w:lang w:val="en-US" w:eastAsia="zh-CN" w:bidi="ar"/>
              </w:rPr>
              <w:t>5</w:t>
            </w:r>
          </w:p>
        </w:tc>
        <w:tc>
          <w:tcPr>
            <w:tcW w:w="860" w:type="pct"/>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hint="default" w:ascii="宋体" w:hAnsi="宋体" w:eastAsia="宋体" w:cs="宋体"/>
                <w:sz w:val="24"/>
                <w:szCs w:val="24"/>
                <w:highlight w:val="none"/>
                <w:lang w:val="en-US" w:eastAsia="zh-CN" w:bidi="ar"/>
              </w:rPr>
            </w:pPr>
            <w:r>
              <w:rPr>
                <w:rFonts w:hint="eastAsia" w:ascii="宋体" w:hAnsi="宋体" w:eastAsia="宋体" w:cs="宋体"/>
                <w:sz w:val="24"/>
                <w:szCs w:val="24"/>
                <w:highlight w:val="none"/>
                <w:lang w:val="en-US" w:eastAsia="zh-CN" w:bidi="ar"/>
              </w:rPr>
              <w:t>2022年6月</w:t>
            </w:r>
          </w:p>
        </w:tc>
        <w:tc>
          <w:tcPr>
            <w:tcW w:w="823" w:type="pct"/>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hint="default" w:ascii="宋体" w:hAnsi="宋体" w:eastAsia="宋体" w:cs="宋体"/>
                <w:sz w:val="24"/>
                <w:szCs w:val="24"/>
                <w:highlight w:val="none"/>
                <w:lang w:val="en-US" w:eastAsia="zh-CN" w:bidi="ar"/>
              </w:rPr>
            </w:pPr>
            <w:r>
              <w:rPr>
                <w:rFonts w:hint="eastAsia" w:ascii="宋体" w:hAnsi="宋体" w:eastAsia="宋体" w:cs="宋体"/>
                <w:sz w:val="24"/>
                <w:szCs w:val="24"/>
                <w:highlight w:val="none"/>
                <w:lang w:val="en-US" w:eastAsia="zh-CN" w:bidi="ar"/>
              </w:rPr>
              <w:t>2023年1月</w:t>
            </w:r>
          </w:p>
        </w:tc>
        <w:tc>
          <w:tcPr>
            <w:tcW w:w="2882" w:type="pct"/>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hint="eastAsia" w:ascii="宋体" w:hAnsi="宋体" w:eastAsia="宋体" w:cs="宋体"/>
                <w:sz w:val="24"/>
                <w:szCs w:val="24"/>
                <w:highlight w:val="none"/>
                <w:lang w:val="en-US" w:eastAsia="zh-CN" w:bidi="ar"/>
              </w:rPr>
            </w:pPr>
            <w:r>
              <w:rPr>
                <w:rFonts w:hint="eastAsia" w:ascii="宋体" w:hAnsi="宋体" w:eastAsia="宋体" w:cs="宋体"/>
                <w:sz w:val="24"/>
                <w:szCs w:val="24"/>
                <w:highlight w:val="none"/>
                <w:lang w:val="en-US" w:eastAsia="zh-CN" w:bidi="ar"/>
              </w:rPr>
              <w:t>年产3000t-四溴双酚A、50t-4甲基二苯胺项目</w:t>
            </w:r>
          </w:p>
        </w:tc>
      </w:tr>
    </w:tbl>
    <w:p>
      <w:pPr>
        <w:spacing w:line="520" w:lineRule="exact"/>
        <w:ind w:firstLine="480" w:firstLineChars="200"/>
        <w:jc w:val="both"/>
        <w:rPr>
          <w:rFonts w:hint="eastAsia" w:ascii="宋体" w:hAnsi="宋体" w:eastAsia="宋体" w:cs="宋体"/>
          <w:sz w:val="24"/>
          <w:szCs w:val="24"/>
          <w:lang w:bidi="ar"/>
        </w:rPr>
      </w:pPr>
    </w:p>
    <w:p>
      <w:pPr>
        <w:pStyle w:val="5"/>
        <w:ind w:left="0" w:leftChars="0" w:firstLine="0" w:firstLineChars="0"/>
        <w:outlineLvl w:val="1"/>
        <w:rPr>
          <w:rFonts w:hint="eastAsia" w:ascii="宋体" w:hAnsi="宋体" w:eastAsia="宋体" w:cs="宋体"/>
          <w:b/>
          <w:bCs/>
          <w:color w:val="auto"/>
          <w:kern w:val="2"/>
          <w:sz w:val="28"/>
          <w:szCs w:val="32"/>
          <w:highlight w:val="none"/>
          <w:lang w:val="en-US" w:eastAsia="zh-CN" w:bidi="ar-SA"/>
        </w:rPr>
      </w:pPr>
      <w:bookmarkStart w:id="101" w:name="_Toc10588"/>
      <w:bookmarkStart w:id="102" w:name="_Toc27832"/>
      <w:r>
        <w:rPr>
          <w:rFonts w:hint="eastAsia" w:ascii="宋体" w:hAnsi="宋体" w:eastAsia="宋体" w:cs="宋体"/>
          <w:b/>
          <w:bCs/>
          <w:color w:val="auto"/>
          <w:kern w:val="2"/>
          <w:sz w:val="28"/>
          <w:szCs w:val="32"/>
          <w:highlight w:val="none"/>
          <w:lang w:val="en-US" w:eastAsia="zh-CN" w:bidi="ar-SA"/>
        </w:rPr>
        <w:t>2.3企业用地已有的环境调查与监测信息</w:t>
      </w:r>
      <w:bookmarkEnd w:id="101"/>
      <w:bookmarkEnd w:id="102"/>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color w:val="auto"/>
          <w:kern w:val="0"/>
          <w:sz w:val="28"/>
          <w:szCs w:val="28"/>
          <w:highlight w:val="none"/>
          <w:lang w:bidi="ar"/>
        </w:rPr>
      </w:pPr>
      <w:r>
        <w:rPr>
          <w:rFonts w:hint="eastAsia" w:ascii="宋体" w:hAnsi="宋体" w:eastAsia="宋体" w:cs="宋体"/>
          <w:color w:val="auto"/>
          <w:sz w:val="28"/>
          <w:szCs w:val="28"/>
          <w:highlight w:val="none"/>
        </w:rPr>
        <w:t>根据</w:t>
      </w:r>
      <w:r>
        <w:rPr>
          <w:rFonts w:hint="eastAsia" w:ascii="宋体" w:hAnsi="宋体" w:eastAsia="宋体" w:cs="宋体"/>
          <w:color w:val="auto"/>
          <w:sz w:val="28"/>
          <w:szCs w:val="28"/>
          <w:highlight w:val="none"/>
          <w:lang w:eastAsia="zh-CN"/>
        </w:rPr>
        <w:t>《关于更新2023年土壤、地下水环境重点监管单位名录的公示》</w:t>
      </w:r>
      <w:r>
        <w:rPr>
          <w:rFonts w:hint="eastAsia" w:ascii="宋体" w:hAnsi="宋体" w:eastAsia="宋体" w:cs="宋体"/>
          <w:color w:val="auto"/>
          <w:sz w:val="28"/>
          <w:szCs w:val="28"/>
          <w:highlight w:val="none"/>
        </w:rPr>
        <w:t>文件要求，</w:t>
      </w:r>
      <w:r>
        <w:rPr>
          <w:rFonts w:hint="eastAsia" w:ascii="宋体" w:hAnsi="宋体" w:eastAsia="宋体" w:cs="宋体"/>
          <w:color w:val="auto"/>
          <w:kern w:val="0"/>
          <w:sz w:val="28"/>
          <w:szCs w:val="28"/>
          <w:highlight w:val="none"/>
          <w:lang w:eastAsia="zh-CN" w:bidi="ar"/>
        </w:rPr>
        <w:t>三门峡新鑫源科技有限公司</w:t>
      </w:r>
      <w:r>
        <w:rPr>
          <w:rFonts w:hint="eastAsia" w:ascii="宋体" w:hAnsi="宋体" w:eastAsia="宋体" w:cs="宋体"/>
          <w:color w:val="auto"/>
          <w:kern w:val="0"/>
          <w:sz w:val="28"/>
          <w:szCs w:val="28"/>
          <w:highlight w:val="none"/>
          <w:lang w:bidi="ar"/>
        </w:rPr>
        <w:t>被列入</w:t>
      </w:r>
      <w:r>
        <w:rPr>
          <w:rFonts w:hint="eastAsia" w:ascii="宋体" w:hAnsi="宋体" w:eastAsia="宋体" w:cs="宋体"/>
          <w:color w:val="auto"/>
          <w:kern w:val="0"/>
          <w:sz w:val="28"/>
          <w:szCs w:val="28"/>
          <w:highlight w:val="none"/>
          <w:lang w:val="en-US" w:eastAsia="zh-Hans" w:bidi="ar"/>
        </w:rPr>
        <w:t>三门峡</w:t>
      </w:r>
      <w:r>
        <w:rPr>
          <w:rFonts w:hint="eastAsia" w:ascii="宋体" w:hAnsi="宋体" w:eastAsia="宋体" w:cs="宋体"/>
          <w:color w:val="auto"/>
          <w:kern w:val="0"/>
          <w:sz w:val="28"/>
          <w:szCs w:val="28"/>
          <w:highlight w:val="none"/>
          <w:lang w:bidi="ar"/>
        </w:rPr>
        <w:t>市</w:t>
      </w:r>
      <w:r>
        <w:rPr>
          <w:rFonts w:hint="eastAsia" w:ascii="宋体" w:hAnsi="宋体" w:eastAsia="宋体" w:cs="宋体"/>
          <w:color w:val="auto"/>
          <w:kern w:val="0"/>
          <w:sz w:val="28"/>
          <w:szCs w:val="28"/>
          <w:highlight w:val="none"/>
          <w:lang w:val="en-US" w:eastAsia="zh-CN" w:bidi="ar"/>
        </w:rPr>
        <w:t>2023</w:t>
      </w:r>
      <w:r>
        <w:rPr>
          <w:rFonts w:hint="eastAsia" w:ascii="宋体" w:hAnsi="宋体" w:eastAsia="宋体" w:cs="宋体"/>
          <w:color w:val="auto"/>
          <w:kern w:val="0"/>
          <w:sz w:val="28"/>
          <w:szCs w:val="28"/>
          <w:highlight w:val="none"/>
          <w:lang w:bidi="ar"/>
        </w:rPr>
        <w:t>土壤污染重点监管单位名录。</w:t>
      </w:r>
    </w:p>
    <w:p>
      <w:pPr>
        <w:pStyle w:val="5"/>
        <w:keepNext w:val="0"/>
        <w:keepLines w:val="0"/>
        <w:pageBreakBefore w:val="0"/>
        <w:widowControl w:val="0"/>
        <w:kinsoku/>
        <w:wordWrap/>
        <w:overflowPunct/>
        <w:topLinePunct w:val="0"/>
        <w:autoSpaceDE/>
        <w:autoSpaceDN/>
        <w:bidi w:val="0"/>
        <w:adjustRightInd/>
        <w:snapToGrid/>
        <w:spacing w:after="0" w:line="360" w:lineRule="auto"/>
        <w:ind w:left="0" w:leftChars="0" w:firstLine="560" w:firstLineChars="200"/>
        <w:textAlignment w:val="auto"/>
        <w:rPr>
          <w:rFonts w:hint="eastAsia" w:ascii="宋体" w:hAnsi="宋体" w:eastAsia="宋体" w:cs="宋体"/>
          <w:color w:val="auto"/>
          <w:kern w:val="0"/>
          <w:sz w:val="28"/>
          <w:szCs w:val="28"/>
          <w:highlight w:val="none"/>
          <w:lang w:eastAsia="zh-CN" w:bidi="ar"/>
        </w:rPr>
      </w:pPr>
      <w:r>
        <w:rPr>
          <w:rFonts w:hint="eastAsia" w:ascii="宋体" w:hAnsi="宋体" w:eastAsia="宋体" w:cs="宋体"/>
          <w:color w:val="auto"/>
          <w:kern w:val="0"/>
          <w:sz w:val="28"/>
          <w:szCs w:val="28"/>
          <w:highlight w:val="none"/>
          <w:lang w:val="en-US" w:eastAsia="zh-CN" w:bidi="ar"/>
        </w:rPr>
        <w:t>为完成土壤污染防治工作，</w:t>
      </w:r>
      <w:r>
        <w:rPr>
          <w:rFonts w:hint="eastAsia" w:ascii="宋体" w:hAnsi="宋体" w:eastAsia="宋体" w:cs="宋体"/>
          <w:color w:val="auto"/>
          <w:kern w:val="0"/>
          <w:sz w:val="28"/>
          <w:szCs w:val="28"/>
          <w:highlight w:val="none"/>
          <w:lang w:eastAsia="zh-CN" w:bidi="ar"/>
        </w:rPr>
        <w:t>三门峡新鑫源科技有限公司</w:t>
      </w:r>
      <w:r>
        <w:rPr>
          <w:rFonts w:hint="eastAsia" w:ascii="宋体" w:hAnsi="宋体" w:eastAsia="宋体" w:cs="宋体"/>
          <w:color w:val="auto"/>
          <w:kern w:val="0"/>
          <w:sz w:val="28"/>
          <w:szCs w:val="28"/>
          <w:highlight w:val="none"/>
          <w:lang w:val="en-US" w:eastAsia="zh-CN" w:bidi="ar"/>
        </w:rPr>
        <w:t>委托洛阳市达峰环境检测有限公司提供技术支持，与</w:t>
      </w:r>
      <w:r>
        <w:rPr>
          <w:rFonts w:hint="eastAsia" w:ascii="宋体" w:hAnsi="宋体" w:eastAsia="宋体" w:cs="宋体"/>
          <w:color w:val="auto"/>
          <w:kern w:val="0"/>
          <w:sz w:val="28"/>
          <w:szCs w:val="28"/>
          <w:highlight w:val="none"/>
          <w:lang w:eastAsia="zh-CN" w:bidi="ar"/>
        </w:rPr>
        <w:t>三门峡新鑫源科技有限公司</w:t>
      </w:r>
      <w:r>
        <w:rPr>
          <w:rFonts w:hint="eastAsia" w:ascii="宋体" w:hAnsi="宋体" w:eastAsia="宋体" w:cs="宋体"/>
          <w:color w:val="auto"/>
          <w:kern w:val="0"/>
          <w:sz w:val="28"/>
          <w:szCs w:val="28"/>
          <w:highlight w:val="none"/>
          <w:lang w:val="en-US" w:eastAsia="zh-CN" w:bidi="ar"/>
        </w:rPr>
        <w:t>共同开展企业土壤自行监测工作。经过技术人员到现场对企业现状及周边情况进行了详细调查，收集相关资料，依据《在产企业土壤和地下水自行监测技术指南》及有关标准，结合企业实践，编制了《</w:t>
      </w:r>
      <w:r>
        <w:rPr>
          <w:rFonts w:hint="eastAsia" w:ascii="宋体" w:hAnsi="宋体" w:eastAsia="宋体" w:cs="宋体"/>
          <w:color w:val="auto"/>
          <w:sz w:val="28"/>
          <w:szCs w:val="28"/>
          <w:highlight w:val="none"/>
          <w:lang w:eastAsia="zh-CN"/>
        </w:rPr>
        <w:t>三门峡新鑫源科技有限公司</w:t>
      </w:r>
      <w:r>
        <w:rPr>
          <w:rFonts w:hint="eastAsia" w:ascii="宋体" w:hAnsi="宋体" w:eastAsia="宋体" w:cs="宋体"/>
          <w:color w:val="auto"/>
          <w:sz w:val="28"/>
          <w:szCs w:val="28"/>
          <w:highlight w:val="none"/>
        </w:rPr>
        <w:t>自行监测方案</w:t>
      </w:r>
      <w:r>
        <w:rPr>
          <w:rFonts w:hint="eastAsia" w:ascii="宋体" w:hAnsi="宋体" w:eastAsia="宋体" w:cs="宋体"/>
          <w:color w:val="auto"/>
          <w:kern w:val="0"/>
          <w:sz w:val="28"/>
          <w:szCs w:val="28"/>
          <w:highlight w:val="none"/>
          <w:lang w:val="en-US" w:eastAsia="zh-CN" w:bidi="ar"/>
        </w:rPr>
        <w:t>》及</w:t>
      </w:r>
      <w:r>
        <w:rPr>
          <w:rFonts w:hint="eastAsia" w:ascii="宋体" w:hAnsi="宋体" w:eastAsia="宋体" w:cs="宋体"/>
          <w:color w:val="auto"/>
          <w:kern w:val="0"/>
          <w:sz w:val="28"/>
          <w:szCs w:val="28"/>
          <w:highlight w:val="none"/>
          <w:lang w:eastAsia="zh-CN" w:bidi="ar"/>
        </w:rPr>
        <w:t>《三门峡新鑫源科技有限公司土壤污染隐患排查报告》</w:t>
      </w:r>
      <w:r>
        <w:rPr>
          <w:rFonts w:hint="eastAsia" w:ascii="宋体" w:hAnsi="宋体" w:eastAsia="宋体" w:cs="宋体"/>
          <w:color w:val="auto"/>
          <w:kern w:val="0"/>
          <w:sz w:val="28"/>
          <w:szCs w:val="28"/>
          <w:highlight w:val="none"/>
          <w:lang w:val="en-US" w:eastAsia="zh-Hans" w:bidi="ar"/>
        </w:rPr>
        <w:t>等</w:t>
      </w:r>
      <w:r>
        <w:rPr>
          <w:rFonts w:hint="eastAsia" w:ascii="宋体" w:hAnsi="宋体" w:eastAsia="宋体" w:cs="宋体"/>
          <w:color w:val="auto"/>
          <w:kern w:val="0"/>
          <w:sz w:val="28"/>
          <w:szCs w:val="28"/>
          <w:highlight w:val="none"/>
          <w:lang w:val="en-US" w:eastAsia="zh-CN" w:bidi="ar"/>
        </w:rPr>
        <w:t>。根据监测方案，企业于2023年开展土壤和地下水检测工作，并编制了自行监测报告。</w:t>
      </w:r>
    </w:p>
    <w:p>
      <w:pPr>
        <w:pStyle w:val="7"/>
        <w:bidi w:val="0"/>
        <w:spacing w:line="360" w:lineRule="auto"/>
        <w:ind w:firstLineChars="0"/>
        <w:jc w:val="left"/>
        <w:rPr>
          <w:rFonts w:hint="eastAsia" w:ascii="宋体" w:hAnsi="宋体" w:eastAsia="宋体" w:cs="宋体"/>
          <w:sz w:val="28"/>
          <w:lang w:val="en-US" w:eastAsia="zh-CN"/>
        </w:rPr>
      </w:pPr>
      <w:bookmarkStart w:id="103" w:name="_Toc17875"/>
      <w:r>
        <w:rPr>
          <w:rFonts w:hint="eastAsia" w:ascii="宋体" w:hAnsi="宋体" w:eastAsia="宋体" w:cs="宋体"/>
          <w:sz w:val="28"/>
          <w:lang w:val="en-US" w:eastAsia="zh-CN"/>
        </w:rPr>
        <w:t>3地勘资料</w:t>
      </w:r>
      <w:bookmarkEnd w:id="103"/>
    </w:p>
    <w:p>
      <w:pPr>
        <w:pStyle w:val="8"/>
        <w:numPr>
          <w:ilvl w:val="1"/>
          <w:numId w:val="0"/>
        </w:numPr>
        <w:bidi w:val="0"/>
        <w:spacing w:before="0" w:after="0" w:line="360" w:lineRule="auto"/>
        <w:ind w:firstLine="562" w:firstLineChars="200"/>
        <w:jc w:val="left"/>
        <w:rPr>
          <w:rFonts w:hint="eastAsia" w:ascii="宋体" w:hAnsi="宋体" w:eastAsia="宋体" w:cs="宋体"/>
          <w:sz w:val="28"/>
          <w:szCs w:val="28"/>
          <w:lang w:val="en-US" w:eastAsia="zh-CN"/>
        </w:rPr>
      </w:pPr>
      <w:bookmarkStart w:id="104" w:name="_Toc107924565"/>
      <w:bookmarkStart w:id="105" w:name="_Toc27868"/>
      <w:bookmarkStart w:id="106" w:name="_Toc12761"/>
      <w:r>
        <w:rPr>
          <w:rFonts w:hint="eastAsia" w:ascii="宋体" w:hAnsi="宋体" w:eastAsia="宋体" w:cs="宋体"/>
          <w:sz w:val="28"/>
          <w:szCs w:val="28"/>
          <w:lang w:val="en-US" w:eastAsia="zh-CN"/>
        </w:rPr>
        <w:t>3.1地质信息</w:t>
      </w:r>
      <w:bookmarkEnd w:id="104"/>
      <w:bookmarkEnd w:id="105"/>
      <w:bookmarkEnd w:id="106"/>
    </w:p>
    <w:p>
      <w:pPr>
        <w:keepNext/>
        <w:keepLines/>
        <w:widowControl w:val="0"/>
        <w:spacing w:line="360" w:lineRule="auto"/>
        <w:ind w:firstLine="562" w:firstLineChars="200"/>
        <w:jc w:val="both"/>
        <w:outlineLvl w:val="2"/>
        <w:rPr>
          <w:rFonts w:hint="eastAsia" w:ascii="宋体" w:hAnsi="宋体" w:eastAsia="宋体" w:cs="宋体"/>
          <w:b/>
          <w:bCs/>
          <w:kern w:val="2"/>
          <w:sz w:val="28"/>
          <w:szCs w:val="28"/>
          <w:lang w:val="en-US" w:eastAsia="zh-CN" w:bidi="ar-SA"/>
        </w:rPr>
      </w:pPr>
      <w:bookmarkStart w:id="107" w:name="_Toc7792"/>
      <w:bookmarkStart w:id="108" w:name="_Toc30130"/>
      <w:bookmarkStart w:id="109" w:name="_Toc20169"/>
      <w:bookmarkStart w:id="110" w:name="_Toc107924566"/>
      <w:bookmarkStart w:id="111" w:name="_Toc9481"/>
      <w:r>
        <w:rPr>
          <w:rFonts w:hint="eastAsia" w:ascii="宋体" w:hAnsi="宋体" w:eastAsia="宋体" w:cs="宋体"/>
          <w:b/>
          <w:bCs/>
          <w:kern w:val="2"/>
          <w:sz w:val="28"/>
          <w:szCs w:val="28"/>
          <w:lang w:val="en-US" w:eastAsia="zh-CN" w:bidi="ar-SA"/>
        </w:rPr>
        <w:t>3.1.1场地地质及地形地貌</w:t>
      </w:r>
      <w:bookmarkEnd w:id="107"/>
      <w:bookmarkEnd w:id="108"/>
      <w:bookmarkEnd w:id="109"/>
      <w:bookmarkEnd w:id="110"/>
      <w:bookmarkEnd w:id="111"/>
    </w:p>
    <w:p>
      <w:pPr>
        <w:spacing w:line="360" w:lineRule="auto"/>
        <w:ind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三门峡市处于秦岭山脉东延与伏牛山、熊耳山、崤山交汇地带，地势西南高，东北低。从陕西省入境的秦岭身东延伸止于黄河谷地，海拔高度由2000米以上递降为低于200米。地貌特征复杂，有山地、丘陵、河谷、平原等多种类型，其中以山地、丘陵和川塬地貌为主。</w:t>
      </w:r>
    </w:p>
    <w:p>
      <w:pPr>
        <w:spacing w:line="360" w:lineRule="auto"/>
        <w:ind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三门峡市地质构造复杂，活动剧烈，对本市地形、矿藏、地质产生了重要影响，成为有色金属矿藏资源和沉积变质矿产资源极大蕴藏量的富积地。在地质构造上，位于华北地台西南隅和昆仑——秦岭地槽东延部分的接合部位。在构造体系上，属于昆仑——秦岭纬向构造带和新华夏系的华北沉降带、太行山隆起带的交接复合、联合部位的一部分。基地构造以紧密褶皱为主，岩层遭受区域变质作用和混合岩化作用。区内断裂发育，规模较大，纵横交错，尤以中新生代的断裂活动最强。</w:t>
      </w:r>
    </w:p>
    <w:p>
      <w:pPr>
        <w:spacing w:line="360" w:lineRule="auto"/>
        <w:ind w:firstLine="560" w:firstLineChars="200"/>
        <w:rPr>
          <w:rFonts w:hint="eastAsia" w:ascii="宋体" w:hAnsi="宋体" w:eastAsia="宋体" w:cs="宋体"/>
          <w:color w:val="auto"/>
          <w:sz w:val="28"/>
          <w:szCs w:val="28"/>
          <w:highlight w:val="none"/>
          <w:lang w:val="en-US" w:eastAsia="zh-CN"/>
        </w:rPr>
      </w:pPr>
      <w:r>
        <w:rPr>
          <w:rFonts w:hint="eastAsia" w:ascii="宋体" w:hAnsi="宋体" w:eastAsia="宋体" w:cs="宋体"/>
          <w:color w:val="auto"/>
          <w:sz w:val="28"/>
          <w:szCs w:val="28"/>
          <w:highlight w:val="none"/>
          <w:lang w:val="en-US" w:eastAsia="zh-CN"/>
        </w:rPr>
        <w:t>项目所在地三门峡陕州区先进制造业开发区地貌单元为低山丘陵地区，场地内未发现有影响场地地基稳定性的不良地质作用。</w:t>
      </w:r>
    </w:p>
    <w:p>
      <w:pPr>
        <w:spacing w:line="360" w:lineRule="auto"/>
        <w:ind w:firstLine="560" w:firstLineChars="200"/>
        <w:rPr>
          <w:rFonts w:hint="eastAsia" w:ascii="宋体" w:hAnsi="宋体" w:eastAsia="宋体" w:cs="宋体"/>
          <w:color w:val="auto"/>
          <w:sz w:val="28"/>
          <w:szCs w:val="28"/>
          <w:highlight w:val="none"/>
          <w:lang w:val="en-US" w:eastAsia="zh-CN"/>
        </w:rPr>
      </w:pPr>
      <w:r>
        <w:rPr>
          <w:rFonts w:hint="eastAsia" w:ascii="宋体" w:hAnsi="宋体" w:eastAsia="宋体" w:cs="宋体"/>
          <w:color w:val="auto"/>
          <w:sz w:val="28"/>
          <w:szCs w:val="28"/>
          <w:highlight w:val="none"/>
          <w:lang w:val="en-US" w:eastAsia="zh-CN"/>
        </w:rPr>
        <w:t>根据河南省地质志，工程区域在地质构造单元上位于华北地台华熊台缘坳陷，工程区域附近未发现断裂构造，场地是稳定的。</w:t>
      </w:r>
    </w:p>
    <w:p>
      <w:pPr>
        <w:spacing w:line="360" w:lineRule="auto"/>
        <w:ind w:firstLine="562" w:firstLineChars="200"/>
        <w:outlineLvl w:val="2"/>
        <w:rPr>
          <w:rFonts w:hint="eastAsia" w:ascii="宋体" w:hAnsi="宋体" w:eastAsia="宋体" w:cs="宋体"/>
          <w:b/>
          <w:bCs/>
          <w:kern w:val="2"/>
          <w:sz w:val="28"/>
          <w:szCs w:val="36"/>
          <w:lang w:val="en-US" w:eastAsia="zh-CN" w:bidi="ar-SA"/>
        </w:rPr>
      </w:pPr>
      <w:bookmarkStart w:id="112" w:name="_Toc107924567"/>
      <w:bookmarkStart w:id="113" w:name="_Toc23136"/>
      <w:r>
        <w:rPr>
          <w:rFonts w:hint="eastAsia" w:ascii="宋体" w:hAnsi="宋体" w:eastAsia="宋体" w:cs="宋体"/>
          <w:b/>
          <w:bCs/>
          <w:kern w:val="2"/>
          <w:sz w:val="28"/>
          <w:szCs w:val="36"/>
          <w:lang w:val="en-US" w:eastAsia="zh-CN" w:bidi="ar-SA"/>
        </w:rPr>
        <w:t>3.1.2厂区地层及岩土特性</w:t>
      </w:r>
      <w:bookmarkEnd w:id="112"/>
      <w:bookmarkEnd w:id="113"/>
    </w:p>
    <w:p>
      <w:pPr>
        <w:spacing w:line="360" w:lineRule="auto"/>
        <w:ind w:firstLine="560" w:firstLineChars="200"/>
        <w:rPr>
          <w:rFonts w:hint="eastAsia" w:ascii="宋体" w:hAnsi="宋体" w:eastAsia="宋体" w:cs="宋体"/>
          <w:color w:val="auto"/>
          <w:sz w:val="28"/>
          <w:szCs w:val="28"/>
          <w:highlight w:val="none"/>
          <w:lang w:val="en-US" w:eastAsia="zh-CN"/>
        </w:rPr>
      </w:pPr>
      <w:r>
        <w:rPr>
          <w:rFonts w:hint="eastAsia" w:ascii="宋体" w:hAnsi="宋体" w:eastAsia="宋体" w:cs="宋体"/>
          <w:color w:val="auto"/>
          <w:sz w:val="28"/>
          <w:szCs w:val="28"/>
          <w:highlight w:val="none"/>
          <w:lang w:val="en-US" w:eastAsia="zh-CN"/>
        </w:rPr>
        <w:t>在勘探深度范围内，场地地基土层除表层分布有杂填土外，上部主要为第四系晚更新统坡、洪积作用形成的黄土状粉质粘土，其下为第三系泥岩，自上而下共分6层。</w:t>
      </w:r>
    </w:p>
    <w:p>
      <w:pPr>
        <w:spacing w:line="360" w:lineRule="auto"/>
        <w:ind w:firstLine="560" w:firstLineChars="200"/>
        <w:rPr>
          <w:rFonts w:hint="eastAsia" w:ascii="宋体" w:hAnsi="宋体" w:eastAsia="宋体" w:cs="宋体"/>
          <w:color w:val="auto"/>
          <w:sz w:val="28"/>
          <w:szCs w:val="28"/>
          <w:highlight w:val="none"/>
          <w:lang w:val="en-US" w:eastAsia="zh-CN"/>
        </w:rPr>
      </w:pPr>
      <w:r>
        <w:rPr>
          <w:rFonts w:hint="eastAsia" w:ascii="宋体" w:hAnsi="宋体" w:eastAsia="宋体" w:cs="宋体"/>
          <w:color w:val="auto"/>
          <w:sz w:val="28"/>
          <w:szCs w:val="28"/>
          <w:highlight w:val="none"/>
          <w:lang w:val="en-US" w:eastAsia="zh-CN"/>
        </w:rPr>
        <w:t>(1)填土：以素填土为主，颜色以红褐色为主。厚为0.80-5.80米，层底高程为640.60-647.20米，位于场地西部及南部靠近谷地南岸勘探点该层厚度较小，位于场地中部以北的勘探点该层厚度较大。物质成分以粉质粘土为主，含有少量植物根系；在场地北部及东部部分勘探点内含有少量炉渣、砖块等建筑垃圾。该层堆积年代较短，密实度不均一，物理力学性质较差，稍密状态。</w:t>
      </w:r>
    </w:p>
    <w:p>
      <w:pPr>
        <w:spacing w:line="360" w:lineRule="auto"/>
        <w:ind w:firstLine="560" w:firstLineChars="200"/>
        <w:rPr>
          <w:rFonts w:hint="eastAsia" w:ascii="宋体" w:hAnsi="宋体" w:eastAsia="宋体" w:cs="宋体"/>
          <w:color w:val="auto"/>
          <w:sz w:val="28"/>
          <w:szCs w:val="28"/>
          <w:highlight w:val="none"/>
          <w:lang w:val="en-US" w:eastAsia="zh-CN"/>
        </w:rPr>
      </w:pPr>
      <w:r>
        <w:rPr>
          <w:rFonts w:hint="eastAsia" w:ascii="宋体" w:hAnsi="宋体" w:eastAsia="宋体" w:cs="宋体"/>
          <w:color w:val="auto"/>
          <w:sz w:val="28"/>
          <w:szCs w:val="28"/>
          <w:highlight w:val="none"/>
          <w:lang w:val="en-US" w:eastAsia="zh-CN"/>
        </w:rPr>
        <w:t>(2)粉质粘土层(Q):红褐色至灰褐色。本次勘察未揭穿，已揭露最大厚度为厚度为7.70米。该层在场地西部及北部勘探点内厚度较大，在场地南部缺失。大孔不发育，土质较均匀。土体中含有大量黑色斑点，含大量姜石，局部成层。该层硬塑状态；天然含水率w=19.9-25.8%,平均值为24.3%,稍湿至湿，该层底部含水率较大；天然孔隙比e=0.826-0.951,平均值为0.879,中密至密实；压缩系数a₁.0-2o=0.094-0.383MPa',平均值为0.190MPa-1中低压缩性；湿陷系数δ=0.0002-0.009,无湿陷性。稍有光泽，摇震反应中等，韧性中等，干强度中等。</w:t>
      </w:r>
    </w:p>
    <w:p>
      <w:pPr>
        <w:spacing w:line="360" w:lineRule="auto"/>
        <w:ind w:firstLine="560" w:firstLineChars="200"/>
        <w:rPr>
          <w:rFonts w:hint="eastAsia" w:ascii="宋体" w:hAnsi="宋体" w:eastAsia="宋体" w:cs="宋体"/>
          <w:color w:val="auto"/>
          <w:sz w:val="28"/>
          <w:szCs w:val="28"/>
          <w:highlight w:val="none"/>
          <w:lang w:val="en-US" w:eastAsia="zh-CN"/>
        </w:rPr>
      </w:pPr>
      <w:r>
        <w:rPr>
          <w:rFonts w:hint="eastAsia" w:ascii="宋体" w:hAnsi="宋体" w:eastAsia="宋体" w:cs="宋体"/>
          <w:color w:val="auto"/>
          <w:sz w:val="28"/>
          <w:szCs w:val="28"/>
          <w:highlight w:val="none"/>
          <w:lang w:val="en-US" w:eastAsia="zh-CN"/>
        </w:rPr>
        <w:t>(3)强风化砂岩：灰褐色为主。本次勘察未揭穿，已揭露最大厚度为4.6米。该层风化较严重，以强风化为主，结构大部分已破坏，风化裂隙发育，锹镐可挖掘。锤击声哑，无回弹，较易击碎；岩芯呈碎块状，采取率低。强风化层厚度不一致。</w:t>
      </w: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1"/>
        <w:rPr>
          <w:rFonts w:hint="eastAsia" w:ascii="宋体" w:hAnsi="宋体" w:eastAsia="宋体" w:cs="宋体"/>
          <w:b/>
          <w:bCs/>
          <w:kern w:val="2"/>
          <w:sz w:val="28"/>
          <w:szCs w:val="32"/>
          <w:highlight w:val="none"/>
          <w:lang w:val="en-US" w:eastAsia="zh-CN" w:bidi="ar-SA"/>
        </w:rPr>
      </w:pPr>
      <w:bookmarkStart w:id="114" w:name="_Toc107924568"/>
      <w:bookmarkStart w:id="115" w:name="_Toc7276"/>
      <w:bookmarkStart w:id="116" w:name="_Toc27574"/>
      <w:r>
        <w:rPr>
          <w:rFonts w:hint="eastAsia" w:ascii="宋体" w:hAnsi="宋体" w:eastAsia="宋体" w:cs="宋体"/>
          <w:b/>
          <w:bCs/>
          <w:kern w:val="2"/>
          <w:sz w:val="28"/>
          <w:szCs w:val="32"/>
          <w:highlight w:val="none"/>
          <w:lang w:val="en-US" w:eastAsia="zh-CN" w:bidi="ar-SA"/>
        </w:rPr>
        <w:t>3.2水文地质信息</w:t>
      </w:r>
      <w:bookmarkEnd w:id="114"/>
      <w:bookmarkEnd w:id="115"/>
      <w:bookmarkEnd w:id="116"/>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outlineLvl w:val="9"/>
        <w:rPr>
          <w:rFonts w:hint="default" w:ascii="宋体" w:hAnsi="宋体" w:eastAsia="宋体" w:cs="宋体"/>
          <w:color w:val="auto"/>
          <w:kern w:val="2"/>
          <w:sz w:val="28"/>
          <w:szCs w:val="28"/>
          <w:highlight w:val="none"/>
          <w:lang w:val="en-US" w:eastAsia="zh-CN" w:bidi="ar-SA"/>
        </w:rPr>
      </w:pPr>
      <w:r>
        <w:rPr>
          <w:rFonts w:hint="eastAsia" w:ascii="宋体" w:hAnsi="宋体" w:cs="宋体"/>
          <w:color w:val="auto"/>
          <w:spacing w:val="0"/>
          <w:sz w:val="28"/>
          <w:szCs w:val="28"/>
          <w:highlight w:val="none"/>
          <w:u w:val="none"/>
          <w:lang w:val="en-US" w:eastAsia="zh-CN"/>
        </w:rPr>
        <w:t>勘察期间，在勘探深度范围内（最大勘探深度15.0m）未见地下水，据了解，场地地下水位埋深大于20m，设计与施工时可不考虑地下水的影响。</w:t>
      </w:r>
    </w:p>
    <w:p>
      <w:pPr>
        <w:rPr>
          <w:rFonts w:hint="eastAsia" w:ascii="宋体" w:hAnsi="宋体" w:eastAsia="宋体" w:cs="宋体"/>
          <w:lang w:val="en-US" w:eastAsia="zh-CN"/>
        </w:rPr>
      </w:pPr>
      <w:bookmarkStart w:id="117" w:name="_Toc107924569"/>
      <w:bookmarkStart w:id="118" w:name="_Toc13693"/>
      <w:bookmarkStart w:id="119" w:name="_Toc15808"/>
      <w:r>
        <w:rPr>
          <w:rFonts w:hint="eastAsia" w:ascii="宋体" w:hAnsi="宋体" w:eastAsia="宋体" w:cs="宋体"/>
          <w:lang w:val="en-US" w:eastAsia="zh-CN"/>
        </w:rPr>
        <w:br w:type="page"/>
      </w:r>
    </w:p>
    <w:p>
      <w:pPr>
        <w:pStyle w:val="7"/>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lang w:val="en-US" w:eastAsia="zh-CN"/>
        </w:rPr>
      </w:pPr>
      <w:r>
        <w:rPr>
          <w:rFonts w:hint="eastAsia" w:ascii="宋体" w:hAnsi="宋体" w:eastAsia="宋体" w:cs="宋体"/>
          <w:lang w:val="en-US" w:eastAsia="zh-CN"/>
        </w:rPr>
        <w:t>4企业生产及污染防治情况</w:t>
      </w:r>
      <w:bookmarkEnd w:id="117"/>
      <w:bookmarkEnd w:id="118"/>
      <w:bookmarkEnd w:id="119"/>
    </w:p>
    <w:p>
      <w:pPr>
        <w:pStyle w:val="8"/>
        <w:pageBreakBefore w:val="0"/>
        <w:widowControl w:val="0"/>
        <w:kinsoku/>
        <w:wordWrap/>
        <w:overflowPunct/>
        <w:topLinePunct w:val="0"/>
        <w:autoSpaceDE/>
        <w:autoSpaceDN/>
        <w:bidi w:val="0"/>
        <w:adjustRightInd/>
        <w:snapToGrid/>
        <w:spacing w:before="0" w:after="0" w:line="360" w:lineRule="auto"/>
        <w:textAlignment w:val="auto"/>
        <w:rPr>
          <w:rFonts w:hint="eastAsia" w:ascii="宋体" w:hAnsi="宋体" w:eastAsia="宋体" w:cs="宋体"/>
          <w:b/>
          <w:bCs/>
          <w:kern w:val="2"/>
          <w:sz w:val="28"/>
          <w:szCs w:val="32"/>
          <w:lang w:val="en-US" w:eastAsia="zh-CN" w:bidi="ar-SA"/>
        </w:rPr>
      </w:pPr>
      <w:bookmarkStart w:id="120" w:name="_Toc4011"/>
      <w:bookmarkStart w:id="121" w:name="_Toc107924570"/>
      <w:bookmarkStart w:id="122" w:name="_Toc7280"/>
      <w:r>
        <w:rPr>
          <w:rFonts w:hint="eastAsia" w:ascii="宋体" w:hAnsi="宋体" w:eastAsia="宋体" w:cs="宋体"/>
          <w:b/>
          <w:bCs/>
          <w:kern w:val="2"/>
          <w:sz w:val="28"/>
          <w:szCs w:val="32"/>
          <w:lang w:val="en-US" w:eastAsia="zh-CN" w:bidi="ar-SA"/>
        </w:rPr>
        <w:t>4.1企业生产概况</w:t>
      </w:r>
      <w:bookmarkEnd w:id="120"/>
      <w:bookmarkEnd w:id="121"/>
      <w:bookmarkEnd w:id="122"/>
    </w:p>
    <w:p>
      <w:pPr>
        <w:keepNext w:val="0"/>
        <w:keepLines w:val="0"/>
        <w:pageBreakBefore w:val="0"/>
        <w:widowControl/>
        <w:kinsoku/>
        <w:wordWrap/>
        <w:overflowPunct/>
        <w:topLinePunct w:val="0"/>
        <w:autoSpaceDE/>
        <w:autoSpaceDN/>
        <w:bidi w:val="0"/>
        <w:adjustRightInd/>
        <w:snapToGrid/>
        <w:spacing w:after="0" w:line="360" w:lineRule="auto"/>
        <w:ind w:left="0" w:leftChars="0" w:right="0" w:rightChars="0" w:firstLine="560" w:firstLineChars="200"/>
        <w:jc w:val="left"/>
        <w:textAlignment w:val="baseline"/>
        <w:outlineLvl w:val="9"/>
        <w:rPr>
          <w:rFonts w:hint="eastAsia" w:ascii="宋体" w:hAnsi="宋体" w:eastAsia="宋体" w:cs="宋体"/>
          <w:color w:val="auto"/>
          <w:spacing w:val="0"/>
          <w:sz w:val="28"/>
          <w:szCs w:val="28"/>
          <w:highlight w:val="none"/>
          <w:u w:val="none"/>
          <w:lang w:val="en-US" w:eastAsia="zh-CN"/>
        </w:rPr>
      </w:pPr>
      <w:r>
        <w:rPr>
          <w:rFonts w:hint="eastAsia" w:ascii="宋体" w:hAnsi="宋体" w:eastAsia="宋体" w:cs="宋体"/>
          <w:color w:val="auto"/>
          <w:spacing w:val="0"/>
          <w:sz w:val="28"/>
          <w:szCs w:val="28"/>
          <w:highlight w:val="none"/>
          <w:u w:val="none"/>
          <w:lang w:eastAsia="zh-CN"/>
        </w:rPr>
        <w:t>三门峡新鑫源科技有限公司创建于2016年7月，公司位于三门峡陕州区先进制造业开发区（原陕州区产业聚集区）内，主要生产精细化工产品。公司厂区共分三个项目并配套2台燃气锅炉。</w:t>
      </w:r>
    </w:p>
    <w:p>
      <w:pPr>
        <w:widowControl/>
        <w:tabs>
          <w:tab w:val="left" w:pos="2278"/>
        </w:tabs>
        <w:spacing w:line="540" w:lineRule="exact"/>
        <w:ind w:firstLine="560" w:firstLineChars="200"/>
        <w:outlineLvl w:val="3"/>
        <w:rPr>
          <w:rFonts w:hint="eastAsia" w:ascii="宋体" w:hAnsi="宋体" w:eastAsia="宋体" w:cs="宋体"/>
          <w:color w:val="auto"/>
          <w:sz w:val="28"/>
          <w:highlight w:val="none"/>
          <w:lang w:val="en-US" w:eastAsia="zh-CN"/>
        </w:rPr>
      </w:pPr>
      <w:r>
        <w:rPr>
          <w:rFonts w:hint="eastAsia" w:ascii="宋体" w:hAnsi="宋体" w:eastAsia="宋体" w:cs="宋体"/>
          <w:color w:val="auto"/>
          <w:sz w:val="28"/>
          <w:highlight w:val="none"/>
          <w:lang w:val="en-US" w:eastAsia="zh-CN"/>
        </w:rPr>
        <w:t>（1）主要生产设备</w:t>
      </w:r>
    </w:p>
    <w:p>
      <w:pPr>
        <w:ind w:firstLine="482" w:firstLineChars="200"/>
        <w:jc w:val="center"/>
        <w:rPr>
          <w:rFonts w:hint="eastAsia" w:ascii="宋体" w:hAnsi="宋体" w:eastAsia="宋体" w:cs="宋体"/>
          <w:b/>
          <w:bCs w:val="0"/>
          <w:sz w:val="24"/>
          <w:szCs w:val="22"/>
        </w:rPr>
      </w:pPr>
      <w:r>
        <w:rPr>
          <w:rFonts w:hint="eastAsia" w:ascii="宋体" w:hAnsi="宋体" w:eastAsia="宋体" w:cs="宋体"/>
          <w:b/>
          <w:bCs w:val="0"/>
          <w:sz w:val="24"/>
          <w:szCs w:val="22"/>
        </w:rPr>
        <w:t>表4</w:t>
      </w:r>
      <w:r>
        <w:rPr>
          <w:rFonts w:hint="eastAsia" w:ascii="宋体" w:hAnsi="宋体" w:eastAsia="宋体" w:cs="宋体"/>
          <w:b/>
          <w:bCs w:val="0"/>
          <w:sz w:val="24"/>
          <w:szCs w:val="22"/>
          <w:lang w:val="en-US" w:eastAsia="zh-CN"/>
        </w:rPr>
        <w:t>-1</w:t>
      </w:r>
      <w:r>
        <w:rPr>
          <w:rFonts w:hint="eastAsia" w:ascii="宋体" w:hAnsi="宋体" w:eastAsia="宋体" w:cs="宋体"/>
          <w:b/>
          <w:bCs w:val="0"/>
          <w:color w:val="auto"/>
          <w:kern w:val="0"/>
          <w:sz w:val="28"/>
          <w:szCs w:val="28"/>
          <w:highlight w:val="none"/>
          <w:u w:val="none"/>
          <w:lang w:bidi="ar"/>
        </w:rPr>
        <w:t>企业主要设备及重点设施</w:t>
      </w:r>
      <w:r>
        <w:rPr>
          <w:rFonts w:hint="eastAsia" w:ascii="宋体" w:hAnsi="宋体" w:eastAsia="宋体" w:cs="宋体"/>
          <w:b/>
          <w:bCs w:val="0"/>
          <w:color w:val="auto"/>
          <w:kern w:val="0"/>
          <w:sz w:val="28"/>
          <w:szCs w:val="28"/>
          <w:highlight w:val="none"/>
          <w:u w:val="none"/>
        </w:rPr>
        <w:t>一览表</w:t>
      </w:r>
    </w:p>
    <w:tbl>
      <w:tblPr>
        <w:tblStyle w:val="21"/>
        <w:tblW w:w="8331"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261"/>
        <w:gridCol w:w="2029"/>
        <w:gridCol w:w="2346"/>
        <w:gridCol w:w="1136"/>
        <w:gridCol w:w="1559"/>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59" w:hRule="atLeast"/>
          <w:jc w:val="center"/>
        </w:trPr>
        <w:tc>
          <w:tcPr>
            <w:tcW w:w="1261"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生产线名称</w:t>
            </w:r>
          </w:p>
        </w:tc>
        <w:tc>
          <w:tcPr>
            <w:tcW w:w="202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设备</w:t>
            </w:r>
          </w:p>
        </w:tc>
        <w:tc>
          <w:tcPr>
            <w:tcW w:w="234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型号/规格</w:t>
            </w:r>
          </w:p>
        </w:tc>
        <w:tc>
          <w:tcPr>
            <w:tcW w:w="113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数量（台、套）</w:t>
            </w:r>
          </w:p>
        </w:tc>
        <w:tc>
          <w:tcPr>
            <w:tcW w:w="155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备注</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59" w:hRule="atLeast"/>
          <w:jc w:val="center"/>
        </w:trPr>
        <w:tc>
          <w:tcPr>
            <w:tcW w:w="1261" w:type="dxa"/>
            <w:vMerge w:val="restart"/>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b/>
                <w:caps w:val="0"/>
                <w:smallCaps w:val="0"/>
                <w:color w:val="auto"/>
                <w:spacing w:val="0"/>
                <w:sz w:val="21"/>
                <w:szCs w:val="21"/>
                <w:highlight w:val="none"/>
                <w:u w:val="none" w:color="auto"/>
              </w:rPr>
            </w:pPr>
          </w:p>
          <w:p>
            <w:pPr>
              <w:pStyle w:val="32"/>
              <w:pageBreakBefore w:val="0"/>
              <w:kinsoku/>
              <w:wordWrap/>
              <w:bidi w:val="0"/>
              <w:spacing w:line="360" w:lineRule="exact"/>
              <w:ind w:left="0" w:leftChars="0" w:right="0" w:firstLine="0" w:firstLineChars="0"/>
              <w:jc w:val="center"/>
              <w:rPr>
                <w:rFonts w:hint="eastAsia" w:ascii="宋体" w:hAnsi="宋体" w:eastAsia="宋体" w:cs="宋体"/>
                <w:b/>
                <w:caps w:val="0"/>
                <w:smallCaps w:val="0"/>
                <w:color w:val="auto"/>
                <w:spacing w:val="0"/>
                <w:sz w:val="21"/>
                <w:szCs w:val="21"/>
                <w:highlight w:val="none"/>
                <w:u w:val="none" w:color="auto"/>
              </w:rPr>
            </w:pPr>
          </w:p>
          <w:p>
            <w:pPr>
              <w:pStyle w:val="32"/>
              <w:pageBreakBefore w:val="0"/>
              <w:kinsoku/>
              <w:wordWrap/>
              <w:bidi w:val="0"/>
              <w:spacing w:line="360" w:lineRule="exact"/>
              <w:ind w:left="0" w:leftChars="0" w:right="0" w:firstLine="0" w:firstLineChars="0"/>
              <w:jc w:val="center"/>
              <w:rPr>
                <w:rFonts w:hint="eastAsia" w:ascii="宋体" w:hAnsi="宋体" w:eastAsia="宋体" w:cs="宋体"/>
                <w:b/>
                <w:caps w:val="0"/>
                <w:smallCaps w:val="0"/>
                <w:color w:val="auto"/>
                <w:spacing w:val="0"/>
                <w:sz w:val="21"/>
                <w:szCs w:val="21"/>
                <w:highlight w:val="none"/>
                <w:u w:val="none" w:color="auto"/>
              </w:rPr>
            </w:pPr>
          </w:p>
          <w:p>
            <w:pPr>
              <w:pStyle w:val="32"/>
              <w:pageBreakBefore w:val="0"/>
              <w:kinsoku/>
              <w:wordWrap/>
              <w:bidi w:val="0"/>
              <w:spacing w:line="360" w:lineRule="exact"/>
              <w:ind w:left="0" w:leftChars="0" w:right="0" w:firstLine="0" w:firstLineChars="0"/>
              <w:jc w:val="center"/>
              <w:rPr>
                <w:rFonts w:hint="eastAsia" w:ascii="宋体" w:hAnsi="宋体" w:eastAsia="宋体" w:cs="宋体"/>
                <w:b/>
                <w:caps w:val="0"/>
                <w:smallCaps w:val="0"/>
                <w:color w:val="auto"/>
                <w:spacing w:val="0"/>
                <w:sz w:val="21"/>
                <w:szCs w:val="21"/>
                <w:highlight w:val="none"/>
                <w:u w:val="none" w:color="auto"/>
              </w:rPr>
            </w:pPr>
          </w:p>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1-4酸钠盐</w:t>
            </w:r>
          </w:p>
        </w:tc>
        <w:tc>
          <w:tcPr>
            <w:tcW w:w="202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磺化反应器</w:t>
            </w:r>
          </w:p>
        </w:tc>
        <w:tc>
          <w:tcPr>
            <w:tcW w:w="234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w:t>
            </w:r>
          </w:p>
        </w:tc>
        <w:tc>
          <w:tcPr>
            <w:tcW w:w="113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4</w:t>
            </w:r>
          </w:p>
        </w:tc>
        <w:tc>
          <w:tcPr>
            <w:tcW w:w="155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碳钢</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59" w:hRule="atLeast"/>
          <w:jc w:val="center"/>
        </w:trPr>
        <w:tc>
          <w:tcPr>
            <w:tcW w:w="1261" w:type="dxa"/>
            <w:vMerge w:val="continue"/>
            <w:tcBorders>
              <w:tl2br w:val="nil"/>
              <w:tr2bl w:val="nil"/>
            </w:tcBorders>
            <w:vAlign w:val="center"/>
          </w:tcPr>
          <w:p>
            <w:pPr>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p>
        </w:tc>
        <w:tc>
          <w:tcPr>
            <w:tcW w:w="202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中和池</w:t>
            </w:r>
          </w:p>
        </w:tc>
        <w:tc>
          <w:tcPr>
            <w:tcW w:w="234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2m×2m</w:t>
            </w:r>
          </w:p>
        </w:tc>
        <w:tc>
          <w:tcPr>
            <w:tcW w:w="113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2</w:t>
            </w:r>
          </w:p>
        </w:tc>
        <w:tc>
          <w:tcPr>
            <w:tcW w:w="155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混凝</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0" w:hRule="atLeast"/>
          <w:jc w:val="center"/>
        </w:trPr>
        <w:tc>
          <w:tcPr>
            <w:tcW w:w="1261" w:type="dxa"/>
            <w:vMerge w:val="continue"/>
            <w:tcBorders>
              <w:tl2br w:val="nil"/>
              <w:tr2bl w:val="nil"/>
            </w:tcBorders>
            <w:vAlign w:val="center"/>
          </w:tcPr>
          <w:p>
            <w:pPr>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p>
        </w:tc>
        <w:tc>
          <w:tcPr>
            <w:tcW w:w="202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萃取釜</w:t>
            </w:r>
          </w:p>
        </w:tc>
        <w:tc>
          <w:tcPr>
            <w:tcW w:w="234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1.6m×2.5m</w:t>
            </w:r>
          </w:p>
        </w:tc>
        <w:tc>
          <w:tcPr>
            <w:tcW w:w="113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11</w:t>
            </w:r>
          </w:p>
        </w:tc>
        <w:tc>
          <w:tcPr>
            <w:tcW w:w="155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碳钢</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1" w:hRule="atLeast"/>
          <w:jc w:val="center"/>
        </w:trPr>
        <w:tc>
          <w:tcPr>
            <w:tcW w:w="1261" w:type="dxa"/>
            <w:vMerge w:val="continue"/>
            <w:tcBorders>
              <w:tl2br w:val="nil"/>
              <w:tr2bl w:val="nil"/>
            </w:tcBorders>
            <w:vAlign w:val="center"/>
          </w:tcPr>
          <w:p>
            <w:pPr>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p>
        </w:tc>
        <w:tc>
          <w:tcPr>
            <w:tcW w:w="202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浓缩设备</w:t>
            </w:r>
          </w:p>
        </w:tc>
        <w:tc>
          <w:tcPr>
            <w:tcW w:w="234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1.6m×2.5m</w:t>
            </w:r>
          </w:p>
        </w:tc>
        <w:tc>
          <w:tcPr>
            <w:tcW w:w="113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4</w:t>
            </w:r>
          </w:p>
        </w:tc>
        <w:tc>
          <w:tcPr>
            <w:tcW w:w="155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碳钢</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0" w:hRule="atLeast"/>
          <w:jc w:val="center"/>
        </w:trPr>
        <w:tc>
          <w:tcPr>
            <w:tcW w:w="1261" w:type="dxa"/>
            <w:vMerge w:val="continue"/>
            <w:tcBorders>
              <w:tl2br w:val="nil"/>
              <w:tr2bl w:val="nil"/>
            </w:tcBorders>
            <w:vAlign w:val="center"/>
          </w:tcPr>
          <w:p>
            <w:pPr>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p>
        </w:tc>
        <w:tc>
          <w:tcPr>
            <w:tcW w:w="202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结晶釜</w:t>
            </w:r>
          </w:p>
        </w:tc>
        <w:tc>
          <w:tcPr>
            <w:tcW w:w="234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1.6m×2.5m</w:t>
            </w:r>
          </w:p>
        </w:tc>
        <w:tc>
          <w:tcPr>
            <w:tcW w:w="113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4</w:t>
            </w:r>
          </w:p>
        </w:tc>
        <w:tc>
          <w:tcPr>
            <w:tcW w:w="155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碳钢</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59" w:hRule="atLeast"/>
          <w:jc w:val="center"/>
        </w:trPr>
        <w:tc>
          <w:tcPr>
            <w:tcW w:w="1261" w:type="dxa"/>
            <w:vMerge w:val="continue"/>
            <w:tcBorders>
              <w:tl2br w:val="nil"/>
              <w:tr2bl w:val="nil"/>
            </w:tcBorders>
            <w:vAlign w:val="center"/>
          </w:tcPr>
          <w:p>
            <w:pPr>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p>
        </w:tc>
        <w:tc>
          <w:tcPr>
            <w:tcW w:w="202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成品池</w:t>
            </w:r>
          </w:p>
        </w:tc>
        <w:tc>
          <w:tcPr>
            <w:tcW w:w="234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4m×1.5m×0.8m</w:t>
            </w:r>
          </w:p>
        </w:tc>
        <w:tc>
          <w:tcPr>
            <w:tcW w:w="113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2</w:t>
            </w:r>
          </w:p>
        </w:tc>
        <w:tc>
          <w:tcPr>
            <w:tcW w:w="155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混凝</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59" w:hRule="atLeast"/>
          <w:jc w:val="center"/>
        </w:trPr>
        <w:tc>
          <w:tcPr>
            <w:tcW w:w="1261" w:type="dxa"/>
            <w:vMerge w:val="continue"/>
            <w:tcBorders>
              <w:tl2br w:val="nil"/>
              <w:tr2bl w:val="nil"/>
            </w:tcBorders>
            <w:vAlign w:val="center"/>
          </w:tcPr>
          <w:p>
            <w:pPr>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p>
        </w:tc>
        <w:tc>
          <w:tcPr>
            <w:tcW w:w="202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离心机</w:t>
            </w:r>
          </w:p>
        </w:tc>
        <w:tc>
          <w:tcPr>
            <w:tcW w:w="234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SD1250型吊带式</w:t>
            </w:r>
          </w:p>
        </w:tc>
        <w:tc>
          <w:tcPr>
            <w:tcW w:w="113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1</w:t>
            </w:r>
          </w:p>
        </w:tc>
        <w:tc>
          <w:tcPr>
            <w:tcW w:w="155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碳钢</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59" w:hRule="atLeast"/>
          <w:jc w:val="center"/>
        </w:trPr>
        <w:tc>
          <w:tcPr>
            <w:tcW w:w="1261" w:type="dxa"/>
            <w:vMerge w:val="continue"/>
            <w:tcBorders>
              <w:tl2br w:val="nil"/>
              <w:tr2bl w:val="nil"/>
            </w:tcBorders>
            <w:vAlign w:val="center"/>
          </w:tcPr>
          <w:p>
            <w:pPr>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p>
        </w:tc>
        <w:tc>
          <w:tcPr>
            <w:tcW w:w="202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母液水池</w:t>
            </w:r>
          </w:p>
        </w:tc>
        <w:tc>
          <w:tcPr>
            <w:tcW w:w="234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4m×2m×2m</w:t>
            </w:r>
          </w:p>
        </w:tc>
        <w:tc>
          <w:tcPr>
            <w:tcW w:w="113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3</w:t>
            </w:r>
          </w:p>
        </w:tc>
        <w:tc>
          <w:tcPr>
            <w:tcW w:w="155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混凝</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59" w:hRule="atLeast"/>
          <w:jc w:val="center"/>
        </w:trPr>
        <w:tc>
          <w:tcPr>
            <w:tcW w:w="1261" w:type="dxa"/>
            <w:vMerge w:val="continue"/>
            <w:tcBorders>
              <w:tl2br w:val="nil"/>
              <w:tr2bl w:val="nil"/>
            </w:tcBorders>
            <w:vAlign w:val="center"/>
          </w:tcPr>
          <w:p>
            <w:pPr>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p>
        </w:tc>
        <w:tc>
          <w:tcPr>
            <w:tcW w:w="202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缓冲罐</w:t>
            </w:r>
          </w:p>
        </w:tc>
        <w:tc>
          <w:tcPr>
            <w:tcW w:w="234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4m×1.2m</w:t>
            </w:r>
          </w:p>
        </w:tc>
        <w:tc>
          <w:tcPr>
            <w:tcW w:w="113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1</w:t>
            </w:r>
          </w:p>
        </w:tc>
        <w:tc>
          <w:tcPr>
            <w:tcW w:w="155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碳钢</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57" w:hRule="atLeast"/>
          <w:jc w:val="center"/>
        </w:trPr>
        <w:tc>
          <w:tcPr>
            <w:tcW w:w="1261" w:type="dxa"/>
            <w:vMerge w:val="continue"/>
            <w:tcBorders>
              <w:tl2br w:val="nil"/>
              <w:tr2bl w:val="nil"/>
            </w:tcBorders>
            <w:vAlign w:val="center"/>
          </w:tcPr>
          <w:p>
            <w:pPr>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p>
        </w:tc>
        <w:tc>
          <w:tcPr>
            <w:tcW w:w="202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真空泵</w:t>
            </w:r>
          </w:p>
        </w:tc>
        <w:tc>
          <w:tcPr>
            <w:tcW w:w="234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W4</w:t>
            </w:r>
          </w:p>
        </w:tc>
        <w:tc>
          <w:tcPr>
            <w:tcW w:w="113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8</w:t>
            </w:r>
          </w:p>
        </w:tc>
        <w:tc>
          <w:tcPr>
            <w:tcW w:w="155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立式干式</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56" w:hRule="atLeast"/>
          <w:jc w:val="center"/>
        </w:trPr>
        <w:tc>
          <w:tcPr>
            <w:tcW w:w="1261" w:type="dxa"/>
            <w:vMerge w:val="restart"/>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b/>
                <w:caps w:val="0"/>
                <w:smallCaps w:val="0"/>
                <w:color w:val="auto"/>
                <w:spacing w:val="0"/>
                <w:sz w:val="21"/>
                <w:szCs w:val="21"/>
                <w:highlight w:val="none"/>
                <w:u w:val="none" w:color="auto"/>
              </w:rPr>
            </w:pPr>
          </w:p>
          <w:p>
            <w:pPr>
              <w:pStyle w:val="32"/>
              <w:pageBreakBefore w:val="0"/>
              <w:kinsoku/>
              <w:wordWrap/>
              <w:bidi w:val="0"/>
              <w:spacing w:line="360" w:lineRule="exact"/>
              <w:ind w:left="0" w:leftChars="0" w:right="0" w:firstLine="0" w:firstLineChars="0"/>
              <w:jc w:val="center"/>
              <w:rPr>
                <w:rFonts w:hint="eastAsia" w:ascii="宋体" w:hAnsi="宋体" w:eastAsia="宋体" w:cs="宋体"/>
                <w:b/>
                <w:caps w:val="0"/>
                <w:smallCaps w:val="0"/>
                <w:color w:val="auto"/>
                <w:spacing w:val="0"/>
                <w:sz w:val="21"/>
                <w:szCs w:val="21"/>
                <w:highlight w:val="none"/>
                <w:u w:val="none" w:color="auto"/>
              </w:rPr>
            </w:pPr>
          </w:p>
          <w:p>
            <w:pPr>
              <w:pStyle w:val="32"/>
              <w:pageBreakBefore w:val="0"/>
              <w:kinsoku/>
              <w:wordWrap/>
              <w:bidi w:val="0"/>
              <w:spacing w:line="360" w:lineRule="exact"/>
              <w:ind w:left="0" w:leftChars="0" w:right="0" w:firstLine="0" w:firstLineChars="0"/>
              <w:jc w:val="center"/>
              <w:rPr>
                <w:rFonts w:hint="eastAsia" w:ascii="宋体" w:hAnsi="宋体" w:eastAsia="宋体" w:cs="宋体"/>
                <w:b/>
                <w:caps w:val="0"/>
                <w:smallCaps w:val="0"/>
                <w:color w:val="auto"/>
                <w:spacing w:val="0"/>
                <w:sz w:val="21"/>
                <w:szCs w:val="21"/>
                <w:highlight w:val="none"/>
                <w:u w:val="none" w:color="auto"/>
              </w:rPr>
            </w:pPr>
          </w:p>
          <w:p>
            <w:pPr>
              <w:pStyle w:val="32"/>
              <w:pageBreakBefore w:val="0"/>
              <w:kinsoku/>
              <w:wordWrap/>
              <w:bidi w:val="0"/>
              <w:spacing w:line="360" w:lineRule="exact"/>
              <w:ind w:left="0" w:leftChars="0" w:right="0" w:firstLine="0" w:firstLineChars="0"/>
              <w:jc w:val="center"/>
              <w:rPr>
                <w:rFonts w:hint="eastAsia" w:ascii="宋体" w:hAnsi="宋体" w:eastAsia="宋体" w:cs="宋体"/>
                <w:b/>
                <w:caps w:val="0"/>
                <w:smallCaps w:val="0"/>
                <w:color w:val="auto"/>
                <w:spacing w:val="0"/>
                <w:sz w:val="21"/>
                <w:szCs w:val="21"/>
                <w:highlight w:val="none"/>
                <w:u w:val="none" w:color="auto"/>
              </w:rPr>
            </w:pPr>
          </w:p>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尼文酸</w:t>
            </w:r>
          </w:p>
        </w:tc>
        <w:tc>
          <w:tcPr>
            <w:tcW w:w="202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反应釜</w:t>
            </w:r>
          </w:p>
        </w:tc>
        <w:tc>
          <w:tcPr>
            <w:tcW w:w="234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3000L</w:t>
            </w:r>
          </w:p>
        </w:tc>
        <w:tc>
          <w:tcPr>
            <w:tcW w:w="113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8</w:t>
            </w:r>
          </w:p>
        </w:tc>
        <w:tc>
          <w:tcPr>
            <w:tcW w:w="155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搪瓷</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59" w:hRule="atLeast"/>
          <w:jc w:val="center"/>
        </w:trPr>
        <w:tc>
          <w:tcPr>
            <w:tcW w:w="1261" w:type="dxa"/>
            <w:vMerge w:val="continue"/>
            <w:tcBorders>
              <w:tl2br w:val="nil"/>
              <w:tr2bl w:val="nil"/>
            </w:tcBorders>
            <w:vAlign w:val="center"/>
          </w:tcPr>
          <w:p>
            <w:pPr>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p>
        </w:tc>
        <w:tc>
          <w:tcPr>
            <w:tcW w:w="202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碱洗釜</w:t>
            </w:r>
          </w:p>
        </w:tc>
        <w:tc>
          <w:tcPr>
            <w:tcW w:w="234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8000L</w:t>
            </w:r>
          </w:p>
        </w:tc>
        <w:tc>
          <w:tcPr>
            <w:tcW w:w="113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1</w:t>
            </w:r>
          </w:p>
        </w:tc>
        <w:tc>
          <w:tcPr>
            <w:tcW w:w="155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碳钢</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59" w:hRule="atLeast"/>
          <w:jc w:val="center"/>
        </w:trPr>
        <w:tc>
          <w:tcPr>
            <w:tcW w:w="1261" w:type="dxa"/>
            <w:vMerge w:val="continue"/>
            <w:tcBorders>
              <w:tl2br w:val="nil"/>
              <w:tr2bl w:val="nil"/>
            </w:tcBorders>
            <w:vAlign w:val="center"/>
          </w:tcPr>
          <w:p>
            <w:pPr>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p>
        </w:tc>
        <w:tc>
          <w:tcPr>
            <w:tcW w:w="202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过滤池</w:t>
            </w:r>
          </w:p>
        </w:tc>
        <w:tc>
          <w:tcPr>
            <w:tcW w:w="234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1m×2m×2m</w:t>
            </w:r>
          </w:p>
        </w:tc>
        <w:tc>
          <w:tcPr>
            <w:tcW w:w="113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1</w:t>
            </w:r>
          </w:p>
        </w:tc>
        <w:tc>
          <w:tcPr>
            <w:tcW w:w="155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混凝</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59" w:hRule="atLeast"/>
          <w:jc w:val="center"/>
        </w:trPr>
        <w:tc>
          <w:tcPr>
            <w:tcW w:w="1261" w:type="dxa"/>
            <w:vMerge w:val="continue"/>
            <w:tcBorders>
              <w:tl2br w:val="nil"/>
              <w:tr2bl w:val="nil"/>
            </w:tcBorders>
            <w:vAlign w:val="center"/>
          </w:tcPr>
          <w:p>
            <w:pPr>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p>
        </w:tc>
        <w:tc>
          <w:tcPr>
            <w:tcW w:w="202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酸洗釜</w:t>
            </w:r>
          </w:p>
        </w:tc>
        <w:tc>
          <w:tcPr>
            <w:tcW w:w="234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3000L</w:t>
            </w:r>
          </w:p>
        </w:tc>
        <w:tc>
          <w:tcPr>
            <w:tcW w:w="113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1</w:t>
            </w:r>
          </w:p>
        </w:tc>
        <w:tc>
          <w:tcPr>
            <w:tcW w:w="155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碳钢</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59" w:hRule="atLeast"/>
          <w:jc w:val="center"/>
        </w:trPr>
        <w:tc>
          <w:tcPr>
            <w:tcW w:w="1261" w:type="dxa"/>
            <w:vMerge w:val="continue"/>
            <w:tcBorders>
              <w:tl2br w:val="nil"/>
              <w:tr2bl w:val="nil"/>
            </w:tcBorders>
            <w:vAlign w:val="center"/>
          </w:tcPr>
          <w:p>
            <w:pPr>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p>
        </w:tc>
        <w:tc>
          <w:tcPr>
            <w:tcW w:w="202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压滤机</w:t>
            </w:r>
          </w:p>
        </w:tc>
        <w:tc>
          <w:tcPr>
            <w:tcW w:w="234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800型</w:t>
            </w:r>
          </w:p>
        </w:tc>
        <w:tc>
          <w:tcPr>
            <w:tcW w:w="113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1</w:t>
            </w:r>
          </w:p>
        </w:tc>
        <w:tc>
          <w:tcPr>
            <w:tcW w:w="155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板框</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57" w:hRule="atLeast"/>
          <w:jc w:val="center"/>
        </w:trPr>
        <w:tc>
          <w:tcPr>
            <w:tcW w:w="1261" w:type="dxa"/>
            <w:vMerge w:val="continue"/>
            <w:tcBorders>
              <w:tl2br w:val="nil"/>
              <w:tr2bl w:val="nil"/>
            </w:tcBorders>
            <w:vAlign w:val="center"/>
          </w:tcPr>
          <w:p>
            <w:pPr>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p>
        </w:tc>
        <w:tc>
          <w:tcPr>
            <w:tcW w:w="202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缓冲罐</w:t>
            </w:r>
          </w:p>
        </w:tc>
        <w:tc>
          <w:tcPr>
            <w:tcW w:w="234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4m×1.2m</w:t>
            </w:r>
          </w:p>
        </w:tc>
        <w:tc>
          <w:tcPr>
            <w:tcW w:w="113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2</w:t>
            </w:r>
          </w:p>
        </w:tc>
        <w:tc>
          <w:tcPr>
            <w:tcW w:w="155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碳钢</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59" w:hRule="atLeast"/>
          <w:jc w:val="center"/>
        </w:trPr>
        <w:tc>
          <w:tcPr>
            <w:tcW w:w="1261" w:type="dxa"/>
            <w:vMerge w:val="continue"/>
            <w:tcBorders>
              <w:tl2br w:val="nil"/>
              <w:tr2bl w:val="nil"/>
            </w:tcBorders>
            <w:vAlign w:val="center"/>
          </w:tcPr>
          <w:p>
            <w:pPr>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p>
        </w:tc>
        <w:tc>
          <w:tcPr>
            <w:tcW w:w="202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密闭烘箱</w:t>
            </w:r>
          </w:p>
        </w:tc>
        <w:tc>
          <w:tcPr>
            <w:tcW w:w="234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w:t>
            </w:r>
          </w:p>
        </w:tc>
        <w:tc>
          <w:tcPr>
            <w:tcW w:w="113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1</w:t>
            </w:r>
          </w:p>
        </w:tc>
        <w:tc>
          <w:tcPr>
            <w:tcW w:w="155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碳钢</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59" w:hRule="atLeast"/>
          <w:jc w:val="center"/>
        </w:trPr>
        <w:tc>
          <w:tcPr>
            <w:tcW w:w="1261" w:type="dxa"/>
            <w:vMerge w:val="continue"/>
            <w:tcBorders>
              <w:tl2br w:val="nil"/>
              <w:tr2bl w:val="nil"/>
            </w:tcBorders>
            <w:vAlign w:val="center"/>
          </w:tcPr>
          <w:p>
            <w:pPr>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p>
        </w:tc>
        <w:tc>
          <w:tcPr>
            <w:tcW w:w="202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真空泵</w:t>
            </w:r>
          </w:p>
        </w:tc>
        <w:tc>
          <w:tcPr>
            <w:tcW w:w="234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W3</w:t>
            </w:r>
          </w:p>
        </w:tc>
        <w:tc>
          <w:tcPr>
            <w:tcW w:w="113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2</w:t>
            </w:r>
          </w:p>
        </w:tc>
        <w:tc>
          <w:tcPr>
            <w:tcW w:w="155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立式干式</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59" w:hRule="atLeast"/>
          <w:jc w:val="center"/>
        </w:trPr>
        <w:tc>
          <w:tcPr>
            <w:tcW w:w="1261" w:type="dxa"/>
            <w:vMerge w:val="continue"/>
            <w:tcBorders>
              <w:tl2br w:val="nil"/>
              <w:tr2bl w:val="nil"/>
            </w:tcBorders>
            <w:vAlign w:val="center"/>
          </w:tcPr>
          <w:p>
            <w:pPr>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p>
        </w:tc>
        <w:tc>
          <w:tcPr>
            <w:tcW w:w="202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盐酸计量罐</w:t>
            </w:r>
          </w:p>
        </w:tc>
        <w:tc>
          <w:tcPr>
            <w:tcW w:w="234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300L</w:t>
            </w:r>
          </w:p>
        </w:tc>
        <w:tc>
          <w:tcPr>
            <w:tcW w:w="113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7</w:t>
            </w:r>
          </w:p>
        </w:tc>
        <w:tc>
          <w:tcPr>
            <w:tcW w:w="155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聚丙烯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59" w:hRule="atLeast"/>
          <w:jc w:val="center"/>
        </w:trPr>
        <w:tc>
          <w:tcPr>
            <w:tcW w:w="1261" w:type="dxa"/>
            <w:vMerge w:val="continue"/>
            <w:tcBorders>
              <w:tl2br w:val="nil"/>
              <w:tr2bl w:val="nil"/>
            </w:tcBorders>
            <w:vAlign w:val="center"/>
          </w:tcPr>
          <w:p>
            <w:pPr>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p>
        </w:tc>
        <w:tc>
          <w:tcPr>
            <w:tcW w:w="202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烧碱计量罐</w:t>
            </w:r>
          </w:p>
        </w:tc>
        <w:tc>
          <w:tcPr>
            <w:tcW w:w="234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500L</w:t>
            </w:r>
          </w:p>
        </w:tc>
        <w:tc>
          <w:tcPr>
            <w:tcW w:w="113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1</w:t>
            </w:r>
          </w:p>
        </w:tc>
        <w:tc>
          <w:tcPr>
            <w:tcW w:w="155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聚丙烯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59" w:hRule="atLeast"/>
          <w:jc w:val="center"/>
        </w:trPr>
        <w:tc>
          <w:tcPr>
            <w:tcW w:w="1261" w:type="dxa"/>
            <w:vMerge w:val="restart"/>
            <w:tcBorders>
              <w:tl2br w:val="nil"/>
              <w:tr2bl w:val="nil"/>
            </w:tcBorders>
            <w:vAlign w:val="center"/>
          </w:tcPr>
          <w:p>
            <w:pPr>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甲酸乙酯</w:t>
            </w:r>
          </w:p>
          <w:p>
            <w:pPr>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（丙酸乙酯）</w:t>
            </w:r>
          </w:p>
        </w:tc>
        <w:tc>
          <w:tcPr>
            <w:tcW w:w="202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酯化釜</w:t>
            </w:r>
          </w:p>
        </w:tc>
        <w:tc>
          <w:tcPr>
            <w:tcW w:w="234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5000L</w:t>
            </w:r>
          </w:p>
        </w:tc>
        <w:tc>
          <w:tcPr>
            <w:tcW w:w="113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lang w:val="en-US"/>
              </w:rPr>
            </w:pPr>
            <w:r>
              <w:rPr>
                <w:rFonts w:hint="eastAsia" w:ascii="宋体" w:hAnsi="宋体" w:eastAsia="宋体" w:cs="宋体"/>
                <w:caps w:val="0"/>
                <w:smallCaps w:val="0"/>
                <w:color w:val="auto"/>
                <w:spacing w:val="0"/>
                <w:sz w:val="21"/>
                <w:szCs w:val="21"/>
                <w:highlight w:val="none"/>
                <w:u w:val="none" w:color="auto"/>
              </w:rPr>
              <w:t>6</w:t>
            </w:r>
          </w:p>
        </w:tc>
        <w:tc>
          <w:tcPr>
            <w:tcW w:w="155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碳钢</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56" w:hRule="atLeast"/>
          <w:jc w:val="center"/>
        </w:trPr>
        <w:tc>
          <w:tcPr>
            <w:tcW w:w="1261" w:type="dxa"/>
            <w:vMerge w:val="continue"/>
            <w:tcBorders>
              <w:tl2br w:val="nil"/>
              <w:tr2bl w:val="nil"/>
            </w:tcBorders>
            <w:vAlign w:val="center"/>
          </w:tcPr>
          <w:p>
            <w:pPr>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p>
        </w:tc>
        <w:tc>
          <w:tcPr>
            <w:tcW w:w="202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蒸馏塔</w:t>
            </w:r>
          </w:p>
        </w:tc>
        <w:tc>
          <w:tcPr>
            <w:tcW w:w="234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w:t>
            </w:r>
          </w:p>
        </w:tc>
        <w:tc>
          <w:tcPr>
            <w:tcW w:w="113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4</w:t>
            </w:r>
          </w:p>
        </w:tc>
        <w:tc>
          <w:tcPr>
            <w:tcW w:w="155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碳钢</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3" w:hRule="atLeast"/>
          <w:jc w:val="center"/>
        </w:trPr>
        <w:tc>
          <w:tcPr>
            <w:tcW w:w="1261" w:type="dxa"/>
            <w:vMerge w:val="continue"/>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p>
        </w:tc>
        <w:tc>
          <w:tcPr>
            <w:tcW w:w="202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缓冲罐</w:t>
            </w:r>
          </w:p>
        </w:tc>
        <w:tc>
          <w:tcPr>
            <w:tcW w:w="234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3000L</w:t>
            </w:r>
          </w:p>
        </w:tc>
        <w:tc>
          <w:tcPr>
            <w:tcW w:w="113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2</w:t>
            </w:r>
          </w:p>
        </w:tc>
        <w:tc>
          <w:tcPr>
            <w:tcW w:w="155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碳钢</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3" w:hRule="atLeast"/>
          <w:jc w:val="center"/>
        </w:trPr>
        <w:tc>
          <w:tcPr>
            <w:tcW w:w="1261" w:type="dxa"/>
            <w:vMerge w:val="continue"/>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p>
        </w:tc>
        <w:tc>
          <w:tcPr>
            <w:tcW w:w="202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脱水釜</w:t>
            </w:r>
          </w:p>
        </w:tc>
        <w:tc>
          <w:tcPr>
            <w:tcW w:w="234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5000L</w:t>
            </w:r>
          </w:p>
        </w:tc>
        <w:tc>
          <w:tcPr>
            <w:tcW w:w="113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2</w:t>
            </w:r>
          </w:p>
        </w:tc>
        <w:tc>
          <w:tcPr>
            <w:tcW w:w="155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碳钢</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3" w:hRule="atLeast"/>
          <w:jc w:val="center"/>
        </w:trPr>
        <w:tc>
          <w:tcPr>
            <w:tcW w:w="1261" w:type="dxa"/>
            <w:vMerge w:val="continue"/>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p>
        </w:tc>
        <w:tc>
          <w:tcPr>
            <w:tcW w:w="202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精馏釜</w:t>
            </w:r>
          </w:p>
        </w:tc>
        <w:tc>
          <w:tcPr>
            <w:tcW w:w="234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5000L</w:t>
            </w:r>
          </w:p>
        </w:tc>
        <w:tc>
          <w:tcPr>
            <w:tcW w:w="113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4</w:t>
            </w:r>
          </w:p>
        </w:tc>
        <w:tc>
          <w:tcPr>
            <w:tcW w:w="155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碳钢</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3" w:hRule="atLeast"/>
          <w:jc w:val="center"/>
        </w:trPr>
        <w:tc>
          <w:tcPr>
            <w:tcW w:w="1261" w:type="dxa"/>
            <w:vMerge w:val="continue"/>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p>
        </w:tc>
        <w:tc>
          <w:tcPr>
            <w:tcW w:w="202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成品釜</w:t>
            </w:r>
          </w:p>
        </w:tc>
        <w:tc>
          <w:tcPr>
            <w:tcW w:w="234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5000L</w:t>
            </w:r>
          </w:p>
        </w:tc>
        <w:tc>
          <w:tcPr>
            <w:tcW w:w="113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2</w:t>
            </w:r>
          </w:p>
        </w:tc>
        <w:tc>
          <w:tcPr>
            <w:tcW w:w="155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碳钢</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3" w:hRule="atLeast"/>
          <w:jc w:val="center"/>
        </w:trPr>
        <w:tc>
          <w:tcPr>
            <w:tcW w:w="1261" w:type="dxa"/>
            <w:vMerge w:val="continue"/>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p>
        </w:tc>
        <w:tc>
          <w:tcPr>
            <w:tcW w:w="202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制冷机</w:t>
            </w:r>
          </w:p>
        </w:tc>
        <w:tc>
          <w:tcPr>
            <w:tcW w:w="234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22千瓦</w:t>
            </w:r>
          </w:p>
        </w:tc>
        <w:tc>
          <w:tcPr>
            <w:tcW w:w="113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1</w:t>
            </w:r>
          </w:p>
        </w:tc>
        <w:tc>
          <w:tcPr>
            <w:tcW w:w="155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氟利昂134a</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3" w:hRule="atLeast"/>
          <w:jc w:val="center"/>
        </w:trPr>
        <w:tc>
          <w:tcPr>
            <w:tcW w:w="1261" w:type="dxa"/>
            <w:vMerge w:val="continue"/>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p>
        </w:tc>
        <w:tc>
          <w:tcPr>
            <w:tcW w:w="202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冷凝器</w:t>
            </w:r>
          </w:p>
        </w:tc>
        <w:tc>
          <w:tcPr>
            <w:tcW w:w="234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40m</w:t>
            </w:r>
            <w:r>
              <w:rPr>
                <w:rFonts w:hint="eastAsia" w:ascii="宋体" w:hAnsi="宋体" w:eastAsia="宋体" w:cs="宋体"/>
                <w:caps w:val="0"/>
                <w:smallCaps w:val="0"/>
                <w:color w:val="auto"/>
                <w:spacing w:val="0"/>
                <w:sz w:val="21"/>
                <w:szCs w:val="21"/>
                <w:highlight w:val="none"/>
                <w:u w:val="none" w:color="auto"/>
                <w:vertAlign w:val="superscript"/>
              </w:rPr>
              <w:t>2</w:t>
            </w:r>
          </w:p>
        </w:tc>
        <w:tc>
          <w:tcPr>
            <w:tcW w:w="113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8</w:t>
            </w:r>
          </w:p>
        </w:tc>
        <w:tc>
          <w:tcPr>
            <w:tcW w:w="155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碳钢</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3" w:hRule="atLeast"/>
          <w:jc w:val="center"/>
        </w:trPr>
        <w:tc>
          <w:tcPr>
            <w:tcW w:w="1261" w:type="dxa"/>
            <w:vMerge w:val="continue"/>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p>
        </w:tc>
        <w:tc>
          <w:tcPr>
            <w:tcW w:w="202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散热塔</w:t>
            </w:r>
          </w:p>
        </w:tc>
        <w:tc>
          <w:tcPr>
            <w:tcW w:w="234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200m</w:t>
            </w:r>
            <w:r>
              <w:rPr>
                <w:rFonts w:hint="eastAsia" w:ascii="宋体" w:hAnsi="宋体" w:eastAsia="宋体" w:cs="宋体"/>
                <w:caps w:val="0"/>
                <w:smallCaps w:val="0"/>
                <w:color w:val="auto"/>
                <w:spacing w:val="0"/>
                <w:sz w:val="21"/>
                <w:szCs w:val="21"/>
                <w:highlight w:val="none"/>
                <w:u w:val="none" w:color="auto"/>
                <w:vertAlign w:val="superscript"/>
              </w:rPr>
              <w:t>2</w:t>
            </w:r>
          </w:p>
        </w:tc>
        <w:tc>
          <w:tcPr>
            <w:tcW w:w="113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1</w:t>
            </w:r>
          </w:p>
        </w:tc>
        <w:tc>
          <w:tcPr>
            <w:tcW w:w="155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碳钢</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3" w:hRule="atLeast"/>
          <w:jc w:val="center"/>
        </w:trPr>
        <w:tc>
          <w:tcPr>
            <w:tcW w:w="1261" w:type="dxa"/>
            <w:vMerge w:val="continue"/>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p>
        </w:tc>
        <w:tc>
          <w:tcPr>
            <w:tcW w:w="202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计量罐</w:t>
            </w:r>
          </w:p>
        </w:tc>
        <w:tc>
          <w:tcPr>
            <w:tcW w:w="234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2000L</w:t>
            </w:r>
          </w:p>
        </w:tc>
        <w:tc>
          <w:tcPr>
            <w:tcW w:w="113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3</w:t>
            </w:r>
          </w:p>
        </w:tc>
        <w:tc>
          <w:tcPr>
            <w:tcW w:w="155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碳钢</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0" w:hRule="atLeast"/>
          <w:jc w:val="center"/>
        </w:trPr>
        <w:tc>
          <w:tcPr>
            <w:tcW w:w="1261" w:type="dxa"/>
            <w:vMerge w:val="continue"/>
            <w:tcBorders>
              <w:tl2br w:val="nil"/>
              <w:tr2bl w:val="nil"/>
            </w:tcBorders>
            <w:vAlign w:val="center"/>
          </w:tcPr>
          <w:p>
            <w:pPr>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p>
        </w:tc>
        <w:tc>
          <w:tcPr>
            <w:tcW w:w="202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管道泵</w:t>
            </w:r>
          </w:p>
        </w:tc>
        <w:tc>
          <w:tcPr>
            <w:tcW w:w="234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7.5千瓦</w:t>
            </w:r>
          </w:p>
        </w:tc>
        <w:tc>
          <w:tcPr>
            <w:tcW w:w="113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2</w:t>
            </w:r>
          </w:p>
        </w:tc>
        <w:tc>
          <w:tcPr>
            <w:tcW w:w="155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不锈钢</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0" w:hRule="atLeast"/>
          <w:jc w:val="center"/>
        </w:trPr>
        <w:tc>
          <w:tcPr>
            <w:tcW w:w="1261" w:type="dxa"/>
            <w:vMerge w:val="continue"/>
            <w:tcBorders>
              <w:tl2br w:val="nil"/>
              <w:tr2bl w:val="nil"/>
            </w:tcBorders>
            <w:vAlign w:val="center"/>
          </w:tcPr>
          <w:p>
            <w:pPr>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p>
        </w:tc>
        <w:tc>
          <w:tcPr>
            <w:tcW w:w="202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进料泵</w:t>
            </w:r>
          </w:p>
        </w:tc>
        <w:tc>
          <w:tcPr>
            <w:tcW w:w="234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w:t>
            </w:r>
          </w:p>
        </w:tc>
        <w:tc>
          <w:tcPr>
            <w:tcW w:w="113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1</w:t>
            </w:r>
          </w:p>
        </w:tc>
        <w:tc>
          <w:tcPr>
            <w:tcW w:w="155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不锈钢</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57" w:hRule="atLeast"/>
          <w:jc w:val="center"/>
        </w:trPr>
        <w:tc>
          <w:tcPr>
            <w:tcW w:w="1261" w:type="dxa"/>
            <w:vMerge w:val="continue"/>
            <w:tcBorders>
              <w:tl2br w:val="nil"/>
              <w:tr2bl w:val="nil"/>
            </w:tcBorders>
            <w:vAlign w:val="center"/>
          </w:tcPr>
          <w:p>
            <w:pPr>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p>
        </w:tc>
        <w:tc>
          <w:tcPr>
            <w:tcW w:w="202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PLC控制系统</w:t>
            </w:r>
          </w:p>
        </w:tc>
        <w:tc>
          <w:tcPr>
            <w:tcW w:w="234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w:t>
            </w:r>
          </w:p>
        </w:tc>
        <w:tc>
          <w:tcPr>
            <w:tcW w:w="113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1</w:t>
            </w:r>
          </w:p>
        </w:tc>
        <w:tc>
          <w:tcPr>
            <w:tcW w:w="155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59" w:hRule="atLeast"/>
          <w:jc w:val="center"/>
        </w:trPr>
        <w:tc>
          <w:tcPr>
            <w:tcW w:w="1261" w:type="dxa"/>
            <w:vMerge w:val="restart"/>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b/>
                <w:caps w:val="0"/>
                <w:smallCaps w:val="0"/>
                <w:color w:val="auto"/>
                <w:spacing w:val="0"/>
                <w:sz w:val="21"/>
                <w:szCs w:val="21"/>
                <w:highlight w:val="none"/>
                <w:u w:val="none" w:color="auto"/>
              </w:rPr>
            </w:pPr>
          </w:p>
          <w:p>
            <w:pPr>
              <w:pStyle w:val="32"/>
              <w:pageBreakBefore w:val="0"/>
              <w:kinsoku/>
              <w:wordWrap/>
              <w:bidi w:val="0"/>
              <w:spacing w:line="360" w:lineRule="exact"/>
              <w:ind w:left="0" w:leftChars="0" w:right="0" w:firstLine="0" w:firstLineChars="0"/>
              <w:jc w:val="center"/>
              <w:rPr>
                <w:rFonts w:hint="eastAsia" w:ascii="宋体" w:hAnsi="宋体" w:eastAsia="宋体" w:cs="宋体"/>
                <w:b/>
                <w:caps w:val="0"/>
                <w:smallCaps w:val="0"/>
                <w:color w:val="auto"/>
                <w:spacing w:val="0"/>
                <w:sz w:val="21"/>
                <w:szCs w:val="21"/>
                <w:highlight w:val="none"/>
                <w:u w:val="none" w:color="auto"/>
              </w:rPr>
            </w:pPr>
          </w:p>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储罐区</w:t>
            </w:r>
          </w:p>
        </w:tc>
        <w:tc>
          <w:tcPr>
            <w:tcW w:w="202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乙醇储罐</w:t>
            </w:r>
          </w:p>
        </w:tc>
        <w:tc>
          <w:tcPr>
            <w:tcW w:w="234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50m</w:t>
            </w:r>
            <w:r>
              <w:rPr>
                <w:rFonts w:hint="eastAsia" w:ascii="宋体" w:hAnsi="宋体" w:eastAsia="宋体" w:cs="宋体"/>
                <w:caps w:val="0"/>
                <w:smallCaps w:val="0"/>
                <w:color w:val="auto"/>
                <w:spacing w:val="0"/>
                <w:sz w:val="21"/>
                <w:szCs w:val="21"/>
                <w:highlight w:val="none"/>
                <w:u w:val="none" w:color="auto"/>
                <w:vertAlign w:val="superscript"/>
              </w:rPr>
              <w:t>3</w:t>
            </w:r>
          </w:p>
        </w:tc>
        <w:tc>
          <w:tcPr>
            <w:tcW w:w="113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2</w:t>
            </w:r>
          </w:p>
        </w:tc>
        <w:tc>
          <w:tcPr>
            <w:tcW w:w="155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碳钢</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0" w:hRule="atLeast"/>
          <w:jc w:val="center"/>
        </w:trPr>
        <w:tc>
          <w:tcPr>
            <w:tcW w:w="1261" w:type="dxa"/>
            <w:vMerge w:val="continue"/>
            <w:tcBorders>
              <w:tl2br w:val="nil"/>
              <w:tr2bl w:val="nil"/>
            </w:tcBorders>
            <w:vAlign w:val="center"/>
          </w:tcPr>
          <w:p>
            <w:pPr>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p>
        </w:tc>
        <w:tc>
          <w:tcPr>
            <w:tcW w:w="202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甲酸储罐</w:t>
            </w:r>
          </w:p>
        </w:tc>
        <w:tc>
          <w:tcPr>
            <w:tcW w:w="234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50m</w:t>
            </w:r>
            <w:r>
              <w:rPr>
                <w:rFonts w:hint="eastAsia" w:ascii="宋体" w:hAnsi="宋体" w:eastAsia="宋体" w:cs="宋体"/>
                <w:caps w:val="0"/>
                <w:smallCaps w:val="0"/>
                <w:color w:val="auto"/>
                <w:spacing w:val="0"/>
                <w:sz w:val="21"/>
                <w:szCs w:val="21"/>
                <w:highlight w:val="none"/>
                <w:u w:val="none" w:color="auto"/>
                <w:vertAlign w:val="superscript"/>
              </w:rPr>
              <w:t>3</w:t>
            </w:r>
          </w:p>
        </w:tc>
        <w:tc>
          <w:tcPr>
            <w:tcW w:w="113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1</w:t>
            </w:r>
          </w:p>
        </w:tc>
        <w:tc>
          <w:tcPr>
            <w:tcW w:w="155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碳钢</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1" w:hRule="atLeast"/>
          <w:jc w:val="center"/>
        </w:trPr>
        <w:tc>
          <w:tcPr>
            <w:tcW w:w="1261" w:type="dxa"/>
            <w:vMerge w:val="continue"/>
            <w:tcBorders>
              <w:tl2br w:val="nil"/>
              <w:tr2bl w:val="nil"/>
            </w:tcBorders>
            <w:vAlign w:val="center"/>
          </w:tcPr>
          <w:p>
            <w:pPr>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p>
        </w:tc>
        <w:tc>
          <w:tcPr>
            <w:tcW w:w="202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丙酸储罐</w:t>
            </w:r>
          </w:p>
        </w:tc>
        <w:tc>
          <w:tcPr>
            <w:tcW w:w="234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50m</w:t>
            </w:r>
            <w:r>
              <w:rPr>
                <w:rFonts w:hint="eastAsia" w:ascii="宋体" w:hAnsi="宋体" w:eastAsia="宋体" w:cs="宋体"/>
                <w:caps w:val="0"/>
                <w:smallCaps w:val="0"/>
                <w:color w:val="auto"/>
                <w:spacing w:val="0"/>
                <w:sz w:val="21"/>
                <w:szCs w:val="21"/>
                <w:highlight w:val="none"/>
                <w:u w:val="none" w:color="auto"/>
                <w:vertAlign w:val="superscript"/>
              </w:rPr>
              <w:t>3</w:t>
            </w:r>
          </w:p>
        </w:tc>
        <w:tc>
          <w:tcPr>
            <w:tcW w:w="113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1</w:t>
            </w:r>
          </w:p>
        </w:tc>
        <w:tc>
          <w:tcPr>
            <w:tcW w:w="155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碳钢</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1" w:hRule="atLeast"/>
          <w:jc w:val="center"/>
        </w:trPr>
        <w:tc>
          <w:tcPr>
            <w:tcW w:w="1261" w:type="dxa"/>
            <w:vMerge w:val="continue"/>
            <w:tcBorders>
              <w:tl2br w:val="nil"/>
              <w:tr2bl w:val="nil"/>
            </w:tcBorders>
            <w:vAlign w:val="center"/>
          </w:tcPr>
          <w:p>
            <w:pPr>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p>
        </w:tc>
        <w:tc>
          <w:tcPr>
            <w:tcW w:w="202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硫酸储罐</w:t>
            </w:r>
          </w:p>
        </w:tc>
        <w:tc>
          <w:tcPr>
            <w:tcW w:w="234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50m</w:t>
            </w:r>
            <w:r>
              <w:rPr>
                <w:rFonts w:hint="eastAsia" w:ascii="宋体" w:hAnsi="宋体" w:eastAsia="宋体" w:cs="宋体"/>
                <w:caps w:val="0"/>
                <w:smallCaps w:val="0"/>
                <w:color w:val="auto"/>
                <w:spacing w:val="0"/>
                <w:sz w:val="21"/>
                <w:szCs w:val="21"/>
                <w:highlight w:val="none"/>
                <w:u w:val="none" w:color="auto"/>
                <w:vertAlign w:val="superscript"/>
              </w:rPr>
              <w:t>3</w:t>
            </w:r>
          </w:p>
        </w:tc>
        <w:tc>
          <w:tcPr>
            <w:tcW w:w="113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1</w:t>
            </w:r>
          </w:p>
        </w:tc>
        <w:tc>
          <w:tcPr>
            <w:tcW w:w="155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碳钢</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0" w:hRule="atLeast"/>
          <w:jc w:val="center"/>
        </w:trPr>
        <w:tc>
          <w:tcPr>
            <w:tcW w:w="1261" w:type="dxa"/>
            <w:vMerge w:val="continue"/>
            <w:tcBorders>
              <w:tl2br w:val="nil"/>
              <w:tr2bl w:val="nil"/>
            </w:tcBorders>
            <w:vAlign w:val="center"/>
          </w:tcPr>
          <w:p>
            <w:pPr>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p>
        </w:tc>
        <w:tc>
          <w:tcPr>
            <w:tcW w:w="202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盐酸储罐</w:t>
            </w:r>
          </w:p>
        </w:tc>
        <w:tc>
          <w:tcPr>
            <w:tcW w:w="234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50m</w:t>
            </w:r>
            <w:r>
              <w:rPr>
                <w:rFonts w:hint="eastAsia" w:ascii="宋体" w:hAnsi="宋体" w:eastAsia="宋体" w:cs="宋体"/>
                <w:caps w:val="0"/>
                <w:smallCaps w:val="0"/>
                <w:color w:val="auto"/>
                <w:spacing w:val="0"/>
                <w:sz w:val="21"/>
                <w:szCs w:val="21"/>
                <w:highlight w:val="none"/>
                <w:u w:val="none" w:color="auto"/>
                <w:vertAlign w:val="superscript"/>
              </w:rPr>
              <w:t>3</w:t>
            </w:r>
          </w:p>
        </w:tc>
        <w:tc>
          <w:tcPr>
            <w:tcW w:w="113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2</w:t>
            </w:r>
          </w:p>
        </w:tc>
        <w:tc>
          <w:tcPr>
            <w:tcW w:w="155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碳钢</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4" w:hRule="atLeast"/>
          <w:jc w:val="center"/>
        </w:trPr>
        <w:tc>
          <w:tcPr>
            <w:tcW w:w="1261" w:type="dxa"/>
            <w:vMerge w:val="continue"/>
            <w:tcBorders>
              <w:tl2br w:val="nil"/>
              <w:tr2bl w:val="nil"/>
            </w:tcBorders>
            <w:vAlign w:val="center"/>
          </w:tcPr>
          <w:p>
            <w:pPr>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p>
        </w:tc>
        <w:tc>
          <w:tcPr>
            <w:tcW w:w="202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烧碱储罐</w:t>
            </w:r>
          </w:p>
        </w:tc>
        <w:tc>
          <w:tcPr>
            <w:tcW w:w="234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50m</w:t>
            </w:r>
            <w:r>
              <w:rPr>
                <w:rFonts w:hint="eastAsia" w:ascii="宋体" w:hAnsi="宋体" w:eastAsia="宋体" w:cs="宋体"/>
                <w:caps w:val="0"/>
                <w:smallCaps w:val="0"/>
                <w:color w:val="auto"/>
                <w:spacing w:val="0"/>
                <w:sz w:val="21"/>
                <w:szCs w:val="21"/>
                <w:highlight w:val="none"/>
                <w:u w:val="none" w:color="auto"/>
                <w:vertAlign w:val="superscript"/>
              </w:rPr>
              <w:t>3</w:t>
            </w:r>
          </w:p>
        </w:tc>
        <w:tc>
          <w:tcPr>
            <w:tcW w:w="113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2</w:t>
            </w:r>
          </w:p>
        </w:tc>
        <w:tc>
          <w:tcPr>
            <w:tcW w:w="155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碳钢</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56" w:hRule="atLeast"/>
          <w:jc w:val="center"/>
        </w:trPr>
        <w:tc>
          <w:tcPr>
            <w:tcW w:w="1261" w:type="dxa"/>
            <w:vMerge w:val="restart"/>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b/>
                <w:caps w:val="0"/>
                <w:smallCaps w:val="0"/>
                <w:color w:val="auto"/>
                <w:spacing w:val="0"/>
                <w:sz w:val="21"/>
                <w:szCs w:val="21"/>
                <w:highlight w:val="none"/>
                <w:u w:val="none" w:color="auto"/>
              </w:rPr>
            </w:pPr>
          </w:p>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公用工程</w:t>
            </w:r>
          </w:p>
        </w:tc>
        <w:tc>
          <w:tcPr>
            <w:tcW w:w="202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循环水池</w:t>
            </w:r>
          </w:p>
        </w:tc>
        <w:tc>
          <w:tcPr>
            <w:tcW w:w="234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1500m</w:t>
            </w:r>
            <w:r>
              <w:rPr>
                <w:rFonts w:hint="eastAsia" w:ascii="宋体" w:hAnsi="宋体" w:eastAsia="宋体" w:cs="宋体"/>
                <w:caps w:val="0"/>
                <w:smallCaps w:val="0"/>
                <w:color w:val="auto"/>
                <w:spacing w:val="0"/>
                <w:sz w:val="21"/>
                <w:szCs w:val="21"/>
                <w:highlight w:val="none"/>
                <w:u w:val="none" w:color="auto"/>
                <w:vertAlign w:val="superscript"/>
              </w:rPr>
              <w:t>3</w:t>
            </w:r>
          </w:p>
        </w:tc>
        <w:tc>
          <w:tcPr>
            <w:tcW w:w="113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1</w:t>
            </w:r>
          </w:p>
        </w:tc>
        <w:tc>
          <w:tcPr>
            <w:tcW w:w="155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混凝</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59" w:hRule="atLeast"/>
          <w:jc w:val="center"/>
        </w:trPr>
        <w:tc>
          <w:tcPr>
            <w:tcW w:w="1261" w:type="dxa"/>
            <w:vMerge w:val="continue"/>
            <w:tcBorders>
              <w:tl2br w:val="nil"/>
              <w:tr2bl w:val="nil"/>
            </w:tcBorders>
            <w:vAlign w:val="center"/>
          </w:tcPr>
          <w:p>
            <w:pPr>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p>
        </w:tc>
        <w:tc>
          <w:tcPr>
            <w:tcW w:w="202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冷却塔</w:t>
            </w:r>
          </w:p>
        </w:tc>
        <w:tc>
          <w:tcPr>
            <w:tcW w:w="234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w:t>
            </w:r>
          </w:p>
        </w:tc>
        <w:tc>
          <w:tcPr>
            <w:tcW w:w="113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3</w:t>
            </w:r>
          </w:p>
        </w:tc>
        <w:tc>
          <w:tcPr>
            <w:tcW w:w="155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玻璃钢</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59" w:hRule="atLeast"/>
          <w:jc w:val="center"/>
        </w:trPr>
        <w:tc>
          <w:tcPr>
            <w:tcW w:w="1261" w:type="dxa"/>
            <w:vMerge w:val="continue"/>
            <w:tcBorders>
              <w:tl2br w:val="nil"/>
              <w:tr2bl w:val="nil"/>
            </w:tcBorders>
            <w:vAlign w:val="center"/>
          </w:tcPr>
          <w:p>
            <w:pPr>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p>
        </w:tc>
        <w:tc>
          <w:tcPr>
            <w:tcW w:w="202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天燃气锅炉（备用）</w:t>
            </w:r>
          </w:p>
        </w:tc>
        <w:tc>
          <w:tcPr>
            <w:tcW w:w="234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4t</w:t>
            </w:r>
          </w:p>
        </w:tc>
        <w:tc>
          <w:tcPr>
            <w:tcW w:w="113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1</w:t>
            </w:r>
          </w:p>
        </w:tc>
        <w:tc>
          <w:tcPr>
            <w:tcW w:w="155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59" w:hRule="atLeast"/>
          <w:jc w:val="center"/>
        </w:trPr>
        <w:tc>
          <w:tcPr>
            <w:tcW w:w="1261" w:type="dxa"/>
            <w:vMerge w:val="continue"/>
            <w:tcBorders>
              <w:tl2br w:val="nil"/>
              <w:tr2bl w:val="nil"/>
            </w:tcBorders>
            <w:vAlign w:val="center"/>
          </w:tcPr>
          <w:p>
            <w:pPr>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p>
        </w:tc>
        <w:tc>
          <w:tcPr>
            <w:tcW w:w="202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软化水制备系统</w:t>
            </w:r>
          </w:p>
        </w:tc>
        <w:tc>
          <w:tcPr>
            <w:tcW w:w="234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制水能力2t/h</w:t>
            </w:r>
          </w:p>
        </w:tc>
        <w:tc>
          <w:tcPr>
            <w:tcW w:w="1136"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1</w:t>
            </w:r>
          </w:p>
        </w:tc>
        <w:tc>
          <w:tcPr>
            <w:tcW w:w="1559" w:type="dxa"/>
            <w:tcBorders>
              <w:tl2br w:val="nil"/>
              <w:tr2bl w:val="nil"/>
            </w:tcBorders>
            <w:vAlign w:val="center"/>
          </w:tcPr>
          <w:p>
            <w:pPr>
              <w:pStyle w:val="32"/>
              <w:pageBreakBefore w:val="0"/>
              <w:kinsoku/>
              <w:wordWrap/>
              <w:bidi w:val="0"/>
              <w:spacing w:line="360" w:lineRule="exact"/>
              <w:ind w:left="0" w:leftChars="0" w:right="0" w:firstLine="0" w:firstLineChars="0"/>
              <w:jc w:val="center"/>
              <w:rPr>
                <w:rFonts w:hint="eastAsia" w:ascii="宋体" w:hAnsi="宋体" w:eastAsia="宋体" w:cs="宋体"/>
                <w:caps w:val="0"/>
                <w:smallCaps w:val="0"/>
                <w:color w:val="auto"/>
                <w:spacing w:val="0"/>
                <w:sz w:val="21"/>
                <w:szCs w:val="21"/>
                <w:highlight w:val="none"/>
                <w:u w:val="none" w:color="auto"/>
              </w:rPr>
            </w:pPr>
            <w:r>
              <w:rPr>
                <w:rFonts w:hint="eastAsia" w:ascii="宋体" w:hAnsi="宋体" w:eastAsia="宋体" w:cs="宋体"/>
                <w:caps w:val="0"/>
                <w:smallCaps w:val="0"/>
                <w:color w:val="auto"/>
                <w:spacing w:val="0"/>
                <w:sz w:val="21"/>
                <w:szCs w:val="21"/>
                <w:highlight w:val="none"/>
                <w:u w:val="none" w:color="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jc w:val="center"/>
        </w:trPr>
        <w:tc>
          <w:tcPr>
            <w:tcW w:w="1261"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三溴新戊醇</w:t>
            </w:r>
          </w:p>
        </w:tc>
        <w:tc>
          <w:tcPr>
            <w:tcW w:w="202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溴化釜</w:t>
            </w:r>
          </w:p>
        </w:tc>
        <w:tc>
          <w:tcPr>
            <w:tcW w:w="234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79标搪玻璃1000L</w:t>
            </w:r>
          </w:p>
        </w:tc>
        <w:tc>
          <w:tcPr>
            <w:tcW w:w="113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2</w:t>
            </w:r>
          </w:p>
        </w:tc>
        <w:tc>
          <w:tcPr>
            <w:tcW w:w="155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搪玻璃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jc w:val="center"/>
        </w:trPr>
        <w:tc>
          <w:tcPr>
            <w:tcW w:w="126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p>
        </w:tc>
        <w:tc>
          <w:tcPr>
            <w:tcW w:w="202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密闭回流釜</w:t>
            </w:r>
          </w:p>
        </w:tc>
        <w:tc>
          <w:tcPr>
            <w:tcW w:w="234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1000L</w:t>
            </w:r>
          </w:p>
        </w:tc>
        <w:tc>
          <w:tcPr>
            <w:tcW w:w="113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2</w:t>
            </w:r>
          </w:p>
        </w:tc>
        <w:tc>
          <w:tcPr>
            <w:tcW w:w="155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搪玻璃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jc w:val="center"/>
        </w:trPr>
        <w:tc>
          <w:tcPr>
            <w:tcW w:w="126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p>
        </w:tc>
        <w:tc>
          <w:tcPr>
            <w:tcW w:w="202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酯化釜</w:t>
            </w:r>
          </w:p>
        </w:tc>
        <w:tc>
          <w:tcPr>
            <w:tcW w:w="234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79标搪玻璃1000L，电机4千瓦，针轮摆线转速75-80转，搅拌形式描式搅拌。</w:t>
            </w:r>
          </w:p>
        </w:tc>
        <w:tc>
          <w:tcPr>
            <w:tcW w:w="113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1</w:t>
            </w:r>
          </w:p>
        </w:tc>
        <w:tc>
          <w:tcPr>
            <w:tcW w:w="155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搪玻璃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jc w:val="center"/>
        </w:trPr>
        <w:tc>
          <w:tcPr>
            <w:tcW w:w="126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p>
        </w:tc>
        <w:tc>
          <w:tcPr>
            <w:tcW w:w="202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结晶釜</w:t>
            </w:r>
          </w:p>
        </w:tc>
        <w:tc>
          <w:tcPr>
            <w:tcW w:w="234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79标搪玻璃1000L，电机4千瓦，针轮摆线转速75-80转，搅拌形式描式搅拌。</w:t>
            </w:r>
          </w:p>
        </w:tc>
        <w:tc>
          <w:tcPr>
            <w:tcW w:w="113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1</w:t>
            </w:r>
          </w:p>
        </w:tc>
        <w:tc>
          <w:tcPr>
            <w:tcW w:w="155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搪玻璃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jc w:val="center"/>
        </w:trPr>
        <w:tc>
          <w:tcPr>
            <w:tcW w:w="126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p>
        </w:tc>
        <w:tc>
          <w:tcPr>
            <w:tcW w:w="202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离心机</w:t>
            </w:r>
          </w:p>
        </w:tc>
        <w:tc>
          <w:tcPr>
            <w:tcW w:w="234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吊带式平板离心机</w:t>
            </w:r>
          </w:p>
        </w:tc>
        <w:tc>
          <w:tcPr>
            <w:tcW w:w="113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1</w:t>
            </w:r>
          </w:p>
        </w:tc>
        <w:tc>
          <w:tcPr>
            <w:tcW w:w="155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不锈钢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jc w:val="center"/>
        </w:trPr>
        <w:tc>
          <w:tcPr>
            <w:tcW w:w="126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p>
        </w:tc>
        <w:tc>
          <w:tcPr>
            <w:tcW w:w="202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甲醇回收釜</w:t>
            </w:r>
          </w:p>
        </w:tc>
        <w:tc>
          <w:tcPr>
            <w:tcW w:w="234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79标搪玻璃3000L，电机7.5千瓦，针轮摆线转速75-80转，搅拌形式描式搅拌。</w:t>
            </w:r>
          </w:p>
        </w:tc>
        <w:tc>
          <w:tcPr>
            <w:tcW w:w="113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1</w:t>
            </w:r>
          </w:p>
        </w:tc>
        <w:tc>
          <w:tcPr>
            <w:tcW w:w="155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搪玻璃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jc w:val="center"/>
        </w:trPr>
        <w:tc>
          <w:tcPr>
            <w:tcW w:w="126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p>
        </w:tc>
        <w:tc>
          <w:tcPr>
            <w:tcW w:w="202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甲醇成品罐</w:t>
            </w:r>
          </w:p>
        </w:tc>
        <w:tc>
          <w:tcPr>
            <w:tcW w:w="234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3000L</w:t>
            </w:r>
          </w:p>
        </w:tc>
        <w:tc>
          <w:tcPr>
            <w:tcW w:w="113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1</w:t>
            </w:r>
          </w:p>
        </w:tc>
        <w:tc>
          <w:tcPr>
            <w:tcW w:w="155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搪玻璃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jc w:val="center"/>
        </w:trPr>
        <w:tc>
          <w:tcPr>
            <w:tcW w:w="126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p>
        </w:tc>
        <w:tc>
          <w:tcPr>
            <w:tcW w:w="202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棒式压滤机</w:t>
            </w:r>
          </w:p>
        </w:tc>
        <w:tc>
          <w:tcPr>
            <w:tcW w:w="234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30L</w:t>
            </w:r>
          </w:p>
        </w:tc>
        <w:tc>
          <w:tcPr>
            <w:tcW w:w="113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1</w:t>
            </w:r>
          </w:p>
        </w:tc>
        <w:tc>
          <w:tcPr>
            <w:tcW w:w="155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不锈钢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jc w:val="center"/>
        </w:trPr>
        <w:tc>
          <w:tcPr>
            <w:tcW w:w="126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p>
        </w:tc>
        <w:tc>
          <w:tcPr>
            <w:tcW w:w="202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回收罐</w:t>
            </w:r>
          </w:p>
        </w:tc>
        <w:tc>
          <w:tcPr>
            <w:tcW w:w="234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500L</w:t>
            </w:r>
          </w:p>
        </w:tc>
        <w:tc>
          <w:tcPr>
            <w:tcW w:w="113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2</w:t>
            </w:r>
          </w:p>
        </w:tc>
        <w:tc>
          <w:tcPr>
            <w:tcW w:w="155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PP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jc w:val="center"/>
        </w:trPr>
        <w:tc>
          <w:tcPr>
            <w:tcW w:w="126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p>
        </w:tc>
        <w:tc>
          <w:tcPr>
            <w:tcW w:w="202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接收罐</w:t>
            </w:r>
          </w:p>
        </w:tc>
        <w:tc>
          <w:tcPr>
            <w:tcW w:w="234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300L</w:t>
            </w:r>
          </w:p>
        </w:tc>
        <w:tc>
          <w:tcPr>
            <w:tcW w:w="113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2</w:t>
            </w:r>
          </w:p>
        </w:tc>
        <w:tc>
          <w:tcPr>
            <w:tcW w:w="155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PP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jc w:val="center"/>
        </w:trPr>
        <w:tc>
          <w:tcPr>
            <w:tcW w:w="126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p>
        </w:tc>
        <w:tc>
          <w:tcPr>
            <w:tcW w:w="202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冷却器</w:t>
            </w:r>
          </w:p>
        </w:tc>
        <w:tc>
          <w:tcPr>
            <w:tcW w:w="234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0.5型片冷7m</w:t>
            </w:r>
            <w:r>
              <w:rPr>
                <w:rFonts w:hint="eastAsia" w:ascii="宋体" w:hAnsi="宋体" w:eastAsia="宋体" w:cs="宋体"/>
                <w:b w:val="0"/>
                <w:bCs w:val="0"/>
                <w:caps w:val="0"/>
                <w:smallCaps w:val="0"/>
                <w:color w:val="auto"/>
                <w:spacing w:val="0"/>
                <w:sz w:val="21"/>
                <w:szCs w:val="21"/>
                <w:highlight w:val="none"/>
                <w:u w:val="none" w:color="auto"/>
                <w:vertAlign w:val="superscript"/>
              </w:rPr>
              <w:t>2</w:t>
            </w:r>
          </w:p>
        </w:tc>
        <w:tc>
          <w:tcPr>
            <w:tcW w:w="113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1</w:t>
            </w:r>
          </w:p>
        </w:tc>
        <w:tc>
          <w:tcPr>
            <w:tcW w:w="155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jc w:val="center"/>
        </w:trPr>
        <w:tc>
          <w:tcPr>
            <w:tcW w:w="126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p>
        </w:tc>
        <w:tc>
          <w:tcPr>
            <w:tcW w:w="202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冷却器</w:t>
            </w:r>
          </w:p>
        </w:tc>
        <w:tc>
          <w:tcPr>
            <w:tcW w:w="234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0.5型片冷5m</w:t>
            </w:r>
            <w:r>
              <w:rPr>
                <w:rFonts w:hint="eastAsia" w:ascii="宋体" w:hAnsi="宋体" w:eastAsia="宋体" w:cs="宋体"/>
                <w:b w:val="0"/>
                <w:bCs w:val="0"/>
                <w:caps w:val="0"/>
                <w:smallCaps w:val="0"/>
                <w:color w:val="auto"/>
                <w:spacing w:val="0"/>
                <w:sz w:val="21"/>
                <w:szCs w:val="21"/>
                <w:highlight w:val="none"/>
                <w:u w:val="none" w:color="auto"/>
                <w:vertAlign w:val="superscript"/>
              </w:rPr>
              <w:t>2</w:t>
            </w:r>
          </w:p>
        </w:tc>
        <w:tc>
          <w:tcPr>
            <w:tcW w:w="113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3</w:t>
            </w:r>
          </w:p>
        </w:tc>
        <w:tc>
          <w:tcPr>
            <w:tcW w:w="155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jc w:val="center"/>
        </w:trPr>
        <w:tc>
          <w:tcPr>
            <w:tcW w:w="126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p>
        </w:tc>
        <w:tc>
          <w:tcPr>
            <w:tcW w:w="202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箱式烘房</w:t>
            </w:r>
          </w:p>
        </w:tc>
        <w:tc>
          <w:tcPr>
            <w:tcW w:w="234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4门，蒸汽加热，自动恒温</w:t>
            </w:r>
          </w:p>
        </w:tc>
        <w:tc>
          <w:tcPr>
            <w:tcW w:w="113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1</w:t>
            </w:r>
          </w:p>
        </w:tc>
        <w:tc>
          <w:tcPr>
            <w:tcW w:w="155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不锈钢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jc w:val="center"/>
        </w:trPr>
        <w:tc>
          <w:tcPr>
            <w:tcW w:w="126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p>
        </w:tc>
        <w:tc>
          <w:tcPr>
            <w:tcW w:w="202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真空泵</w:t>
            </w:r>
          </w:p>
        </w:tc>
        <w:tc>
          <w:tcPr>
            <w:tcW w:w="234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机械真空泵,11kw，抽气量360m</w:t>
            </w:r>
            <w:r>
              <w:rPr>
                <w:rFonts w:hint="eastAsia" w:ascii="宋体" w:hAnsi="宋体" w:eastAsia="宋体" w:cs="宋体"/>
                <w:b w:val="0"/>
                <w:bCs w:val="0"/>
                <w:caps w:val="0"/>
                <w:smallCaps w:val="0"/>
                <w:color w:val="auto"/>
                <w:spacing w:val="0"/>
                <w:sz w:val="21"/>
                <w:szCs w:val="21"/>
                <w:highlight w:val="none"/>
                <w:u w:val="none" w:color="auto"/>
                <w:vertAlign w:val="superscript"/>
              </w:rPr>
              <w:t>3</w:t>
            </w:r>
            <w:r>
              <w:rPr>
                <w:rFonts w:hint="eastAsia" w:ascii="宋体" w:hAnsi="宋体" w:eastAsia="宋体" w:cs="宋体"/>
                <w:b w:val="0"/>
                <w:bCs w:val="0"/>
                <w:caps w:val="0"/>
                <w:smallCaps w:val="0"/>
                <w:color w:val="auto"/>
                <w:spacing w:val="0"/>
                <w:sz w:val="21"/>
                <w:szCs w:val="21"/>
                <w:highlight w:val="none"/>
                <w:u w:val="none" w:color="auto"/>
              </w:rPr>
              <w:t>/h</w:t>
            </w:r>
          </w:p>
        </w:tc>
        <w:tc>
          <w:tcPr>
            <w:tcW w:w="113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2（一用一备）</w:t>
            </w:r>
          </w:p>
        </w:tc>
        <w:tc>
          <w:tcPr>
            <w:tcW w:w="155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不锈钢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jc w:val="center"/>
        </w:trPr>
        <w:tc>
          <w:tcPr>
            <w:tcW w:w="1261"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二溴新戊二醇</w:t>
            </w:r>
          </w:p>
        </w:tc>
        <w:tc>
          <w:tcPr>
            <w:tcW w:w="202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二溴合成釜</w:t>
            </w:r>
          </w:p>
        </w:tc>
        <w:tc>
          <w:tcPr>
            <w:tcW w:w="234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蒸汽加热1000L，电机4千瓦，针轮摆线转速75-80转，搅拌形式描式搅拌。</w:t>
            </w:r>
          </w:p>
        </w:tc>
        <w:tc>
          <w:tcPr>
            <w:tcW w:w="113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4</w:t>
            </w:r>
          </w:p>
        </w:tc>
        <w:tc>
          <w:tcPr>
            <w:tcW w:w="155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搪玻璃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jc w:val="center"/>
        </w:trPr>
        <w:tc>
          <w:tcPr>
            <w:tcW w:w="126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p>
        </w:tc>
        <w:tc>
          <w:tcPr>
            <w:tcW w:w="202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结晶釜</w:t>
            </w:r>
          </w:p>
        </w:tc>
        <w:tc>
          <w:tcPr>
            <w:tcW w:w="234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79标搪玻璃1000L，电机4千瓦，针轮摆线转速75-80转，搅拌形式描式搅拌。</w:t>
            </w:r>
          </w:p>
        </w:tc>
        <w:tc>
          <w:tcPr>
            <w:tcW w:w="113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2</w:t>
            </w:r>
          </w:p>
        </w:tc>
        <w:tc>
          <w:tcPr>
            <w:tcW w:w="155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搪玻璃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jc w:val="center"/>
        </w:trPr>
        <w:tc>
          <w:tcPr>
            <w:tcW w:w="126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p>
        </w:tc>
        <w:tc>
          <w:tcPr>
            <w:tcW w:w="202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抽滤桶</w:t>
            </w:r>
          </w:p>
        </w:tc>
        <w:tc>
          <w:tcPr>
            <w:tcW w:w="234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直径1.6米，高度90公分，底部15公分处加网板，网板厚度12mm，网孔10mm，共3只。</w:t>
            </w:r>
          </w:p>
        </w:tc>
        <w:tc>
          <w:tcPr>
            <w:tcW w:w="113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1</w:t>
            </w:r>
          </w:p>
        </w:tc>
        <w:tc>
          <w:tcPr>
            <w:tcW w:w="155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RPP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jc w:val="center"/>
        </w:trPr>
        <w:tc>
          <w:tcPr>
            <w:tcW w:w="126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p>
        </w:tc>
        <w:tc>
          <w:tcPr>
            <w:tcW w:w="202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母液回收釜</w:t>
            </w:r>
          </w:p>
        </w:tc>
        <w:tc>
          <w:tcPr>
            <w:tcW w:w="234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79标搪玻璃3000L，电机7.5千瓦，针轮摆线转速75-80转，搅拌形式描式搅拌。</w:t>
            </w:r>
          </w:p>
        </w:tc>
        <w:tc>
          <w:tcPr>
            <w:tcW w:w="113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5</w:t>
            </w:r>
          </w:p>
        </w:tc>
        <w:tc>
          <w:tcPr>
            <w:tcW w:w="155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搪玻璃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jc w:val="center"/>
        </w:trPr>
        <w:tc>
          <w:tcPr>
            <w:tcW w:w="126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p>
        </w:tc>
        <w:tc>
          <w:tcPr>
            <w:tcW w:w="202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活性炭过滤器</w:t>
            </w:r>
          </w:p>
        </w:tc>
        <w:tc>
          <w:tcPr>
            <w:tcW w:w="234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w:t>
            </w:r>
          </w:p>
        </w:tc>
        <w:tc>
          <w:tcPr>
            <w:tcW w:w="113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1</w:t>
            </w:r>
          </w:p>
        </w:tc>
        <w:tc>
          <w:tcPr>
            <w:tcW w:w="155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jc w:val="center"/>
        </w:trPr>
        <w:tc>
          <w:tcPr>
            <w:tcW w:w="126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p>
        </w:tc>
        <w:tc>
          <w:tcPr>
            <w:tcW w:w="202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离心机</w:t>
            </w:r>
          </w:p>
        </w:tc>
        <w:tc>
          <w:tcPr>
            <w:tcW w:w="234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直径1m</w:t>
            </w:r>
          </w:p>
        </w:tc>
        <w:tc>
          <w:tcPr>
            <w:tcW w:w="113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1</w:t>
            </w:r>
          </w:p>
        </w:tc>
        <w:tc>
          <w:tcPr>
            <w:tcW w:w="155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jc w:val="center"/>
        </w:trPr>
        <w:tc>
          <w:tcPr>
            <w:tcW w:w="126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p>
        </w:tc>
        <w:tc>
          <w:tcPr>
            <w:tcW w:w="202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抽滤桶</w:t>
            </w:r>
          </w:p>
        </w:tc>
        <w:tc>
          <w:tcPr>
            <w:tcW w:w="234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直径1.2米，高度90公分，底部15公分处加网板，网板厚度12mm，网孔10mm，共2只。</w:t>
            </w:r>
          </w:p>
        </w:tc>
        <w:tc>
          <w:tcPr>
            <w:tcW w:w="113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1</w:t>
            </w:r>
          </w:p>
        </w:tc>
        <w:tc>
          <w:tcPr>
            <w:tcW w:w="155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RPP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jc w:val="center"/>
        </w:trPr>
        <w:tc>
          <w:tcPr>
            <w:tcW w:w="126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p>
        </w:tc>
        <w:tc>
          <w:tcPr>
            <w:tcW w:w="202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回转干燥机</w:t>
            </w:r>
          </w:p>
        </w:tc>
        <w:tc>
          <w:tcPr>
            <w:tcW w:w="234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2000L，配罗茨真空泵（机械泵）1台，真空度-0.9—1.0</w:t>
            </w:r>
          </w:p>
        </w:tc>
        <w:tc>
          <w:tcPr>
            <w:tcW w:w="113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1</w:t>
            </w:r>
          </w:p>
        </w:tc>
        <w:tc>
          <w:tcPr>
            <w:tcW w:w="155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搪玻璃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jc w:val="center"/>
        </w:trPr>
        <w:tc>
          <w:tcPr>
            <w:tcW w:w="126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p>
        </w:tc>
        <w:tc>
          <w:tcPr>
            <w:tcW w:w="202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母液回收甲苯釜</w:t>
            </w:r>
          </w:p>
        </w:tc>
        <w:tc>
          <w:tcPr>
            <w:tcW w:w="234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79标搪玻璃3000L，电机7.5千瓦，针轮摆线转速75-80转，搅拌形式描式搅拌。</w:t>
            </w:r>
          </w:p>
        </w:tc>
        <w:tc>
          <w:tcPr>
            <w:tcW w:w="113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1</w:t>
            </w:r>
          </w:p>
        </w:tc>
        <w:tc>
          <w:tcPr>
            <w:tcW w:w="155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搪玻璃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jc w:val="center"/>
        </w:trPr>
        <w:tc>
          <w:tcPr>
            <w:tcW w:w="126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p>
        </w:tc>
        <w:tc>
          <w:tcPr>
            <w:tcW w:w="202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回收甲苯罐</w:t>
            </w:r>
          </w:p>
        </w:tc>
        <w:tc>
          <w:tcPr>
            <w:tcW w:w="234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3000L</w:t>
            </w:r>
          </w:p>
        </w:tc>
        <w:tc>
          <w:tcPr>
            <w:tcW w:w="113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1</w:t>
            </w:r>
          </w:p>
        </w:tc>
        <w:tc>
          <w:tcPr>
            <w:tcW w:w="155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搪玻璃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jc w:val="center"/>
        </w:trPr>
        <w:tc>
          <w:tcPr>
            <w:tcW w:w="126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p>
        </w:tc>
        <w:tc>
          <w:tcPr>
            <w:tcW w:w="202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母液回收浓缩釜</w:t>
            </w:r>
          </w:p>
        </w:tc>
        <w:tc>
          <w:tcPr>
            <w:tcW w:w="234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79标搪玻璃3000L，电机7.5千瓦，针轮摆线转速75-80转，搅拌形式描式搅拌。</w:t>
            </w:r>
          </w:p>
        </w:tc>
        <w:tc>
          <w:tcPr>
            <w:tcW w:w="113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1</w:t>
            </w:r>
          </w:p>
        </w:tc>
        <w:tc>
          <w:tcPr>
            <w:tcW w:w="155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搪玻璃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jc w:val="center"/>
        </w:trPr>
        <w:tc>
          <w:tcPr>
            <w:tcW w:w="126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p>
        </w:tc>
        <w:tc>
          <w:tcPr>
            <w:tcW w:w="202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合成釜冷凝塔</w:t>
            </w:r>
          </w:p>
        </w:tc>
        <w:tc>
          <w:tcPr>
            <w:tcW w:w="234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9*3玻璃冷凝，陶瓷填料拉西环</w:t>
            </w:r>
          </w:p>
        </w:tc>
        <w:tc>
          <w:tcPr>
            <w:tcW w:w="113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1</w:t>
            </w:r>
          </w:p>
        </w:tc>
        <w:tc>
          <w:tcPr>
            <w:tcW w:w="155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jc w:val="center"/>
        </w:trPr>
        <w:tc>
          <w:tcPr>
            <w:tcW w:w="126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p>
        </w:tc>
        <w:tc>
          <w:tcPr>
            <w:tcW w:w="202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结晶釜冷凝塔</w:t>
            </w:r>
          </w:p>
        </w:tc>
        <w:tc>
          <w:tcPr>
            <w:tcW w:w="234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9*3玻璃冷凝</w:t>
            </w:r>
          </w:p>
        </w:tc>
        <w:tc>
          <w:tcPr>
            <w:tcW w:w="113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1</w:t>
            </w:r>
          </w:p>
        </w:tc>
        <w:tc>
          <w:tcPr>
            <w:tcW w:w="155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jc w:val="center"/>
        </w:trPr>
        <w:tc>
          <w:tcPr>
            <w:tcW w:w="126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p>
        </w:tc>
        <w:tc>
          <w:tcPr>
            <w:tcW w:w="202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冷却器</w:t>
            </w:r>
          </w:p>
        </w:tc>
        <w:tc>
          <w:tcPr>
            <w:tcW w:w="234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0.5型片冷4m</w:t>
            </w:r>
            <w:r>
              <w:rPr>
                <w:rFonts w:hint="eastAsia" w:ascii="宋体" w:hAnsi="宋体" w:eastAsia="宋体" w:cs="宋体"/>
                <w:b w:val="0"/>
                <w:bCs w:val="0"/>
                <w:caps w:val="0"/>
                <w:smallCaps w:val="0"/>
                <w:color w:val="auto"/>
                <w:spacing w:val="0"/>
                <w:sz w:val="21"/>
                <w:szCs w:val="21"/>
                <w:highlight w:val="none"/>
                <w:u w:val="none" w:color="auto"/>
                <w:vertAlign w:val="superscript"/>
              </w:rPr>
              <w:t>2</w:t>
            </w:r>
          </w:p>
        </w:tc>
        <w:tc>
          <w:tcPr>
            <w:tcW w:w="113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1</w:t>
            </w:r>
          </w:p>
        </w:tc>
        <w:tc>
          <w:tcPr>
            <w:tcW w:w="155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jc w:val="center"/>
        </w:trPr>
        <w:tc>
          <w:tcPr>
            <w:tcW w:w="126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p>
        </w:tc>
        <w:tc>
          <w:tcPr>
            <w:tcW w:w="202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冷却器</w:t>
            </w:r>
          </w:p>
        </w:tc>
        <w:tc>
          <w:tcPr>
            <w:tcW w:w="234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0.5型片冷6m</w:t>
            </w:r>
            <w:r>
              <w:rPr>
                <w:rFonts w:hint="eastAsia" w:ascii="宋体" w:hAnsi="宋体" w:eastAsia="宋体" w:cs="宋体"/>
                <w:b w:val="0"/>
                <w:bCs w:val="0"/>
                <w:caps w:val="0"/>
                <w:smallCaps w:val="0"/>
                <w:color w:val="auto"/>
                <w:spacing w:val="0"/>
                <w:sz w:val="21"/>
                <w:szCs w:val="21"/>
                <w:highlight w:val="none"/>
                <w:u w:val="none" w:color="auto"/>
                <w:vertAlign w:val="superscript"/>
              </w:rPr>
              <w:t>2</w:t>
            </w:r>
          </w:p>
        </w:tc>
        <w:tc>
          <w:tcPr>
            <w:tcW w:w="113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2</w:t>
            </w:r>
          </w:p>
        </w:tc>
        <w:tc>
          <w:tcPr>
            <w:tcW w:w="155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jc w:val="center"/>
        </w:trPr>
        <w:tc>
          <w:tcPr>
            <w:tcW w:w="1261"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三溴磷酸酯</w:t>
            </w:r>
          </w:p>
        </w:tc>
        <w:tc>
          <w:tcPr>
            <w:tcW w:w="202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合成釜</w:t>
            </w:r>
          </w:p>
        </w:tc>
        <w:tc>
          <w:tcPr>
            <w:tcW w:w="234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79标搪玻璃1000L，电机4千瓦，针轮摆线转速75-80转，搅拌形式描式搅拌。</w:t>
            </w:r>
          </w:p>
        </w:tc>
        <w:tc>
          <w:tcPr>
            <w:tcW w:w="113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1</w:t>
            </w:r>
          </w:p>
        </w:tc>
        <w:tc>
          <w:tcPr>
            <w:tcW w:w="155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搪玻璃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jc w:val="center"/>
        </w:trPr>
        <w:tc>
          <w:tcPr>
            <w:tcW w:w="126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p>
        </w:tc>
        <w:tc>
          <w:tcPr>
            <w:tcW w:w="202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水解结晶釜</w:t>
            </w:r>
          </w:p>
        </w:tc>
        <w:tc>
          <w:tcPr>
            <w:tcW w:w="234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79标搪玻璃1000L，电机4千瓦，针轮摆线转速75-80转，搅拌形式描式搅拌。</w:t>
            </w:r>
          </w:p>
        </w:tc>
        <w:tc>
          <w:tcPr>
            <w:tcW w:w="113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1</w:t>
            </w:r>
          </w:p>
        </w:tc>
        <w:tc>
          <w:tcPr>
            <w:tcW w:w="155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搪玻璃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jc w:val="center"/>
        </w:trPr>
        <w:tc>
          <w:tcPr>
            <w:tcW w:w="126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p>
        </w:tc>
        <w:tc>
          <w:tcPr>
            <w:tcW w:w="202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厢式烘房</w:t>
            </w:r>
          </w:p>
        </w:tc>
        <w:tc>
          <w:tcPr>
            <w:tcW w:w="234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蒸汽加热</w:t>
            </w:r>
          </w:p>
        </w:tc>
        <w:tc>
          <w:tcPr>
            <w:tcW w:w="113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1</w:t>
            </w:r>
          </w:p>
        </w:tc>
        <w:tc>
          <w:tcPr>
            <w:tcW w:w="155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不锈钢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jc w:val="center"/>
        </w:trPr>
        <w:tc>
          <w:tcPr>
            <w:tcW w:w="126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p>
        </w:tc>
        <w:tc>
          <w:tcPr>
            <w:tcW w:w="202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真空泵</w:t>
            </w:r>
          </w:p>
        </w:tc>
        <w:tc>
          <w:tcPr>
            <w:tcW w:w="234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机械真空泵,11kw，抽气量360m</w:t>
            </w:r>
            <w:r>
              <w:rPr>
                <w:rFonts w:hint="eastAsia" w:ascii="宋体" w:hAnsi="宋体" w:eastAsia="宋体" w:cs="宋体"/>
                <w:b w:val="0"/>
                <w:bCs w:val="0"/>
                <w:caps w:val="0"/>
                <w:smallCaps w:val="0"/>
                <w:color w:val="auto"/>
                <w:spacing w:val="0"/>
                <w:sz w:val="21"/>
                <w:szCs w:val="21"/>
                <w:highlight w:val="none"/>
                <w:u w:val="none" w:color="auto"/>
                <w:vertAlign w:val="superscript"/>
              </w:rPr>
              <w:t>3</w:t>
            </w:r>
            <w:r>
              <w:rPr>
                <w:rFonts w:hint="eastAsia" w:ascii="宋体" w:hAnsi="宋体" w:eastAsia="宋体" w:cs="宋体"/>
                <w:b w:val="0"/>
                <w:bCs w:val="0"/>
                <w:caps w:val="0"/>
                <w:smallCaps w:val="0"/>
                <w:color w:val="auto"/>
                <w:spacing w:val="0"/>
                <w:sz w:val="21"/>
                <w:szCs w:val="21"/>
                <w:highlight w:val="none"/>
                <w:u w:val="none" w:color="auto"/>
              </w:rPr>
              <w:t>/h</w:t>
            </w:r>
          </w:p>
        </w:tc>
        <w:tc>
          <w:tcPr>
            <w:tcW w:w="113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1</w:t>
            </w:r>
          </w:p>
        </w:tc>
        <w:tc>
          <w:tcPr>
            <w:tcW w:w="155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不锈钢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jc w:val="center"/>
        </w:trPr>
        <w:tc>
          <w:tcPr>
            <w:tcW w:w="126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p>
        </w:tc>
        <w:tc>
          <w:tcPr>
            <w:tcW w:w="202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离心机</w:t>
            </w:r>
          </w:p>
        </w:tc>
        <w:tc>
          <w:tcPr>
            <w:tcW w:w="234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吊带式平板离心机1000mm</w:t>
            </w:r>
          </w:p>
        </w:tc>
        <w:tc>
          <w:tcPr>
            <w:tcW w:w="113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1</w:t>
            </w:r>
          </w:p>
        </w:tc>
        <w:tc>
          <w:tcPr>
            <w:tcW w:w="155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不锈钢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jc w:val="center"/>
        </w:trPr>
        <w:tc>
          <w:tcPr>
            <w:tcW w:w="126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p>
        </w:tc>
        <w:tc>
          <w:tcPr>
            <w:tcW w:w="202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三氯氧磷罐</w:t>
            </w:r>
          </w:p>
        </w:tc>
        <w:tc>
          <w:tcPr>
            <w:tcW w:w="234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100L</w:t>
            </w:r>
          </w:p>
        </w:tc>
        <w:tc>
          <w:tcPr>
            <w:tcW w:w="113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1</w:t>
            </w:r>
          </w:p>
        </w:tc>
        <w:tc>
          <w:tcPr>
            <w:tcW w:w="155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PP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jc w:val="center"/>
        </w:trPr>
        <w:tc>
          <w:tcPr>
            <w:tcW w:w="126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p>
        </w:tc>
        <w:tc>
          <w:tcPr>
            <w:tcW w:w="202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母液回收罐</w:t>
            </w:r>
          </w:p>
        </w:tc>
        <w:tc>
          <w:tcPr>
            <w:tcW w:w="234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3000L</w:t>
            </w:r>
          </w:p>
        </w:tc>
        <w:tc>
          <w:tcPr>
            <w:tcW w:w="113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1</w:t>
            </w:r>
          </w:p>
        </w:tc>
        <w:tc>
          <w:tcPr>
            <w:tcW w:w="155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PP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jc w:val="center"/>
        </w:trPr>
        <w:tc>
          <w:tcPr>
            <w:tcW w:w="126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p>
        </w:tc>
        <w:tc>
          <w:tcPr>
            <w:tcW w:w="202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粉碎机</w:t>
            </w:r>
          </w:p>
        </w:tc>
        <w:tc>
          <w:tcPr>
            <w:tcW w:w="234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WFJ-18超微粉碎机，配套袋除尘（风量1.5万m</w:t>
            </w:r>
            <w:r>
              <w:rPr>
                <w:rFonts w:hint="eastAsia" w:ascii="宋体" w:hAnsi="宋体" w:eastAsia="宋体" w:cs="宋体"/>
                <w:b w:val="0"/>
                <w:bCs w:val="0"/>
                <w:caps w:val="0"/>
                <w:smallCaps w:val="0"/>
                <w:color w:val="auto"/>
                <w:spacing w:val="0"/>
                <w:sz w:val="21"/>
                <w:szCs w:val="21"/>
                <w:highlight w:val="none"/>
                <w:u w:val="none" w:color="auto"/>
                <w:vertAlign w:val="superscript"/>
              </w:rPr>
              <w:t>3</w:t>
            </w:r>
            <w:r>
              <w:rPr>
                <w:rFonts w:hint="eastAsia" w:ascii="宋体" w:hAnsi="宋体" w:eastAsia="宋体" w:cs="宋体"/>
                <w:b w:val="0"/>
                <w:bCs w:val="0"/>
                <w:caps w:val="0"/>
                <w:smallCaps w:val="0"/>
                <w:color w:val="auto"/>
                <w:spacing w:val="0"/>
                <w:sz w:val="21"/>
                <w:szCs w:val="21"/>
                <w:highlight w:val="none"/>
                <w:u w:val="none" w:color="auto"/>
              </w:rPr>
              <w:t>/h）</w:t>
            </w:r>
          </w:p>
        </w:tc>
        <w:tc>
          <w:tcPr>
            <w:tcW w:w="113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1</w:t>
            </w:r>
          </w:p>
        </w:tc>
        <w:tc>
          <w:tcPr>
            <w:tcW w:w="155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不锈钢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jc w:val="center"/>
        </w:trPr>
        <w:tc>
          <w:tcPr>
            <w:tcW w:w="126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p>
        </w:tc>
        <w:tc>
          <w:tcPr>
            <w:tcW w:w="202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水罐</w:t>
            </w:r>
          </w:p>
        </w:tc>
        <w:tc>
          <w:tcPr>
            <w:tcW w:w="234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500L</w:t>
            </w:r>
          </w:p>
        </w:tc>
        <w:tc>
          <w:tcPr>
            <w:tcW w:w="113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1</w:t>
            </w:r>
          </w:p>
        </w:tc>
        <w:tc>
          <w:tcPr>
            <w:tcW w:w="155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PP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jc w:val="center"/>
        </w:trPr>
        <w:tc>
          <w:tcPr>
            <w:tcW w:w="126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p>
        </w:tc>
        <w:tc>
          <w:tcPr>
            <w:tcW w:w="202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冷却器</w:t>
            </w:r>
          </w:p>
        </w:tc>
        <w:tc>
          <w:tcPr>
            <w:tcW w:w="234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0.5型片冷5m</w:t>
            </w:r>
            <w:r>
              <w:rPr>
                <w:rFonts w:hint="eastAsia" w:ascii="宋体" w:hAnsi="宋体" w:eastAsia="宋体" w:cs="宋体"/>
                <w:b w:val="0"/>
                <w:bCs w:val="0"/>
                <w:caps w:val="0"/>
                <w:smallCaps w:val="0"/>
                <w:color w:val="auto"/>
                <w:spacing w:val="0"/>
                <w:sz w:val="21"/>
                <w:szCs w:val="21"/>
                <w:highlight w:val="none"/>
                <w:u w:val="none" w:color="auto"/>
                <w:vertAlign w:val="superscript"/>
              </w:rPr>
              <w:t>2</w:t>
            </w:r>
          </w:p>
        </w:tc>
        <w:tc>
          <w:tcPr>
            <w:tcW w:w="113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1</w:t>
            </w:r>
          </w:p>
        </w:tc>
        <w:tc>
          <w:tcPr>
            <w:tcW w:w="155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jc w:val="center"/>
        </w:trPr>
        <w:tc>
          <w:tcPr>
            <w:tcW w:w="126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p>
        </w:tc>
        <w:tc>
          <w:tcPr>
            <w:tcW w:w="202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冷凝塔</w:t>
            </w:r>
          </w:p>
        </w:tc>
        <w:tc>
          <w:tcPr>
            <w:tcW w:w="234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5m</w:t>
            </w:r>
            <w:r>
              <w:rPr>
                <w:rFonts w:hint="eastAsia" w:ascii="宋体" w:hAnsi="宋体" w:eastAsia="宋体" w:cs="宋体"/>
                <w:b w:val="0"/>
                <w:bCs w:val="0"/>
                <w:caps w:val="0"/>
                <w:smallCaps w:val="0"/>
                <w:color w:val="auto"/>
                <w:spacing w:val="0"/>
                <w:sz w:val="21"/>
                <w:szCs w:val="21"/>
                <w:highlight w:val="none"/>
                <w:u w:val="none" w:color="auto"/>
                <w:vertAlign w:val="superscript"/>
              </w:rPr>
              <w:t>2</w:t>
            </w:r>
            <w:r>
              <w:rPr>
                <w:rFonts w:hint="eastAsia" w:ascii="宋体" w:hAnsi="宋体" w:eastAsia="宋体" w:cs="宋体"/>
                <w:b w:val="0"/>
                <w:bCs w:val="0"/>
                <w:caps w:val="0"/>
                <w:smallCaps w:val="0"/>
                <w:color w:val="auto"/>
                <w:spacing w:val="0"/>
                <w:sz w:val="21"/>
                <w:szCs w:val="21"/>
                <w:highlight w:val="none"/>
                <w:u w:val="none" w:color="auto"/>
              </w:rPr>
              <w:t>玻璃冷凝</w:t>
            </w:r>
          </w:p>
        </w:tc>
        <w:tc>
          <w:tcPr>
            <w:tcW w:w="113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1</w:t>
            </w:r>
          </w:p>
        </w:tc>
        <w:tc>
          <w:tcPr>
            <w:tcW w:w="155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jc w:val="center"/>
        </w:trPr>
        <w:tc>
          <w:tcPr>
            <w:tcW w:w="126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p>
        </w:tc>
        <w:tc>
          <w:tcPr>
            <w:tcW w:w="202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分液器</w:t>
            </w:r>
          </w:p>
        </w:tc>
        <w:tc>
          <w:tcPr>
            <w:tcW w:w="234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p>
        </w:tc>
        <w:tc>
          <w:tcPr>
            <w:tcW w:w="113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1</w:t>
            </w:r>
          </w:p>
        </w:tc>
        <w:tc>
          <w:tcPr>
            <w:tcW w:w="155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jc w:val="center"/>
        </w:trPr>
        <w:tc>
          <w:tcPr>
            <w:tcW w:w="1261"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溴化氢乙酸</w:t>
            </w:r>
          </w:p>
        </w:tc>
        <w:tc>
          <w:tcPr>
            <w:tcW w:w="202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溴素储罐</w:t>
            </w:r>
          </w:p>
        </w:tc>
        <w:tc>
          <w:tcPr>
            <w:tcW w:w="234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4000L卧式储罐</w:t>
            </w:r>
          </w:p>
        </w:tc>
        <w:tc>
          <w:tcPr>
            <w:tcW w:w="113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1</w:t>
            </w:r>
          </w:p>
        </w:tc>
        <w:tc>
          <w:tcPr>
            <w:tcW w:w="155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四氟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jc w:val="center"/>
        </w:trPr>
        <w:tc>
          <w:tcPr>
            <w:tcW w:w="126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p>
        </w:tc>
        <w:tc>
          <w:tcPr>
            <w:tcW w:w="202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地磅</w:t>
            </w:r>
          </w:p>
        </w:tc>
        <w:tc>
          <w:tcPr>
            <w:tcW w:w="234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10T</w:t>
            </w:r>
          </w:p>
        </w:tc>
        <w:tc>
          <w:tcPr>
            <w:tcW w:w="113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2</w:t>
            </w:r>
          </w:p>
        </w:tc>
        <w:tc>
          <w:tcPr>
            <w:tcW w:w="155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jc w:val="center"/>
        </w:trPr>
        <w:tc>
          <w:tcPr>
            <w:tcW w:w="126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p>
        </w:tc>
        <w:tc>
          <w:tcPr>
            <w:tcW w:w="202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溴计量泵</w:t>
            </w:r>
          </w:p>
        </w:tc>
        <w:tc>
          <w:tcPr>
            <w:tcW w:w="234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w:t>
            </w:r>
          </w:p>
        </w:tc>
        <w:tc>
          <w:tcPr>
            <w:tcW w:w="113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1</w:t>
            </w:r>
          </w:p>
        </w:tc>
        <w:tc>
          <w:tcPr>
            <w:tcW w:w="155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jc w:val="center"/>
        </w:trPr>
        <w:tc>
          <w:tcPr>
            <w:tcW w:w="126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p>
        </w:tc>
        <w:tc>
          <w:tcPr>
            <w:tcW w:w="202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电子恒温箱</w:t>
            </w:r>
          </w:p>
        </w:tc>
        <w:tc>
          <w:tcPr>
            <w:tcW w:w="234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w:t>
            </w:r>
          </w:p>
        </w:tc>
        <w:tc>
          <w:tcPr>
            <w:tcW w:w="113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2</w:t>
            </w:r>
          </w:p>
        </w:tc>
        <w:tc>
          <w:tcPr>
            <w:tcW w:w="155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jc w:val="center"/>
        </w:trPr>
        <w:tc>
          <w:tcPr>
            <w:tcW w:w="126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p>
        </w:tc>
        <w:tc>
          <w:tcPr>
            <w:tcW w:w="202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搪玻璃通溴桶</w:t>
            </w:r>
          </w:p>
        </w:tc>
        <w:tc>
          <w:tcPr>
            <w:tcW w:w="234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w:t>
            </w:r>
          </w:p>
        </w:tc>
        <w:tc>
          <w:tcPr>
            <w:tcW w:w="113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1</w:t>
            </w:r>
          </w:p>
        </w:tc>
        <w:tc>
          <w:tcPr>
            <w:tcW w:w="155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搪玻璃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jc w:val="center"/>
        </w:trPr>
        <w:tc>
          <w:tcPr>
            <w:tcW w:w="126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p>
        </w:tc>
        <w:tc>
          <w:tcPr>
            <w:tcW w:w="202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石英燃烧室</w:t>
            </w:r>
          </w:p>
        </w:tc>
        <w:tc>
          <w:tcPr>
            <w:tcW w:w="234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w:t>
            </w:r>
          </w:p>
        </w:tc>
        <w:tc>
          <w:tcPr>
            <w:tcW w:w="113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4</w:t>
            </w:r>
          </w:p>
        </w:tc>
        <w:tc>
          <w:tcPr>
            <w:tcW w:w="155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石英玻璃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jc w:val="center"/>
        </w:trPr>
        <w:tc>
          <w:tcPr>
            <w:tcW w:w="126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p>
        </w:tc>
        <w:tc>
          <w:tcPr>
            <w:tcW w:w="202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氢气流量计</w:t>
            </w:r>
          </w:p>
        </w:tc>
        <w:tc>
          <w:tcPr>
            <w:tcW w:w="234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w:t>
            </w:r>
          </w:p>
        </w:tc>
        <w:tc>
          <w:tcPr>
            <w:tcW w:w="113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2</w:t>
            </w:r>
          </w:p>
        </w:tc>
        <w:tc>
          <w:tcPr>
            <w:tcW w:w="155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jc w:val="center"/>
        </w:trPr>
        <w:tc>
          <w:tcPr>
            <w:tcW w:w="126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p>
        </w:tc>
        <w:tc>
          <w:tcPr>
            <w:tcW w:w="202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溴素中间罐</w:t>
            </w:r>
          </w:p>
        </w:tc>
        <w:tc>
          <w:tcPr>
            <w:tcW w:w="234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79标搪玻璃3000L，电机7.5千瓦，针轮摆线转速75-80转，搅拌形式描式搅拌。</w:t>
            </w:r>
          </w:p>
        </w:tc>
        <w:tc>
          <w:tcPr>
            <w:tcW w:w="113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1</w:t>
            </w:r>
          </w:p>
        </w:tc>
        <w:tc>
          <w:tcPr>
            <w:tcW w:w="155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搪玻璃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jc w:val="center"/>
        </w:trPr>
        <w:tc>
          <w:tcPr>
            <w:tcW w:w="126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p>
        </w:tc>
        <w:tc>
          <w:tcPr>
            <w:tcW w:w="202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溴化釜</w:t>
            </w:r>
          </w:p>
        </w:tc>
        <w:tc>
          <w:tcPr>
            <w:tcW w:w="234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79标搪玻璃1000L，电机4千瓦，针轮摆线转速75-80转，搅拌形式描式搅拌</w:t>
            </w:r>
          </w:p>
        </w:tc>
        <w:tc>
          <w:tcPr>
            <w:tcW w:w="113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1</w:t>
            </w:r>
          </w:p>
        </w:tc>
        <w:tc>
          <w:tcPr>
            <w:tcW w:w="155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搪玻璃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jc w:val="center"/>
        </w:trPr>
        <w:tc>
          <w:tcPr>
            <w:tcW w:w="126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p>
        </w:tc>
        <w:tc>
          <w:tcPr>
            <w:tcW w:w="202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玻璃冷凝器</w:t>
            </w:r>
          </w:p>
        </w:tc>
        <w:tc>
          <w:tcPr>
            <w:tcW w:w="234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w:t>
            </w:r>
          </w:p>
        </w:tc>
        <w:tc>
          <w:tcPr>
            <w:tcW w:w="113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4</w:t>
            </w:r>
          </w:p>
        </w:tc>
        <w:tc>
          <w:tcPr>
            <w:tcW w:w="155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玻璃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108" w:type="dxa"/>
            <w:bottom w:w="85" w:type="dxa"/>
            <w:right w:w="108" w:type="dxa"/>
          </w:tblCellMar>
        </w:tblPrEx>
        <w:trPr>
          <w:trHeight w:val="348" w:hRule="atLeast"/>
          <w:jc w:val="center"/>
        </w:trPr>
        <w:tc>
          <w:tcPr>
            <w:tcW w:w="1261"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lang w:val="en-US" w:eastAsia="zh-CN"/>
              </w:rPr>
            </w:pPr>
            <w:r>
              <w:rPr>
                <w:rFonts w:hint="eastAsia" w:ascii="宋体" w:hAnsi="宋体" w:eastAsia="宋体" w:cs="宋体"/>
                <w:b w:val="0"/>
                <w:bCs w:val="0"/>
                <w:caps w:val="0"/>
                <w:smallCaps w:val="0"/>
                <w:color w:val="auto"/>
                <w:spacing w:val="0"/>
                <w:sz w:val="21"/>
                <w:szCs w:val="21"/>
                <w:highlight w:val="none"/>
                <w:u w:val="none" w:color="auto"/>
                <w:lang w:val="en-US" w:eastAsia="zh-CN"/>
              </w:rPr>
              <w:t>新增公用设备</w:t>
            </w:r>
          </w:p>
        </w:tc>
        <w:tc>
          <w:tcPr>
            <w:tcW w:w="202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冷冻机</w:t>
            </w:r>
          </w:p>
        </w:tc>
        <w:tc>
          <w:tcPr>
            <w:tcW w:w="234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25万大卡，电机120千瓦氟机</w:t>
            </w:r>
          </w:p>
        </w:tc>
        <w:tc>
          <w:tcPr>
            <w:tcW w:w="113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1</w:t>
            </w:r>
          </w:p>
        </w:tc>
        <w:tc>
          <w:tcPr>
            <w:tcW w:w="155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108" w:type="dxa"/>
            <w:bottom w:w="85" w:type="dxa"/>
            <w:right w:w="108" w:type="dxa"/>
          </w:tblCellMar>
        </w:tblPrEx>
        <w:trPr>
          <w:trHeight w:val="331" w:hRule="atLeast"/>
          <w:jc w:val="center"/>
        </w:trPr>
        <w:tc>
          <w:tcPr>
            <w:tcW w:w="126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p>
        </w:tc>
        <w:tc>
          <w:tcPr>
            <w:tcW w:w="202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空压机</w:t>
            </w:r>
          </w:p>
        </w:tc>
        <w:tc>
          <w:tcPr>
            <w:tcW w:w="234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无油4缸空压机，电机7.5千瓦</w:t>
            </w:r>
          </w:p>
        </w:tc>
        <w:tc>
          <w:tcPr>
            <w:tcW w:w="113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2</w:t>
            </w:r>
          </w:p>
        </w:tc>
        <w:tc>
          <w:tcPr>
            <w:tcW w:w="155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108" w:type="dxa"/>
            <w:bottom w:w="85" w:type="dxa"/>
            <w:right w:w="108" w:type="dxa"/>
          </w:tblCellMar>
        </w:tblPrEx>
        <w:trPr>
          <w:trHeight w:val="326" w:hRule="atLeast"/>
          <w:jc w:val="center"/>
        </w:trPr>
        <w:tc>
          <w:tcPr>
            <w:tcW w:w="126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p>
        </w:tc>
        <w:tc>
          <w:tcPr>
            <w:tcW w:w="202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空分系统</w:t>
            </w:r>
          </w:p>
        </w:tc>
        <w:tc>
          <w:tcPr>
            <w:tcW w:w="234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处理规模5m</w:t>
            </w:r>
            <w:r>
              <w:rPr>
                <w:rFonts w:hint="eastAsia" w:ascii="宋体" w:hAnsi="宋体" w:eastAsia="宋体" w:cs="宋体"/>
                <w:b w:val="0"/>
                <w:bCs w:val="0"/>
                <w:caps w:val="0"/>
                <w:smallCaps w:val="0"/>
                <w:color w:val="auto"/>
                <w:spacing w:val="0"/>
                <w:sz w:val="21"/>
                <w:szCs w:val="21"/>
                <w:highlight w:val="none"/>
                <w:u w:val="none" w:color="auto"/>
                <w:vertAlign w:val="superscript"/>
              </w:rPr>
              <w:t>3</w:t>
            </w:r>
            <w:r>
              <w:rPr>
                <w:rFonts w:hint="eastAsia" w:ascii="宋体" w:hAnsi="宋体" w:eastAsia="宋体" w:cs="宋体"/>
                <w:b w:val="0"/>
                <w:bCs w:val="0"/>
                <w:caps w:val="0"/>
                <w:smallCaps w:val="0"/>
                <w:color w:val="auto"/>
                <w:spacing w:val="0"/>
                <w:sz w:val="21"/>
                <w:szCs w:val="21"/>
                <w:highlight w:val="none"/>
                <w:u w:val="none" w:color="auto"/>
              </w:rPr>
              <w:t>/h</w:t>
            </w:r>
          </w:p>
        </w:tc>
        <w:tc>
          <w:tcPr>
            <w:tcW w:w="1136"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1</w:t>
            </w:r>
          </w:p>
        </w:tc>
        <w:tc>
          <w:tcPr>
            <w:tcW w:w="1559"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firstLine="0" w:firstLineChars="0"/>
              <w:jc w:val="center"/>
              <w:textAlignment w:val="auto"/>
              <w:rPr>
                <w:rFonts w:hint="eastAsia" w:ascii="宋体" w:hAnsi="宋体" w:eastAsia="宋体" w:cs="宋体"/>
                <w:b w:val="0"/>
                <w:bCs w:val="0"/>
                <w:caps w:val="0"/>
                <w:smallCaps w:val="0"/>
                <w:color w:val="auto"/>
                <w:spacing w:val="0"/>
                <w:sz w:val="21"/>
                <w:szCs w:val="21"/>
                <w:highlight w:val="none"/>
                <w:u w:val="none" w:color="auto"/>
              </w:rPr>
            </w:pPr>
            <w:r>
              <w:rPr>
                <w:rFonts w:hint="eastAsia" w:ascii="宋体" w:hAnsi="宋体" w:eastAsia="宋体" w:cs="宋体"/>
                <w:b w:val="0"/>
                <w:bCs w:val="0"/>
                <w:caps w:val="0"/>
                <w:smallCaps w:val="0"/>
                <w:color w:val="auto"/>
                <w:spacing w:val="0"/>
                <w:sz w:val="21"/>
                <w:szCs w:val="21"/>
                <w:highlight w:val="none"/>
                <w:u w:val="none" w:color="auto"/>
              </w:rPr>
              <w:t>/</w:t>
            </w:r>
          </w:p>
        </w:tc>
      </w:tr>
    </w:tbl>
    <w:p>
      <w:pPr>
        <w:jc w:val="center"/>
        <w:rPr>
          <w:rFonts w:hint="eastAsia" w:ascii="宋体" w:hAnsi="宋体" w:eastAsia="宋体" w:cs="宋体"/>
          <w:color w:val="auto"/>
          <w:spacing w:val="0"/>
          <w:kern w:val="0"/>
          <w:sz w:val="28"/>
          <w:szCs w:val="28"/>
          <w:highlight w:val="none"/>
          <w:u w:val="none"/>
          <w:lang w:bidi="ar"/>
        </w:rPr>
      </w:pPr>
      <w:r>
        <w:rPr>
          <w:rFonts w:hint="eastAsia" w:ascii="宋体" w:hAnsi="宋体" w:eastAsia="宋体" w:cs="宋体"/>
          <w:color w:val="auto"/>
          <w:spacing w:val="0"/>
          <w:kern w:val="0"/>
          <w:sz w:val="28"/>
          <w:szCs w:val="28"/>
          <w:highlight w:val="none"/>
          <w:u w:val="none"/>
          <w:lang w:bidi="ar"/>
        </w:rPr>
        <w:t>表</w:t>
      </w:r>
      <w:r>
        <w:rPr>
          <w:rFonts w:hint="eastAsia" w:ascii="宋体" w:hAnsi="宋体" w:cs="宋体"/>
          <w:color w:val="auto"/>
          <w:spacing w:val="0"/>
          <w:kern w:val="0"/>
          <w:sz w:val="28"/>
          <w:szCs w:val="28"/>
          <w:highlight w:val="none"/>
          <w:u w:val="none"/>
          <w:lang w:val="en-US" w:eastAsia="zh-CN" w:bidi="ar"/>
        </w:rPr>
        <w:t>3</w:t>
      </w:r>
      <w:r>
        <w:rPr>
          <w:rFonts w:hint="eastAsia" w:ascii="宋体" w:hAnsi="宋体" w:eastAsia="宋体" w:cs="宋体"/>
          <w:color w:val="auto"/>
          <w:spacing w:val="0"/>
          <w:kern w:val="0"/>
          <w:sz w:val="28"/>
          <w:szCs w:val="28"/>
          <w:highlight w:val="none"/>
          <w:u w:val="none"/>
          <w:lang w:val="en-US" w:eastAsia="zh-CN" w:bidi="ar"/>
        </w:rPr>
        <w:t xml:space="preserve"> </w:t>
      </w:r>
      <w:r>
        <w:rPr>
          <w:rFonts w:hint="eastAsia" w:ascii="宋体" w:hAnsi="宋体" w:eastAsia="宋体" w:cs="宋体"/>
          <w:color w:val="auto"/>
          <w:spacing w:val="0"/>
          <w:kern w:val="0"/>
          <w:sz w:val="28"/>
          <w:szCs w:val="28"/>
          <w:highlight w:val="none"/>
          <w:u w:val="none"/>
          <w:lang w:bidi="ar"/>
        </w:rPr>
        <w:t>四溴双酚A生产设备一览表</w:t>
      </w:r>
    </w:p>
    <w:tbl>
      <w:tblPr>
        <w:tblStyle w:val="46"/>
        <w:tblW w:w="8341" w:type="dxa"/>
        <w:tblInd w:w="203"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139"/>
        <w:gridCol w:w="693"/>
        <w:gridCol w:w="939"/>
        <w:gridCol w:w="3368"/>
        <w:gridCol w:w="1202"/>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0" w:hRule="atLeast"/>
        </w:trPr>
        <w:tc>
          <w:tcPr>
            <w:tcW w:w="2139"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设备名</w:t>
            </w:r>
            <w:r>
              <w:rPr>
                <w:rFonts w:hint="eastAsia" w:ascii="宋体" w:hAnsi="宋体" w:eastAsia="宋体" w:cs="宋体"/>
                <w:color w:val="auto"/>
                <w:spacing w:val="-1"/>
                <w:sz w:val="21"/>
                <w:szCs w:val="21"/>
                <w:highlight w:val="none"/>
                <w:u w:val="none" w:color="auto"/>
              </w:rPr>
              <w:t>称</w:t>
            </w:r>
          </w:p>
        </w:tc>
        <w:tc>
          <w:tcPr>
            <w:tcW w:w="693"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3"/>
                <w:sz w:val="21"/>
                <w:szCs w:val="21"/>
                <w:highlight w:val="none"/>
                <w:u w:val="none" w:color="auto"/>
              </w:rPr>
              <w:t>数</w:t>
            </w:r>
            <w:r>
              <w:rPr>
                <w:rFonts w:hint="eastAsia" w:ascii="宋体" w:hAnsi="宋体" w:eastAsia="宋体" w:cs="宋体"/>
                <w:color w:val="auto"/>
                <w:spacing w:val="-2"/>
                <w:sz w:val="21"/>
                <w:szCs w:val="21"/>
                <w:highlight w:val="none"/>
                <w:u w:val="none" w:color="auto"/>
              </w:rPr>
              <w:t>量</w:t>
            </w:r>
          </w:p>
        </w:tc>
        <w:tc>
          <w:tcPr>
            <w:tcW w:w="939"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4"/>
                <w:sz w:val="21"/>
                <w:szCs w:val="21"/>
                <w:highlight w:val="none"/>
                <w:u w:val="none" w:color="auto"/>
              </w:rPr>
              <w:t>型</w:t>
            </w:r>
            <w:r>
              <w:rPr>
                <w:rFonts w:hint="eastAsia" w:ascii="宋体" w:hAnsi="宋体" w:eastAsia="宋体" w:cs="宋体"/>
                <w:color w:val="auto"/>
                <w:spacing w:val="-3"/>
                <w:sz w:val="21"/>
                <w:szCs w:val="21"/>
                <w:highlight w:val="none"/>
                <w:u w:val="none" w:color="auto"/>
              </w:rPr>
              <w:t>号</w:t>
            </w:r>
          </w:p>
        </w:tc>
        <w:tc>
          <w:tcPr>
            <w:tcW w:w="336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3"/>
                <w:sz w:val="21"/>
                <w:szCs w:val="21"/>
                <w:highlight w:val="none"/>
                <w:u w:val="none" w:color="auto"/>
              </w:rPr>
              <w:t>所</w:t>
            </w:r>
            <w:r>
              <w:rPr>
                <w:rFonts w:hint="eastAsia" w:ascii="宋体" w:hAnsi="宋体" w:eastAsia="宋体" w:cs="宋体"/>
                <w:color w:val="auto"/>
                <w:spacing w:val="-2"/>
                <w:sz w:val="21"/>
                <w:szCs w:val="21"/>
                <w:highlight w:val="none"/>
                <w:u w:val="none" w:color="auto"/>
              </w:rPr>
              <w:t>在工段</w:t>
            </w:r>
          </w:p>
        </w:tc>
        <w:tc>
          <w:tcPr>
            <w:tcW w:w="120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4"/>
                <w:sz w:val="21"/>
                <w:szCs w:val="21"/>
                <w:highlight w:val="none"/>
                <w:u w:val="none" w:color="auto"/>
              </w:rPr>
              <w:t>是</w:t>
            </w:r>
            <w:r>
              <w:rPr>
                <w:rFonts w:hint="eastAsia" w:ascii="宋体" w:hAnsi="宋体" w:eastAsia="宋体" w:cs="宋体"/>
                <w:color w:val="auto"/>
                <w:spacing w:val="-2"/>
                <w:sz w:val="21"/>
                <w:szCs w:val="21"/>
                <w:highlight w:val="none"/>
                <w:u w:val="none" w:color="auto"/>
              </w:rPr>
              <w:t>否新增</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4" w:hRule="atLeast"/>
        </w:trPr>
        <w:tc>
          <w:tcPr>
            <w:tcW w:w="2139"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1"/>
                <w:sz w:val="21"/>
                <w:szCs w:val="21"/>
                <w:highlight w:val="none"/>
                <w:u w:val="none" w:color="auto"/>
              </w:rPr>
              <w:t>K</w:t>
            </w:r>
            <w:r>
              <w:rPr>
                <w:rFonts w:hint="eastAsia" w:ascii="宋体" w:hAnsi="宋体" w:eastAsia="宋体" w:cs="宋体"/>
                <w:color w:val="auto"/>
                <w:spacing w:val="-2"/>
                <w:sz w:val="21"/>
                <w:szCs w:val="21"/>
                <w:highlight w:val="none"/>
                <w:u w:val="none" w:color="auto"/>
              </w:rPr>
              <w:t>3000</w:t>
            </w:r>
            <w:r>
              <w:rPr>
                <w:rFonts w:hint="eastAsia" w:ascii="宋体" w:hAnsi="宋体" w:eastAsia="宋体" w:cs="宋体"/>
                <w:color w:val="auto"/>
                <w:spacing w:val="-1"/>
                <w:sz w:val="21"/>
                <w:szCs w:val="21"/>
                <w:highlight w:val="none"/>
                <w:u w:val="none" w:color="auto"/>
              </w:rPr>
              <w:t>L反应釜</w:t>
            </w:r>
          </w:p>
        </w:tc>
        <w:tc>
          <w:tcPr>
            <w:tcW w:w="693"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1</w:t>
            </w:r>
          </w:p>
        </w:tc>
        <w:tc>
          <w:tcPr>
            <w:tcW w:w="939"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K</w:t>
            </w:r>
            <w:r>
              <w:rPr>
                <w:rFonts w:hint="eastAsia" w:ascii="宋体" w:hAnsi="宋体" w:eastAsia="宋体" w:cs="宋体"/>
                <w:color w:val="auto"/>
                <w:spacing w:val="-1"/>
                <w:sz w:val="21"/>
                <w:szCs w:val="21"/>
                <w:highlight w:val="none"/>
                <w:u w:val="none" w:color="auto"/>
              </w:rPr>
              <w:t>300</w:t>
            </w:r>
            <w:r>
              <w:rPr>
                <w:rFonts w:hint="eastAsia" w:ascii="宋体" w:hAnsi="宋体" w:eastAsia="宋体" w:cs="宋体"/>
                <w:color w:val="auto"/>
                <w:sz w:val="21"/>
                <w:szCs w:val="21"/>
                <w:highlight w:val="none"/>
                <w:u w:val="none" w:color="auto"/>
              </w:rPr>
              <w:t>0L</w:t>
            </w:r>
          </w:p>
        </w:tc>
        <w:tc>
          <w:tcPr>
            <w:tcW w:w="336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3"/>
                <w:sz w:val="21"/>
                <w:szCs w:val="21"/>
                <w:highlight w:val="none"/>
                <w:u w:val="none" w:color="auto"/>
              </w:rPr>
              <w:t>配</w:t>
            </w:r>
            <w:r>
              <w:rPr>
                <w:rFonts w:hint="eastAsia" w:ascii="宋体" w:hAnsi="宋体" w:eastAsia="宋体" w:cs="宋体"/>
                <w:color w:val="auto"/>
                <w:spacing w:val="-2"/>
                <w:sz w:val="21"/>
                <w:szCs w:val="21"/>
                <w:highlight w:val="none"/>
                <w:u w:val="none" w:color="auto"/>
              </w:rPr>
              <w:t>料</w:t>
            </w:r>
          </w:p>
        </w:tc>
        <w:tc>
          <w:tcPr>
            <w:tcW w:w="120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1" w:hRule="atLeast"/>
        </w:trPr>
        <w:tc>
          <w:tcPr>
            <w:tcW w:w="2139"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1"/>
                <w:sz w:val="21"/>
                <w:szCs w:val="21"/>
                <w:highlight w:val="none"/>
                <w:u w:val="none" w:color="auto"/>
              </w:rPr>
              <w:t>K</w:t>
            </w:r>
            <w:r>
              <w:rPr>
                <w:rFonts w:hint="eastAsia" w:ascii="宋体" w:hAnsi="宋体" w:eastAsia="宋体" w:cs="宋体"/>
                <w:color w:val="auto"/>
                <w:spacing w:val="-2"/>
                <w:sz w:val="21"/>
                <w:szCs w:val="21"/>
                <w:highlight w:val="none"/>
                <w:u w:val="none" w:color="auto"/>
              </w:rPr>
              <w:t>3000</w:t>
            </w:r>
            <w:r>
              <w:rPr>
                <w:rFonts w:hint="eastAsia" w:ascii="宋体" w:hAnsi="宋体" w:eastAsia="宋体" w:cs="宋体"/>
                <w:color w:val="auto"/>
                <w:spacing w:val="-1"/>
                <w:sz w:val="21"/>
                <w:szCs w:val="21"/>
                <w:highlight w:val="none"/>
                <w:u w:val="none" w:color="auto"/>
              </w:rPr>
              <w:t>L反应釜</w:t>
            </w:r>
          </w:p>
        </w:tc>
        <w:tc>
          <w:tcPr>
            <w:tcW w:w="693"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6</w:t>
            </w:r>
          </w:p>
        </w:tc>
        <w:tc>
          <w:tcPr>
            <w:tcW w:w="939"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K</w:t>
            </w:r>
            <w:r>
              <w:rPr>
                <w:rFonts w:hint="eastAsia" w:ascii="宋体" w:hAnsi="宋体" w:eastAsia="宋体" w:cs="宋体"/>
                <w:color w:val="auto"/>
                <w:spacing w:val="-1"/>
                <w:sz w:val="21"/>
                <w:szCs w:val="21"/>
                <w:highlight w:val="none"/>
                <w:u w:val="none" w:color="auto"/>
              </w:rPr>
              <w:t>300</w:t>
            </w:r>
            <w:r>
              <w:rPr>
                <w:rFonts w:hint="eastAsia" w:ascii="宋体" w:hAnsi="宋体" w:eastAsia="宋体" w:cs="宋体"/>
                <w:color w:val="auto"/>
                <w:sz w:val="21"/>
                <w:szCs w:val="21"/>
                <w:highlight w:val="none"/>
                <w:u w:val="none" w:color="auto"/>
              </w:rPr>
              <w:t>0L</w:t>
            </w:r>
          </w:p>
        </w:tc>
        <w:tc>
          <w:tcPr>
            <w:tcW w:w="336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3"/>
                <w:sz w:val="21"/>
                <w:szCs w:val="21"/>
                <w:highlight w:val="none"/>
                <w:u w:val="none" w:color="auto"/>
              </w:rPr>
              <w:t>合</w:t>
            </w:r>
            <w:r>
              <w:rPr>
                <w:rFonts w:hint="eastAsia" w:ascii="宋体" w:hAnsi="宋体" w:eastAsia="宋体" w:cs="宋体"/>
                <w:color w:val="auto"/>
                <w:spacing w:val="-2"/>
                <w:sz w:val="21"/>
                <w:szCs w:val="21"/>
                <w:highlight w:val="none"/>
                <w:u w:val="none" w:color="auto"/>
              </w:rPr>
              <w:t>成</w:t>
            </w:r>
          </w:p>
        </w:tc>
        <w:tc>
          <w:tcPr>
            <w:tcW w:w="120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trPr>
        <w:tc>
          <w:tcPr>
            <w:tcW w:w="2139"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1"/>
                <w:sz w:val="21"/>
                <w:szCs w:val="21"/>
                <w:highlight w:val="none"/>
                <w:u w:val="none" w:color="auto"/>
              </w:rPr>
              <w:t>K</w:t>
            </w:r>
            <w:r>
              <w:rPr>
                <w:rFonts w:hint="eastAsia" w:ascii="宋体" w:hAnsi="宋体" w:eastAsia="宋体" w:cs="宋体"/>
                <w:color w:val="auto"/>
                <w:spacing w:val="-2"/>
                <w:sz w:val="21"/>
                <w:szCs w:val="21"/>
                <w:highlight w:val="none"/>
                <w:u w:val="none" w:color="auto"/>
              </w:rPr>
              <w:t>3000</w:t>
            </w:r>
            <w:r>
              <w:rPr>
                <w:rFonts w:hint="eastAsia" w:ascii="宋体" w:hAnsi="宋体" w:eastAsia="宋体" w:cs="宋体"/>
                <w:color w:val="auto"/>
                <w:spacing w:val="-1"/>
                <w:sz w:val="21"/>
                <w:szCs w:val="21"/>
                <w:highlight w:val="none"/>
                <w:u w:val="none" w:color="auto"/>
              </w:rPr>
              <w:t>L脱色釜</w:t>
            </w:r>
          </w:p>
        </w:tc>
        <w:tc>
          <w:tcPr>
            <w:tcW w:w="693"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4</w:t>
            </w:r>
          </w:p>
        </w:tc>
        <w:tc>
          <w:tcPr>
            <w:tcW w:w="939"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K</w:t>
            </w:r>
            <w:r>
              <w:rPr>
                <w:rFonts w:hint="eastAsia" w:ascii="宋体" w:hAnsi="宋体" w:eastAsia="宋体" w:cs="宋体"/>
                <w:color w:val="auto"/>
                <w:spacing w:val="-1"/>
                <w:sz w:val="21"/>
                <w:szCs w:val="21"/>
                <w:highlight w:val="none"/>
                <w:u w:val="none" w:color="auto"/>
              </w:rPr>
              <w:t>300</w:t>
            </w:r>
            <w:r>
              <w:rPr>
                <w:rFonts w:hint="eastAsia" w:ascii="宋体" w:hAnsi="宋体" w:eastAsia="宋体" w:cs="宋体"/>
                <w:color w:val="auto"/>
                <w:sz w:val="21"/>
                <w:szCs w:val="21"/>
                <w:highlight w:val="none"/>
                <w:u w:val="none" w:color="auto"/>
              </w:rPr>
              <w:t>0L</w:t>
            </w:r>
          </w:p>
        </w:tc>
        <w:tc>
          <w:tcPr>
            <w:tcW w:w="336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脱色</w:t>
            </w:r>
          </w:p>
        </w:tc>
        <w:tc>
          <w:tcPr>
            <w:tcW w:w="120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0" w:hRule="atLeast"/>
        </w:trPr>
        <w:tc>
          <w:tcPr>
            <w:tcW w:w="2139"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3000</w:t>
            </w:r>
            <w:r>
              <w:rPr>
                <w:rFonts w:hint="eastAsia" w:ascii="宋体" w:hAnsi="宋体" w:eastAsia="宋体" w:cs="宋体"/>
                <w:color w:val="auto"/>
                <w:spacing w:val="-1"/>
                <w:sz w:val="21"/>
                <w:szCs w:val="21"/>
                <w:highlight w:val="none"/>
                <w:u w:val="none" w:color="auto"/>
              </w:rPr>
              <w:t>L</w:t>
            </w:r>
            <w:r>
              <w:rPr>
                <w:rFonts w:hint="eastAsia" w:ascii="宋体" w:hAnsi="宋体" w:eastAsia="宋体" w:cs="宋体"/>
                <w:color w:val="auto"/>
                <w:spacing w:val="-2"/>
                <w:sz w:val="21"/>
                <w:szCs w:val="21"/>
                <w:highlight w:val="none"/>
                <w:u w:val="none" w:color="auto"/>
              </w:rPr>
              <w:t>不锈钢</w:t>
            </w:r>
            <w:r>
              <w:rPr>
                <w:rFonts w:hint="eastAsia" w:ascii="宋体" w:hAnsi="宋体" w:eastAsia="宋体" w:cs="宋体"/>
                <w:color w:val="auto"/>
                <w:spacing w:val="-1"/>
                <w:sz w:val="21"/>
                <w:szCs w:val="21"/>
                <w:highlight w:val="none"/>
                <w:u w:val="none" w:color="auto"/>
              </w:rPr>
              <w:t>釜</w:t>
            </w:r>
          </w:p>
        </w:tc>
        <w:tc>
          <w:tcPr>
            <w:tcW w:w="693"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1</w:t>
            </w:r>
          </w:p>
        </w:tc>
        <w:tc>
          <w:tcPr>
            <w:tcW w:w="939"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F</w:t>
            </w:r>
            <w:r>
              <w:rPr>
                <w:rFonts w:hint="eastAsia" w:ascii="宋体" w:hAnsi="宋体" w:eastAsia="宋体" w:cs="宋体"/>
                <w:color w:val="auto"/>
                <w:spacing w:val="-1"/>
                <w:sz w:val="21"/>
                <w:szCs w:val="21"/>
                <w:highlight w:val="none"/>
                <w:u w:val="none" w:color="auto"/>
              </w:rPr>
              <w:t>300</w:t>
            </w:r>
            <w:r>
              <w:rPr>
                <w:rFonts w:hint="eastAsia" w:ascii="宋体" w:hAnsi="宋体" w:eastAsia="宋体" w:cs="宋体"/>
                <w:color w:val="auto"/>
                <w:sz w:val="21"/>
                <w:szCs w:val="21"/>
                <w:highlight w:val="none"/>
                <w:u w:val="none" w:color="auto"/>
              </w:rPr>
              <w:t>0L</w:t>
            </w:r>
          </w:p>
        </w:tc>
        <w:tc>
          <w:tcPr>
            <w:tcW w:w="336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溶</w:t>
            </w:r>
            <w:r>
              <w:rPr>
                <w:rFonts w:hint="eastAsia" w:ascii="宋体" w:hAnsi="宋体" w:eastAsia="宋体" w:cs="宋体"/>
                <w:color w:val="auto"/>
                <w:spacing w:val="-1"/>
                <w:sz w:val="21"/>
                <w:szCs w:val="21"/>
                <w:highlight w:val="none"/>
                <w:u w:val="none" w:color="auto"/>
              </w:rPr>
              <w:t>解亚硫酸钠</w:t>
            </w:r>
          </w:p>
        </w:tc>
        <w:tc>
          <w:tcPr>
            <w:tcW w:w="120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0" w:hRule="atLeast"/>
        </w:trPr>
        <w:tc>
          <w:tcPr>
            <w:tcW w:w="2139"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1"/>
                <w:sz w:val="21"/>
                <w:szCs w:val="21"/>
                <w:highlight w:val="none"/>
                <w:u w:val="none" w:color="auto"/>
              </w:rPr>
              <w:t>K</w:t>
            </w:r>
            <w:r>
              <w:rPr>
                <w:rFonts w:hint="eastAsia" w:ascii="宋体" w:hAnsi="宋体" w:eastAsia="宋体" w:cs="宋体"/>
                <w:color w:val="auto"/>
                <w:spacing w:val="-2"/>
                <w:sz w:val="21"/>
                <w:szCs w:val="21"/>
                <w:highlight w:val="none"/>
                <w:u w:val="none" w:color="auto"/>
              </w:rPr>
              <w:t>6300</w:t>
            </w:r>
            <w:r>
              <w:rPr>
                <w:rFonts w:hint="eastAsia" w:ascii="宋体" w:hAnsi="宋体" w:eastAsia="宋体" w:cs="宋体"/>
                <w:color w:val="auto"/>
                <w:spacing w:val="-1"/>
                <w:sz w:val="21"/>
                <w:szCs w:val="21"/>
                <w:highlight w:val="none"/>
                <w:u w:val="none" w:color="auto"/>
              </w:rPr>
              <w:t>L洗涤釜</w:t>
            </w:r>
          </w:p>
        </w:tc>
        <w:tc>
          <w:tcPr>
            <w:tcW w:w="693"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3</w:t>
            </w:r>
          </w:p>
        </w:tc>
        <w:tc>
          <w:tcPr>
            <w:tcW w:w="939"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K</w:t>
            </w:r>
            <w:r>
              <w:rPr>
                <w:rFonts w:hint="eastAsia" w:ascii="宋体" w:hAnsi="宋体" w:eastAsia="宋体" w:cs="宋体"/>
                <w:color w:val="auto"/>
                <w:spacing w:val="-1"/>
                <w:sz w:val="21"/>
                <w:szCs w:val="21"/>
                <w:highlight w:val="none"/>
                <w:u w:val="none" w:color="auto"/>
              </w:rPr>
              <w:t>630</w:t>
            </w:r>
            <w:r>
              <w:rPr>
                <w:rFonts w:hint="eastAsia" w:ascii="宋体" w:hAnsi="宋体" w:eastAsia="宋体" w:cs="宋体"/>
                <w:color w:val="auto"/>
                <w:sz w:val="21"/>
                <w:szCs w:val="21"/>
                <w:highlight w:val="none"/>
                <w:u w:val="none" w:color="auto"/>
              </w:rPr>
              <w:t>0L</w:t>
            </w:r>
          </w:p>
        </w:tc>
        <w:tc>
          <w:tcPr>
            <w:tcW w:w="336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3"/>
                <w:sz w:val="21"/>
                <w:szCs w:val="21"/>
                <w:highlight w:val="none"/>
                <w:u w:val="none" w:color="auto"/>
              </w:rPr>
              <w:t>洗</w:t>
            </w:r>
            <w:r>
              <w:rPr>
                <w:rFonts w:hint="eastAsia" w:ascii="宋体" w:hAnsi="宋体" w:eastAsia="宋体" w:cs="宋体"/>
                <w:color w:val="auto"/>
                <w:spacing w:val="-2"/>
                <w:sz w:val="21"/>
                <w:szCs w:val="21"/>
                <w:highlight w:val="none"/>
                <w:u w:val="none" w:color="auto"/>
              </w:rPr>
              <w:t>涤</w:t>
            </w:r>
          </w:p>
        </w:tc>
        <w:tc>
          <w:tcPr>
            <w:tcW w:w="120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是</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0" w:hRule="atLeast"/>
        </w:trPr>
        <w:tc>
          <w:tcPr>
            <w:tcW w:w="2139"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1"/>
                <w:sz w:val="21"/>
                <w:szCs w:val="21"/>
                <w:highlight w:val="none"/>
                <w:u w:val="none" w:color="auto"/>
              </w:rPr>
              <w:t>K</w:t>
            </w:r>
            <w:r>
              <w:rPr>
                <w:rFonts w:hint="eastAsia" w:ascii="宋体" w:hAnsi="宋体" w:eastAsia="宋体" w:cs="宋体"/>
                <w:color w:val="auto"/>
                <w:spacing w:val="-2"/>
                <w:sz w:val="21"/>
                <w:szCs w:val="21"/>
                <w:highlight w:val="none"/>
                <w:u w:val="none" w:color="auto"/>
              </w:rPr>
              <w:t>6300</w:t>
            </w:r>
            <w:r>
              <w:rPr>
                <w:rFonts w:hint="eastAsia" w:ascii="宋体" w:hAnsi="宋体" w:eastAsia="宋体" w:cs="宋体"/>
                <w:color w:val="auto"/>
                <w:spacing w:val="-1"/>
                <w:sz w:val="21"/>
                <w:szCs w:val="21"/>
                <w:highlight w:val="none"/>
                <w:u w:val="none" w:color="auto"/>
              </w:rPr>
              <w:t>L蒸馏釜</w:t>
            </w:r>
          </w:p>
        </w:tc>
        <w:tc>
          <w:tcPr>
            <w:tcW w:w="693"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3</w:t>
            </w:r>
          </w:p>
        </w:tc>
        <w:tc>
          <w:tcPr>
            <w:tcW w:w="939"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K</w:t>
            </w:r>
            <w:r>
              <w:rPr>
                <w:rFonts w:hint="eastAsia" w:ascii="宋体" w:hAnsi="宋体" w:eastAsia="宋体" w:cs="宋体"/>
                <w:color w:val="auto"/>
                <w:spacing w:val="-1"/>
                <w:sz w:val="21"/>
                <w:szCs w:val="21"/>
                <w:highlight w:val="none"/>
                <w:u w:val="none" w:color="auto"/>
              </w:rPr>
              <w:t>630</w:t>
            </w:r>
            <w:r>
              <w:rPr>
                <w:rFonts w:hint="eastAsia" w:ascii="宋体" w:hAnsi="宋体" w:eastAsia="宋体" w:cs="宋体"/>
                <w:color w:val="auto"/>
                <w:sz w:val="21"/>
                <w:szCs w:val="21"/>
                <w:highlight w:val="none"/>
                <w:u w:val="none" w:color="auto"/>
              </w:rPr>
              <w:t>0L</w:t>
            </w:r>
          </w:p>
        </w:tc>
        <w:tc>
          <w:tcPr>
            <w:tcW w:w="336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蒸馏</w:t>
            </w:r>
          </w:p>
        </w:tc>
        <w:tc>
          <w:tcPr>
            <w:tcW w:w="120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是</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74" w:hRule="atLeast"/>
        </w:trPr>
        <w:tc>
          <w:tcPr>
            <w:tcW w:w="2139"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500</w:t>
            </w:r>
            <w:r>
              <w:rPr>
                <w:rFonts w:hint="eastAsia" w:ascii="宋体" w:hAnsi="宋体" w:eastAsia="宋体" w:cs="宋体"/>
                <w:color w:val="auto"/>
                <w:spacing w:val="-1"/>
                <w:sz w:val="21"/>
                <w:szCs w:val="21"/>
                <w:highlight w:val="none"/>
                <w:u w:val="none" w:color="auto"/>
              </w:rPr>
              <w:t>L</w:t>
            </w:r>
            <w:r>
              <w:rPr>
                <w:rFonts w:hint="eastAsia" w:ascii="宋体" w:hAnsi="宋体" w:eastAsia="宋体" w:cs="宋体"/>
                <w:color w:val="auto"/>
                <w:spacing w:val="-2"/>
                <w:sz w:val="21"/>
                <w:szCs w:val="21"/>
                <w:highlight w:val="none"/>
                <w:u w:val="none" w:color="auto"/>
              </w:rPr>
              <w:t>二氯甲烷缓冲</w:t>
            </w:r>
            <w:r>
              <w:rPr>
                <w:rFonts w:hint="eastAsia" w:ascii="宋体" w:hAnsi="宋体" w:eastAsia="宋体" w:cs="宋体"/>
                <w:color w:val="auto"/>
                <w:spacing w:val="-1"/>
                <w:sz w:val="21"/>
                <w:szCs w:val="21"/>
                <w:highlight w:val="none"/>
                <w:u w:val="none" w:color="auto"/>
              </w:rPr>
              <w:t>罐</w:t>
            </w:r>
          </w:p>
        </w:tc>
        <w:tc>
          <w:tcPr>
            <w:tcW w:w="693"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p>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1</w:t>
            </w:r>
          </w:p>
        </w:tc>
        <w:tc>
          <w:tcPr>
            <w:tcW w:w="939"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p>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500L</w:t>
            </w:r>
          </w:p>
        </w:tc>
        <w:tc>
          <w:tcPr>
            <w:tcW w:w="336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12"/>
                <w:sz w:val="21"/>
                <w:szCs w:val="21"/>
                <w:highlight w:val="none"/>
                <w:u w:val="none" w:color="auto"/>
              </w:rPr>
              <w:t>生</w:t>
            </w:r>
            <w:r>
              <w:rPr>
                <w:rFonts w:hint="eastAsia" w:ascii="宋体" w:hAnsi="宋体" w:eastAsia="宋体" w:cs="宋体"/>
                <w:color w:val="auto"/>
                <w:spacing w:val="8"/>
                <w:sz w:val="21"/>
                <w:szCs w:val="21"/>
                <w:highlight w:val="none"/>
                <w:u w:val="none" w:color="auto"/>
              </w:rPr>
              <w:t>产</w:t>
            </w:r>
            <w:r>
              <w:rPr>
                <w:rFonts w:hint="eastAsia" w:ascii="宋体" w:hAnsi="宋体" w:eastAsia="宋体" w:cs="宋体"/>
                <w:color w:val="auto"/>
                <w:spacing w:val="6"/>
                <w:sz w:val="21"/>
                <w:szCs w:val="21"/>
                <w:highlight w:val="none"/>
                <w:u w:val="none" w:color="auto"/>
              </w:rPr>
              <w:t>线管路冲洗(生产线管路定期</w:t>
            </w:r>
          </w:p>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1"/>
                <w:sz w:val="21"/>
                <w:szCs w:val="21"/>
                <w:highlight w:val="none"/>
                <w:u w:val="none" w:color="auto"/>
              </w:rPr>
              <w:t>使用二氯甲烷进</w:t>
            </w:r>
            <w:r>
              <w:rPr>
                <w:rFonts w:hint="eastAsia" w:ascii="宋体" w:hAnsi="宋体" w:eastAsia="宋体" w:cs="宋体"/>
                <w:color w:val="auto"/>
                <w:sz w:val="21"/>
                <w:szCs w:val="21"/>
                <w:highlight w:val="none"/>
                <w:u w:val="none" w:color="auto"/>
              </w:rPr>
              <w:t>行冲洗，冲洗后的</w:t>
            </w:r>
          </w:p>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4"/>
                <w:sz w:val="21"/>
                <w:szCs w:val="21"/>
                <w:highlight w:val="none"/>
                <w:u w:val="none" w:color="auto"/>
              </w:rPr>
              <w:t>二氯甲</w:t>
            </w:r>
            <w:r>
              <w:rPr>
                <w:rFonts w:hint="eastAsia" w:ascii="宋体" w:hAnsi="宋体" w:eastAsia="宋体" w:cs="宋体"/>
                <w:color w:val="auto"/>
                <w:spacing w:val="-3"/>
                <w:sz w:val="21"/>
                <w:szCs w:val="21"/>
                <w:highlight w:val="none"/>
                <w:u w:val="none" w:color="auto"/>
              </w:rPr>
              <w:t>烷</w:t>
            </w:r>
            <w:r>
              <w:rPr>
                <w:rFonts w:hint="eastAsia" w:ascii="宋体" w:hAnsi="宋体" w:eastAsia="宋体" w:cs="宋体"/>
                <w:color w:val="auto"/>
                <w:spacing w:val="-2"/>
                <w:sz w:val="21"/>
                <w:szCs w:val="21"/>
                <w:highlight w:val="none"/>
                <w:u w:val="none" w:color="auto"/>
              </w:rPr>
              <w:t>全部进入此缓冲罐)</w:t>
            </w:r>
          </w:p>
        </w:tc>
        <w:tc>
          <w:tcPr>
            <w:tcW w:w="120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p>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1" w:hRule="atLeast"/>
        </w:trPr>
        <w:tc>
          <w:tcPr>
            <w:tcW w:w="2139"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石</w:t>
            </w:r>
            <w:r>
              <w:rPr>
                <w:rFonts w:hint="eastAsia" w:ascii="宋体" w:hAnsi="宋体" w:eastAsia="宋体" w:cs="宋体"/>
                <w:color w:val="auto"/>
                <w:spacing w:val="-1"/>
                <w:sz w:val="21"/>
                <w:szCs w:val="21"/>
                <w:highlight w:val="none"/>
                <w:u w:val="none" w:color="auto"/>
              </w:rPr>
              <w:t>墨冷凝器</w:t>
            </w:r>
          </w:p>
        </w:tc>
        <w:tc>
          <w:tcPr>
            <w:tcW w:w="693"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1</w:t>
            </w:r>
          </w:p>
        </w:tc>
        <w:tc>
          <w:tcPr>
            <w:tcW w:w="939"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31"/>
                <w:sz w:val="21"/>
                <w:szCs w:val="21"/>
                <w:highlight w:val="none"/>
                <w:u w:val="none" w:color="auto"/>
              </w:rPr>
              <w:t>30</w:t>
            </w:r>
            <w:r>
              <w:rPr>
                <w:rFonts w:hint="eastAsia" w:ascii="宋体" w:hAnsi="宋体" w:eastAsia="宋体" w:cs="宋体"/>
                <w:color w:val="auto"/>
                <w:sz w:val="21"/>
                <w:szCs w:val="21"/>
                <w:highlight w:val="none"/>
                <w:u w:val="none" w:color="auto"/>
              </w:rPr>
              <w:t>m</w:t>
            </w:r>
            <w:r>
              <w:rPr>
                <w:rFonts w:hint="eastAsia" w:ascii="宋体" w:hAnsi="宋体" w:eastAsia="宋体" w:cs="宋体"/>
                <w:color w:val="auto"/>
                <w:spacing w:val="30"/>
                <w:sz w:val="21"/>
                <w:szCs w:val="21"/>
                <w:highlight w:val="none"/>
                <w:u w:val="none" w:color="auto"/>
              </w:rPr>
              <w:t>³</w:t>
            </w:r>
          </w:p>
        </w:tc>
        <w:tc>
          <w:tcPr>
            <w:tcW w:w="336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3"/>
                <w:sz w:val="21"/>
                <w:szCs w:val="21"/>
                <w:highlight w:val="none"/>
                <w:u w:val="none" w:color="auto"/>
              </w:rPr>
              <w:t>配</w:t>
            </w:r>
            <w:r>
              <w:rPr>
                <w:rFonts w:hint="eastAsia" w:ascii="宋体" w:hAnsi="宋体" w:eastAsia="宋体" w:cs="宋体"/>
                <w:color w:val="auto"/>
                <w:spacing w:val="-2"/>
                <w:sz w:val="21"/>
                <w:szCs w:val="21"/>
                <w:highlight w:val="none"/>
                <w:u w:val="none" w:color="auto"/>
              </w:rPr>
              <w:t>料</w:t>
            </w:r>
          </w:p>
        </w:tc>
        <w:tc>
          <w:tcPr>
            <w:tcW w:w="120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trPr>
        <w:tc>
          <w:tcPr>
            <w:tcW w:w="2139"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石</w:t>
            </w:r>
            <w:r>
              <w:rPr>
                <w:rFonts w:hint="eastAsia" w:ascii="宋体" w:hAnsi="宋体" w:eastAsia="宋体" w:cs="宋体"/>
                <w:color w:val="auto"/>
                <w:spacing w:val="-1"/>
                <w:sz w:val="21"/>
                <w:szCs w:val="21"/>
                <w:highlight w:val="none"/>
                <w:u w:val="none" w:color="auto"/>
              </w:rPr>
              <w:t>墨冷凝器</w:t>
            </w:r>
          </w:p>
        </w:tc>
        <w:tc>
          <w:tcPr>
            <w:tcW w:w="693"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6</w:t>
            </w:r>
          </w:p>
        </w:tc>
        <w:tc>
          <w:tcPr>
            <w:tcW w:w="939"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31"/>
                <w:sz w:val="21"/>
                <w:szCs w:val="21"/>
                <w:highlight w:val="none"/>
                <w:u w:val="none" w:color="auto"/>
              </w:rPr>
              <w:t>30</w:t>
            </w:r>
            <w:r>
              <w:rPr>
                <w:rFonts w:hint="eastAsia" w:ascii="宋体" w:hAnsi="宋体" w:eastAsia="宋体" w:cs="宋体"/>
                <w:color w:val="auto"/>
                <w:sz w:val="21"/>
                <w:szCs w:val="21"/>
                <w:highlight w:val="none"/>
                <w:u w:val="none" w:color="auto"/>
              </w:rPr>
              <w:t>m</w:t>
            </w:r>
            <w:r>
              <w:rPr>
                <w:rFonts w:hint="eastAsia" w:ascii="宋体" w:hAnsi="宋体" w:eastAsia="宋体" w:cs="宋体"/>
                <w:color w:val="auto"/>
                <w:spacing w:val="30"/>
                <w:sz w:val="21"/>
                <w:szCs w:val="21"/>
                <w:highlight w:val="none"/>
                <w:u w:val="none" w:color="auto"/>
              </w:rPr>
              <w:t>³</w:t>
            </w:r>
          </w:p>
        </w:tc>
        <w:tc>
          <w:tcPr>
            <w:tcW w:w="336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3"/>
                <w:sz w:val="21"/>
                <w:szCs w:val="21"/>
                <w:highlight w:val="none"/>
                <w:u w:val="none" w:color="auto"/>
              </w:rPr>
              <w:t>合</w:t>
            </w:r>
            <w:r>
              <w:rPr>
                <w:rFonts w:hint="eastAsia" w:ascii="宋体" w:hAnsi="宋体" w:eastAsia="宋体" w:cs="宋体"/>
                <w:color w:val="auto"/>
                <w:spacing w:val="-2"/>
                <w:sz w:val="21"/>
                <w:szCs w:val="21"/>
                <w:highlight w:val="none"/>
                <w:u w:val="none" w:color="auto"/>
              </w:rPr>
              <w:t>成</w:t>
            </w:r>
          </w:p>
        </w:tc>
        <w:tc>
          <w:tcPr>
            <w:tcW w:w="120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0" w:hRule="atLeast"/>
        </w:trPr>
        <w:tc>
          <w:tcPr>
            <w:tcW w:w="2139"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石</w:t>
            </w:r>
            <w:r>
              <w:rPr>
                <w:rFonts w:hint="eastAsia" w:ascii="宋体" w:hAnsi="宋体" w:eastAsia="宋体" w:cs="宋体"/>
                <w:color w:val="auto"/>
                <w:spacing w:val="-1"/>
                <w:sz w:val="21"/>
                <w:szCs w:val="21"/>
                <w:highlight w:val="none"/>
                <w:u w:val="none" w:color="auto"/>
              </w:rPr>
              <w:t>墨冷凝器</w:t>
            </w:r>
          </w:p>
        </w:tc>
        <w:tc>
          <w:tcPr>
            <w:tcW w:w="693"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7</w:t>
            </w:r>
          </w:p>
        </w:tc>
        <w:tc>
          <w:tcPr>
            <w:tcW w:w="939"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33"/>
                <w:sz w:val="21"/>
                <w:szCs w:val="21"/>
                <w:highlight w:val="none"/>
                <w:u w:val="none" w:color="auto"/>
              </w:rPr>
              <w:t>2</w:t>
            </w:r>
            <w:r>
              <w:rPr>
                <w:rFonts w:hint="eastAsia" w:ascii="宋体" w:hAnsi="宋体" w:eastAsia="宋体" w:cs="宋体"/>
                <w:color w:val="auto"/>
                <w:spacing w:val="32"/>
                <w:sz w:val="21"/>
                <w:szCs w:val="21"/>
                <w:highlight w:val="none"/>
                <w:u w:val="none" w:color="auto"/>
              </w:rPr>
              <w:t>0</w:t>
            </w:r>
            <w:r>
              <w:rPr>
                <w:rFonts w:hint="eastAsia" w:ascii="宋体" w:hAnsi="宋体" w:eastAsia="宋体" w:cs="宋体"/>
                <w:color w:val="auto"/>
                <w:sz w:val="21"/>
                <w:szCs w:val="21"/>
                <w:highlight w:val="none"/>
                <w:u w:val="none" w:color="auto"/>
              </w:rPr>
              <w:t>m</w:t>
            </w:r>
            <w:r>
              <w:rPr>
                <w:rFonts w:hint="eastAsia" w:ascii="宋体" w:hAnsi="宋体" w:eastAsia="宋体" w:cs="宋体"/>
                <w:color w:val="auto"/>
                <w:spacing w:val="32"/>
                <w:sz w:val="21"/>
                <w:szCs w:val="21"/>
                <w:highlight w:val="none"/>
                <w:u w:val="none" w:color="auto"/>
              </w:rPr>
              <w:t>³</w:t>
            </w:r>
          </w:p>
        </w:tc>
        <w:tc>
          <w:tcPr>
            <w:tcW w:w="336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脱</w:t>
            </w:r>
            <w:r>
              <w:rPr>
                <w:rFonts w:hint="eastAsia" w:ascii="宋体" w:hAnsi="宋体" w:eastAsia="宋体" w:cs="宋体"/>
                <w:color w:val="auto"/>
                <w:spacing w:val="-1"/>
                <w:sz w:val="21"/>
                <w:szCs w:val="21"/>
                <w:highlight w:val="none"/>
                <w:u w:val="none" w:color="auto"/>
              </w:rPr>
              <w:t>色、洗涤</w:t>
            </w:r>
          </w:p>
        </w:tc>
        <w:tc>
          <w:tcPr>
            <w:tcW w:w="120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1" w:hRule="atLeast"/>
        </w:trPr>
        <w:tc>
          <w:tcPr>
            <w:tcW w:w="2139"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石</w:t>
            </w:r>
            <w:r>
              <w:rPr>
                <w:rFonts w:hint="eastAsia" w:ascii="宋体" w:hAnsi="宋体" w:eastAsia="宋体" w:cs="宋体"/>
                <w:color w:val="auto"/>
                <w:spacing w:val="-1"/>
                <w:sz w:val="21"/>
                <w:szCs w:val="21"/>
                <w:highlight w:val="none"/>
                <w:u w:val="none" w:color="auto"/>
              </w:rPr>
              <w:t>墨冷凝器</w:t>
            </w:r>
          </w:p>
        </w:tc>
        <w:tc>
          <w:tcPr>
            <w:tcW w:w="693"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1</w:t>
            </w:r>
          </w:p>
        </w:tc>
        <w:tc>
          <w:tcPr>
            <w:tcW w:w="939"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33"/>
                <w:sz w:val="21"/>
                <w:szCs w:val="21"/>
                <w:highlight w:val="none"/>
                <w:u w:val="none" w:color="auto"/>
              </w:rPr>
              <w:t>2</w:t>
            </w:r>
            <w:r>
              <w:rPr>
                <w:rFonts w:hint="eastAsia" w:ascii="宋体" w:hAnsi="宋体" w:eastAsia="宋体" w:cs="宋体"/>
                <w:color w:val="auto"/>
                <w:spacing w:val="32"/>
                <w:sz w:val="21"/>
                <w:szCs w:val="21"/>
                <w:highlight w:val="none"/>
                <w:u w:val="none" w:color="auto"/>
              </w:rPr>
              <w:t>0</w:t>
            </w:r>
            <w:r>
              <w:rPr>
                <w:rFonts w:hint="eastAsia" w:ascii="宋体" w:hAnsi="宋体" w:eastAsia="宋体" w:cs="宋体"/>
                <w:color w:val="auto"/>
                <w:sz w:val="21"/>
                <w:szCs w:val="21"/>
                <w:highlight w:val="none"/>
                <w:u w:val="none" w:color="auto"/>
              </w:rPr>
              <w:t>m</w:t>
            </w:r>
            <w:r>
              <w:rPr>
                <w:rFonts w:hint="eastAsia" w:ascii="宋体" w:hAnsi="宋体" w:eastAsia="宋体" w:cs="宋体"/>
                <w:color w:val="auto"/>
                <w:spacing w:val="32"/>
                <w:sz w:val="21"/>
                <w:szCs w:val="21"/>
                <w:highlight w:val="none"/>
                <w:u w:val="none" w:color="auto"/>
              </w:rPr>
              <w:t>³</w:t>
            </w:r>
          </w:p>
        </w:tc>
        <w:tc>
          <w:tcPr>
            <w:tcW w:w="336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排空</w:t>
            </w:r>
          </w:p>
        </w:tc>
        <w:tc>
          <w:tcPr>
            <w:tcW w:w="120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9" w:hRule="atLeast"/>
        </w:trPr>
        <w:tc>
          <w:tcPr>
            <w:tcW w:w="2139"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不锈钢</w:t>
            </w:r>
            <w:r>
              <w:rPr>
                <w:rFonts w:hint="eastAsia" w:ascii="宋体" w:hAnsi="宋体" w:eastAsia="宋体" w:cs="宋体"/>
                <w:color w:val="auto"/>
                <w:spacing w:val="-1"/>
                <w:sz w:val="21"/>
                <w:szCs w:val="21"/>
                <w:highlight w:val="none"/>
                <w:u w:val="none" w:color="auto"/>
              </w:rPr>
              <w:t>冷凝器</w:t>
            </w:r>
          </w:p>
        </w:tc>
        <w:tc>
          <w:tcPr>
            <w:tcW w:w="693"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3</w:t>
            </w:r>
          </w:p>
        </w:tc>
        <w:tc>
          <w:tcPr>
            <w:tcW w:w="939"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31"/>
                <w:sz w:val="21"/>
                <w:szCs w:val="21"/>
                <w:highlight w:val="none"/>
                <w:u w:val="none" w:color="auto"/>
              </w:rPr>
              <w:t>30</w:t>
            </w:r>
            <w:r>
              <w:rPr>
                <w:rFonts w:hint="eastAsia" w:ascii="宋体" w:hAnsi="宋体" w:eastAsia="宋体" w:cs="宋体"/>
                <w:color w:val="auto"/>
                <w:sz w:val="21"/>
                <w:szCs w:val="21"/>
                <w:highlight w:val="none"/>
                <w:u w:val="none" w:color="auto"/>
              </w:rPr>
              <w:t>m</w:t>
            </w:r>
            <w:r>
              <w:rPr>
                <w:rFonts w:hint="eastAsia" w:ascii="宋体" w:hAnsi="宋体" w:eastAsia="宋体" w:cs="宋体"/>
                <w:color w:val="auto"/>
                <w:spacing w:val="30"/>
                <w:sz w:val="21"/>
                <w:szCs w:val="21"/>
                <w:highlight w:val="none"/>
                <w:u w:val="none" w:color="auto"/>
              </w:rPr>
              <w:t>³</w:t>
            </w:r>
          </w:p>
        </w:tc>
        <w:tc>
          <w:tcPr>
            <w:tcW w:w="336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蒸馏</w:t>
            </w:r>
          </w:p>
        </w:tc>
        <w:tc>
          <w:tcPr>
            <w:tcW w:w="120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trPr>
        <w:tc>
          <w:tcPr>
            <w:tcW w:w="2139"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3"/>
                <w:sz w:val="21"/>
                <w:szCs w:val="21"/>
                <w:highlight w:val="none"/>
                <w:u w:val="none" w:color="auto"/>
              </w:rPr>
              <w:t>双</w:t>
            </w:r>
            <w:r>
              <w:rPr>
                <w:rFonts w:hint="eastAsia" w:ascii="宋体" w:hAnsi="宋体" w:eastAsia="宋体" w:cs="宋体"/>
                <w:color w:val="auto"/>
                <w:spacing w:val="-2"/>
                <w:sz w:val="21"/>
                <w:szCs w:val="21"/>
                <w:highlight w:val="none"/>
                <w:u w:val="none" w:color="auto"/>
              </w:rPr>
              <w:t>锥干燥</w:t>
            </w:r>
          </w:p>
        </w:tc>
        <w:tc>
          <w:tcPr>
            <w:tcW w:w="693"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2</w:t>
            </w:r>
          </w:p>
        </w:tc>
        <w:tc>
          <w:tcPr>
            <w:tcW w:w="939"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1"/>
                <w:sz w:val="21"/>
                <w:szCs w:val="21"/>
                <w:highlight w:val="none"/>
                <w:u w:val="none" w:color="auto"/>
              </w:rPr>
              <w:t>400</w:t>
            </w:r>
            <w:r>
              <w:rPr>
                <w:rFonts w:hint="eastAsia" w:ascii="宋体" w:hAnsi="宋体" w:eastAsia="宋体" w:cs="宋体"/>
                <w:color w:val="auto"/>
                <w:sz w:val="21"/>
                <w:szCs w:val="21"/>
                <w:highlight w:val="none"/>
                <w:u w:val="none" w:color="auto"/>
              </w:rPr>
              <w:t>0L</w:t>
            </w:r>
          </w:p>
        </w:tc>
        <w:tc>
          <w:tcPr>
            <w:tcW w:w="336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烘干</w:t>
            </w:r>
          </w:p>
        </w:tc>
        <w:tc>
          <w:tcPr>
            <w:tcW w:w="120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6" w:hRule="atLeast"/>
        </w:trPr>
        <w:tc>
          <w:tcPr>
            <w:tcW w:w="2139"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双氧水储罐</w:t>
            </w:r>
          </w:p>
        </w:tc>
        <w:tc>
          <w:tcPr>
            <w:tcW w:w="693"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1</w:t>
            </w:r>
          </w:p>
        </w:tc>
        <w:tc>
          <w:tcPr>
            <w:tcW w:w="939"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34"/>
                <w:sz w:val="21"/>
                <w:szCs w:val="21"/>
                <w:highlight w:val="none"/>
                <w:u w:val="none" w:color="auto"/>
              </w:rPr>
              <w:t>4</w:t>
            </w:r>
            <w:r>
              <w:rPr>
                <w:rFonts w:hint="eastAsia" w:ascii="宋体" w:hAnsi="宋体" w:eastAsia="宋体" w:cs="宋体"/>
                <w:color w:val="auto"/>
                <w:spacing w:val="32"/>
                <w:sz w:val="21"/>
                <w:szCs w:val="21"/>
                <w:highlight w:val="none"/>
                <w:u w:val="none" w:color="auto"/>
              </w:rPr>
              <w:t>0</w:t>
            </w:r>
            <w:r>
              <w:rPr>
                <w:rFonts w:hint="eastAsia" w:ascii="宋体" w:hAnsi="宋体" w:eastAsia="宋体" w:cs="宋体"/>
                <w:color w:val="auto"/>
                <w:sz w:val="21"/>
                <w:szCs w:val="21"/>
                <w:highlight w:val="none"/>
                <w:u w:val="none" w:color="auto"/>
              </w:rPr>
              <w:t>m</w:t>
            </w:r>
            <w:r>
              <w:rPr>
                <w:rFonts w:hint="eastAsia" w:ascii="宋体" w:hAnsi="宋体" w:eastAsia="宋体" w:cs="宋体"/>
                <w:color w:val="auto"/>
                <w:spacing w:val="32"/>
                <w:sz w:val="21"/>
                <w:szCs w:val="21"/>
                <w:highlight w:val="none"/>
                <w:u w:val="none" w:color="auto"/>
              </w:rPr>
              <w:t>³</w:t>
            </w:r>
          </w:p>
        </w:tc>
        <w:tc>
          <w:tcPr>
            <w:tcW w:w="336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w:t>
            </w:r>
          </w:p>
        </w:tc>
        <w:tc>
          <w:tcPr>
            <w:tcW w:w="120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是</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4" w:hRule="atLeast"/>
        </w:trPr>
        <w:tc>
          <w:tcPr>
            <w:tcW w:w="2139"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二氯甲烷储罐</w:t>
            </w:r>
          </w:p>
        </w:tc>
        <w:tc>
          <w:tcPr>
            <w:tcW w:w="693"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1</w:t>
            </w:r>
          </w:p>
        </w:tc>
        <w:tc>
          <w:tcPr>
            <w:tcW w:w="939"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34"/>
                <w:sz w:val="21"/>
                <w:szCs w:val="21"/>
                <w:highlight w:val="none"/>
                <w:u w:val="none" w:color="auto"/>
              </w:rPr>
              <w:t>4</w:t>
            </w:r>
            <w:r>
              <w:rPr>
                <w:rFonts w:hint="eastAsia" w:ascii="宋体" w:hAnsi="宋体" w:eastAsia="宋体" w:cs="宋体"/>
                <w:color w:val="auto"/>
                <w:spacing w:val="32"/>
                <w:sz w:val="21"/>
                <w:szCs w:val="21"/>
                <w:highlight w:val="none"/>
                <w:u w:val="none" w:color="auto"/>
              </w:rPr>
              <w:t>0</w:t>
            </w:r>
            <w:r>
              <w:rPr>
                <w:rFonts w:hint="eastAsia" w:ascii="宋体" w:hAnsi="宋体" w:eastAsia="宋体" w:cs="宋体"/>
                <w:color w:val="auto"/>
                <w:sz w:val="21"/>
                <w:szCs w:val="21"/>
                <w:highlight w:val="none"/>
                <w:u w:val="none" w:color="auto"/>
              </w:rPr>
              <w:t>m</w:t>
            </w:r>
            <w:r>
              <w:rPr>
                <w:rFonts w:hint="eastAsia" w:ascii="宋体" w:hAnsi="宋体" w:eastAsia="宋体" w:cs="宋体"/>
                <w:color w:val="auto"/>
                <w:spacing w:val="32"/>
                <w:sz w:val="21"/>
                <w:szCs w:val="21"/>
                <w:highlight w:val="none"/>
                <w:u w:val="none" w:color="auto"/>
              </w:rPr>
              <w:t>³</w:t>
            </w:r>
          </w:p>
        </w:tc>
        <w:tc>
          <w:tcPr>
            <w:tcW w:w="336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w:t>
            </w:r>
          </w:p>
        </w:tc>
        <w:tc>
          <w:tcPr>
            <w:tcW w:w="120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是</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0" w:hRule="atLeast"/>
        </w:trPr>
        <w:tc>
          <w:tcPr>
            <w:tcW w:w="2139"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双氧水缓</w:t>
            </w:r>
            <w:r>
              <w:rPr>
                <w:rFonts w:hint="eastAsia" w:ascii="宋体" w:hAnsi="宋体" w:eastAsia="宋体" w:cs="宋体"/>
                <w:color w:val="auto"/>
                <w:spacing w:val="-1"/>
                <w:sz w:val="21"/>
                <w:szCs w:val="21"/>
                <w:highlight w:val="none"/>
                <w:u w:val="none" w:color="auto"/>
              </w:rPr>
              <w:t>冲罐</w:t>
            </w:r>
          </w:p>
        </w:tc>
        <w:tc>
          <w:tcPr>
            <w:tcW w:w="693"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1</w:t>
            </w:r>
          </w:p>
        </w:tc>
        <w:tc>
          <w:tcPr>
            <w:tcW w:w="939"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8"/>
                <w:sz w:val="21"/>
                <w:szCs w:val="21"/>
                <w:highlight w:val="none"/>
                <w:u w:val="none" w:color="auto"/>
              </w:rPr>
              <w:t>1</w:t>
            </w:r>
            <w:r>
              <w:rPr>
                <w:rFonts w:hint="eastAsia" w:ascii="宋体" w:hAnsi="宋体" w:eastAsia="宋体" w:cs="宋体"/>
                <w:color w:val="auto"/>
                <w:spacing w:val="-4"/>
                <w:sz w:val="21"/>
                <w:szCs w:val="21"/>
                <w:highlight w:val="none"/>
                <w:u w:val="none" w:color="auto"/>
              </w:rPr>
              <w:t>000L</w:t>
            </w:r>
          </w:p>
        </w:tc>
        <w:tc>
          <w:tcPr>
            <w:tcW w:w="336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3"/>
                <w:sz w:val="21"/>
                <w:szCs w:val="21"/>
                <w:highlight w:val="none"/>
                <w:u w:val="none" w:color="auto"/>
              </w:rPr>
              <w:t>合</w:t>
            </w:r>
            <w:r>
              <w:rPr>
                <w:rFonts w:hint="eastAsia" w:ascii="宋体" w:hAnsi="宋体" w:eastAsia="宋体" w:cs="宋体"/>
                <w:color w:val="auto"/>
                <w:spacing w:val="-2"/>
                <w:sz w:val="21"/>
                <w:szCs w:val="21"/>
                <w:highlight w:val="none"/>
                <w:u w:val="none" w:color="auto"/>
              </w:rPr>
              <w:t>成</w:t>
            </w:r>
          </w:p>
        </w:tc>
        <w:tc>
          <w:tcPr>
            <w:tcW w:w="120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6" w:hRule="atLeast"/>
        </w:trPr>
        <w:tc>
          <w:tcPr>
            <w:tcW w:w="2139"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二氯甲</w:t>
            </w:r>
            <w:r>
              <w:rPr>
                <w:rFonts w:hint="eastAsia" w:ascii="宋体" w:hAnsi="宋体" w:eastAsia="宋体" w:cs="宋体"/>
                <w:color w:val="auto"/>
                <w:spacing w:val="-1"/>
                <w:sz w:val="21"/>
                <w:szCs w:val="21"/>
                <w:highlight w:val="none"/>
                <w:u w:val="none" w:color="auto"/>
              </w:rPr>
              <w:t>烷缓冲罐</w:t>
            </w:r>
          </w:p>
        </w:tc>
        <w:tc>
          <w:tcPr>
            <w:tcW w:w="693"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2</w:t>
            </w:r>
          </w:p>
        </w:tc>
        <w:tc>
          <w:tcPr>
            <w:tcW w:w="939"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8"/>
                <w:sz w:val="21"/>
                <w:szCs w:val="21"/>
                <w:highlight w:val="none"/>
                <w:u w:val="none" w:color="auto"/>
              </w:rPr>
              <w:t>1</w:t>
            </w:r>
            <w:r>
              <w:rPr>
                <w:rFonts w:hint="eastAsia" w:ascii="宋体" w:hAnsi="宋体" w:eastAsia="宋体" w:cs="宋体"/>
                <w:color w:val="auto"/>
                <w:spacing w:val="-4"/>
                <w:sz w:val="21"/>
                <w:szCs w:val="21"/>
                <w:highlight w:val="none"/>
                <w:u w:val="none" w:color="auto"/>
              </w:rPr>
              <w:t>000L</w:t>
            </w:r>
          </w:p>
        </w:tc>
        <w:tc>
          <w:tcPr>
            <w:tcW w:w="336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3"/>
                <w:sz w:val="21"/>
                <w:szCs w:val="21"/>
                <w:highlight w:val="none"/>
                <w:u w:val="none" w:color="auto"/>
              </w:rPr>
              <w:t>合</w:t>
            </w:r>
            <w:r>
              <w:rPr>
                <w:rFonts w:hint="eastAsia" w:ascii="宋体" w:hAnsi="宋体" w:eastAsia="宋体" w:cs="宋体"/>
                <w:color w:val="auto"/>
                <w:spacing w:val="-2"/>
                <w:sz w:val="21"/>
                <w:szCs w:val="21"/>
                <w:highlight w:val="none"/>
                <w:u w:val="none" w:color="auto"/>
              </w:rPr>
              <w:t>成</w:t>
            </w:r>
          </w:p>
        </w:tc>
        <w:tc>
          <w:tcPr>
            <w:tcW w:w="120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trPr>
        <w:tc>
          <w:tcPr>
            <w:tcW w:w="2139"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亚硫酸钠缓</w:t>
            </w:r>
            <w:r>
              <w:rPr>
                <w:rFonts w:hint="eastAsia" w:ascii="宋体" w:hAnsi="宋体" w:eastAsia="宋体" w:cs="宋体"/>
                <w:color w:val="auto"/>
                <w:spacing w:val="-1"/>
                <w:sz w:val="21"/>
                <w:szCs w:val="21"/>
                <w:highlight w:val="none"/>
                <w:u w:val="none" w:color="auto"/>
              </w:rPr>
              <w:t>冲罐</w:t>
            </w:r>
          </w:p>
        </w:tc>
        <w:tc>
          <w:tcPr>
            <w:tcW w:w="693"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1</w:t>
            </w:r>
          </w:p>
        </w:tc>
        <w:tc>
          <w:tcPr>
            <w:tcW w:w="939"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8"/>
                <w:sz w:val="21"/>
                <w:szCs w:val="21"/>
                <w:highlight w:val="none"/>
                <w:u w:val="none" w:color="auto"/>
              </w:rPr>
              <w:t>1</w:t>
            </w:r>
            <w:r>
              <w:rPr>
                <w:rFonts w:hint="eastAsia" w:ascii="宋体" w:hAnsi="宋体" w:eastAsia="宋体" w:cs="宋体"/>
                <w:color w:val="auto"/>
                <w:spacing w:val="-4"/>
                <w:sz w:val="21"/>
                <w:szCs w:val="21"/>
                <w:highlight w:val="none"/>
                <w:u w:val="none" w:color="auto"/>
              </w:rPr>
              <w:t>000L</w:t>
            </w:r>
          </w:p>
        </w:tc>
        <w:tc>
          <w:tcPr>
            <w:tcW w:w="336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脱色</w:t>
            </w:r>
          </w:p>
        </w:tc>
        <w:tc>
          <w:tcPr>
            <w:tcW w:w="120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9" w:hRule="atLeast"/>
        </w:trPr>
        <w:tc>
          <w:tcPr>
            <w:tcW w:w="2139"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亚硫酸钠缓</w:t>
            </w:r>
            <w:r>
              <w:rPr>
                <w:rFonts w:hint="eastAsia" w:ascii="宋体" w:hAnsi="宋体" w:eastAsia="宋体" w:cs="宋体"/>
                <w:color w:val="auto"/>
                <w:spacing w:val="-1"/>
                <w:sz w:val="21"/>
                <w:szCs w:val="21"/>
                <w:highlight w:val="none"/>
                <w:u w:val="none" w:color="auto"/>
              </w:rPr>
              <w:t>冲罐</w:t>
            </w:r>
          </w:p>
        </w:tc>
        <w:tc>
          <w:tcPr>
            <w:tcW w:w="693"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1</w:t>
            </w:r>
          </w:p>
        </w:tc>
        <w:tc>
          <w:tcPr>
            <w:tcW w:w="939"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8"/>
                <w:sz w:val="21"/>
                <w:szCs w:val="21"/>
                <w:highlight w:val="none"/>
                <w:u w:val="none" w:color="auto"/>
              </w:rPr>
              <w:t>1</w:t>
            </w:r>
            <w:r>
              <w:rPr>
                <w:rFonts w:hint="eastAsia" w:ascii="宋体" w:hAnsi="宋体" w:eastAsia="宋体" w:cs="宋体"/>
                <w:color w:val="auto"/>
                <w:spacing w:val="-4"/>
                <w:sz w:val="21"/>
                <w:szCs w:val="21"/>
                <w:highlight w:val="none"/>
                <w:u w:val="none" w:color="auto"/>
              </w:rPr>
              <w:t>000L</w:t>
            </w:r>
          </w:p>
        </w:tc>
        <w:tc>
          <w:tcPr>
            <w:tcW w:w="336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3"/>
                <w:sz w:val="21"/>
                <w:szCs w:val="21"/>
                <w:highlight w:val="none"/>
                <w:u w:val="none" w:color="auto"/>
              </w:rPr>
              <w:t>洗</w:t>
            </w:r>
            <w:r>
              <w:rPr>
                <w:rFonts w:hint="eastAsia" w:ascii="宋体" w:hAnsi="宋体" w:eastAsia="宋体" w:cs="宋体"/>
                <w:color w:val="auto"/>
                <w:spacing w:val="-2"/>
                <w:sz w:val="21"/>
                <w:szCs w:val="21"/>
                <w:highlight w:val="none"/>
                <w:u w:val="none" w:color="auto"/>
              </w:rPr>
              <w:t>涤</w:t>
            </w:r>
          </w:p>
        </w:tc>
        <w:tc>
          <w:tcPr>
            <w:tcW w:w="120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0" w:hRule="atLeast"/>
        </w:trPr>
        <w:tc>
          <w:tcPr>
            <w:tcW w:w="2139"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1"/>
                <w:sz w:val="21"/>
                <w:szCs w:val="21"/>
                <w:highlight w:val="none"/>
                <w:u w:val="none" w:color="auto"/>
              </w:rPr>
              <w:t>W</w:t>
            </w:r>
            <w:r>
              <w:rPr>
                <w:rFonts w:hint="eastAsia" w:ascii="宋体" w:hAnsi="宋体" w:eastAsia="宋体" w:cs="宋体"/>
                <w:color w:val="auto"/>
                <w:spacing w:val="-2"/>
                <w:sz w:val="21"/>
                <w:szCs w:val="21"/>
                <w:highlight w:val="none"/>
                <w:u w:val="none" w:color="auto"/>
              </w:rPr>
              <w:t>4真</w:t>
            </w:r>
            <w:r>
              <w:rPr>
                <w:rFonts w:hint="eastAsia" w:ascii="宋体" w:hAnsi="宋体" w:eastAsia="宋体" w:cs="宋体"/>
                <w:color w:val="auto"/>
                <w:spacing w:val="-1"/>
                <w:sz w:val="21"/>
                <w:szCs w:val="21"/>
                <w:highlight w:val="none"/>
                <w:u w:val="none" w:color="auto"/>
              </w:rPr>
              <w:t>空泵</w:t>
            </w:r>
          </w:p>
        </w:tc>
        <w:tc>
          <w:tcPr>
            <w:tcW w:w="693"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2</w:t>
            </w:r>
          </w:p>
        </w:tc>
        <w:tc>
          <w:tcPr>
            <w:tcW w:w="939"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5"/>
                <w:sz w:val="21"/>
                <w:szCs w:val="21"/>
                <w:highlight w:val="none"/>
                <w:u w:val="none" w:color="auto"/>
              </w:rPr>
              <w:t>1</w:t>
            </w:r>
            <w:r>
              <w:rPr>
                <w:rFonts w:hint="eastAsia" w:ascii="宋体" w:hAnsi="宋体" w:eastAsia="宋体" w:cs="宋体"/>
                <w:color w:val="auto"/>
                <w:spacing w:val="-4"/>
                <w:sz w:val="21"/>
                <w:szCs w:val="21"/>
                <w:highlight w:val="none"/>
                <w:u w:val="none" w:color="auto"/>
              </w:rPr>
              <w:t>00L/S</w:t>
            </w:r>
          </w:p>
        </w:tc>
        <w:tc>
          <w:tcPr>
            <w:tcW w:w="336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烘干</w:t>
            </w:r>
          </w:p>
        </w:tc>
        <w:tc>
          <w:tcPr>
            <w:tcW w:w="120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是</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5" w:hRule="atLeast"/>
        </w:trPr>
        <w:tc>
          <w:tcPr>
            <w:tcW w:w="2139"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纯水</w:t>
            </w:r>
            <w:r>
              <w:rPr>
                <w:rFonts w:hint="eastAsia" w:ascii="宋体" w:hAnsi="宋体" w:eastAsia="宋体" w:cs="宋体"/>
                <w:color w:val="auto"/>
                <w:spacing w:val="-1"/>
                <w:sz w:val="21"/>
                <w:szCs w:val="21"/>
                <w:highlight w:val="none"/>
                <w:u w:val="none" w:color="auto"/>
              </w:rPr>
              <w:t>罐</w:t>
            </w:r>
          </w:p>
        </w:tc>
        <w:tc>
          <w:tcPr>
            <w:tcW w:w="693"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1</w:t>
            </w:r>
          </w:p>
        </w:tc>
        <w:tc>
          <w:tcPr>
            <w:tcW w:w="939"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46"/>
                <w:sz w:val="21"/>
                <w:szCs w:val="21"/>
                <w:highlight w:val="none"/>
                <w:u w:val="none" w:color="auto"/>
              </w:rPr>
              <w:t>3</w:t>
            </w:r>
            <w:r>
              <w:rPr>
                <w:rFonts w:hint="eastAsia" w:ascii="宋体" w:hAnsi="宋体" w:eastAsia="宋体" w:cs="宋体"/>
                <w:color w:val="auto"/>
                <w:sz w:val="21"/>
                <w:szCs w:val="21"/>
                <w:highlight w:val="none"/>
                <w:u w:val="none" w:color="auto"/>
              </w:rPr>
              <w:t>m</w:t>
            </w:r>
            <w:r>
              <w:rPr>
                <w:rFonts w:hint="eastAsia" w:ascii="宋体" w:hAnsi="宋体" w:eastAsia="宋体" w:cs="宋体"/>
                <w:color w:val="auto"/>
                <w:spacing w:val="45"/>
                <w:sz w:val="21"/>
                <w:szCs w:val="21"/>
                <w:highlight w:val="none"/>
                <w:u w:val="none" w:color="auto"/>
              </w:rPr>
              <w:t>³</w:t>
            </w:r>
          </w:p>
        </w:tc>
        <w:tc>
          <w:tcPr>
            <w:tcW w:w="336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w:t>
            </w:r>
          </w:p>
        </w:tc>
        <w:tc>
          <w:tcPr>
            <w:tcW w:w="120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是</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4" w:hRule="atLeast"/>
        </w:trPr>
        <w:tc>
          <w:tcPr>
            <w:tcW w:w="2139"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溴素</w:t>
            </w:r>
            <w:r>
              <w:rPr>
                <w:rFonts w:hint="eastAsia" w:ascii="宋体" w:hAnsi="宋体" w:eastAsia="宋体" w:cs="宋体"/>
                <w:color w:val="auto"/>
                <w:spacing w:val="-1"/>
                <w:sz w:val="21"/>
                <w:szCs w:val="21"/>
                <w:highlight w:val="none"/>
                <w:u w:val="none" w:color="auto"/>
              </w:rPr>
              <w:t>滴加罐</w:t>
            </w:r>
          </w:p>
        </w:tc>
        <w:tc>
          <w:tcPr>
            <w:tcW w:w="693"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6</w:t>
            </w:r>
          </w:p>
        </w:tc>
        <w:tc>
          <w:tcPr>
            <w:tcW w:w="939"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1"/>
                <w:sz w:val="21"/>
                <w:szCs w:val="21"/>
                <w:highlight w:val="none"/>
                <w:u w:val="none" w:color="auto"/>
              </w:rPr>
              <w:t>200L</w:t>
            </w:r>
          </w:p>
        </w:tc>
        <w:tc>
          <w:tcPr>
            <w:tcW w:w="336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w:t>
            </w:r>
          </w:p>
        </w:tc>
        <w:tc>
          <w:tcPr>
            <w:tcW w:w="120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1" w:hRule="atLeast"/>
        </w:trPr>
        <w:tc>
          <w:tcPr>
            <w:tcW w:w="2139"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尾气吸收</w:t>
            </w:r>
            <w:r>
              <w:rPr>
                <w:rFonts w:hint="eastAsia" w:ascii="宋体" w:hAnsi="宋体" w:eastAsia="宋体" w:cs="宋体"/>
                <w:color w:val="auto"/>
                <w:spacing w:val="-1"/>
                <w:sz w:val="21"/>
                <w:szCs w:val="21"/>
                <w:highlight w:val="none"/>
                <w:u w:val="none" w:color="auto"/>
              </w:rPr>
              <w:t>罐</w:t>
            </w:r>
          </w:p>
        </w:tc>
        <w:tc>
          <w:tcPr>
            <w:tcW w:w="693"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2</w:t>
            </w:r>
          </w:p>
        </w:tc>
        <w:tc>
          <w:tcPr>
            <w:tcW w:w="939"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4"/>
                <w:sz w:val="21"/>
                <w:szCs w:val="21"/>
                <w:highlight w:val="none"/>
                <w:u w:val="none" w:color="auto"/>
              </w:rPr>
              <w:t>8</w:t>
            </w:r>
            <w:r>
              <w:rPr>
                <w:rFonts w:hint="eastAsia" w:ascii="宋体" w:hAnsi="宋体" w:eastAsia="宋体" w:cs="宋体"/>
                <w:color w:val="auto"/>
                <w:spacing w:val="-2"/>
                <w:sz w:val="21"/>
                <w:szCs w:val="21"/>
                <w:highlight w:val="none"/>
                <w:u w:val="none" w:color="auto"/>
              </w:rPr>
              <w:t>00L</w:t>
            </w:r>
          </w:p>
        </w:tc>
        <w:tc>
          <w:tcPr>
            <w:tcW w:w="336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溴素</w:t>
            </w:r>
            <w:r>
              <w:rPr>
                <w:rFonts w:hint="eastAsia" w:ascii="宋体" w:hAnsi="宋体" w:eastAsia="宋体" w:cs="宋体"/>
                <w:color w:val="auto"/>
                <w:spacing w:val="-1"/>
                <w:sz w:val="21"/>
                <w:szCs w:val="21"/>
                <w:highlight w:val="none"/>
                <w:u w:val="none" w:color="auto"/>
              </w:rPr>
              <w:t>滴加罐排空</w:t>
            </w:r>
          </w:p>
        </w:tc>
        <w:tc>
          <w:tcPr>
            <w:tcW w:w="120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是</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trPr>
        <w:tc>
          <w:tcPr>
            <w:tcW w:w="2139"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5"/>
                <w:sz w:val="21"/>
                <w:szCs w:val="21"/>
                <w:highlight w:val="none"/>
                <w:u w:val="none" w:color="auto"/>
              </w:rPr>
              <w:t>离</w:t>
            </w:r>
            <w:r>
              <w:rPr>
                <w:rFonts w:hint="eastAsia" w:ascii="宋体" w:hAnsi="宋体" w:eastAsia="宋体" w:cs="宋体"/>
                <w:color w:val="auto"/>
                <w:spacing w:val="-3"/>
                <w:sz w:val="21"/>
                <w:szCs w:val="21"/>
                <w:highlight w:val="none"/>
                <w:u w:val="none" w:color="auto"/>
              </w:rPr>
              <w:t>心泵</w:t>
            </w:r>
          </w:p>
        </w:tc>
        <w:tc>
          <w:tcPr>
            <w:tcW w:w="693"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4</w:t>
            </w:r>
          </w:p>
        </w:tc>
        <w:tc>
          <w:tcPr>
            <w:tcW w:w="939"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1"/>
                <w:sz w:val="21"/>
                <w:szCs w:val="21"/>
                <w:highlight w:val="none"/>
                <w:u w:val="none" w:color="auto"/>
              </w:rPr>
              <w:t>2.2k</w:t>
            </w:r>
            <w:r>
              <w:rPr>
                <w:rFonts w:hint="eastAsia" w:ascii="宋体" w:hAnsi="宋体" w:eastAsia="宋体" w:cs="宋体"/>
                <w:color w:val="auto"/>
                <w:sz w:val="21"/>
                <w:szCs w:val="21"/>
                <w:highlight w:val="none"/>
                <w:u w:val="none" w:color="auto"/>
              </w:rPr>
              <w:t>w</w:t>
            </w:r>
          </w:p>
        </w:tc>
        <w:tc>
          <w:tcPr>
            <w:tcW w:w="336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w:t>
            </w:r>
          </w:p>
        </w:tc>
        <w:tc>
          <w:tcPr>
            <w:tcW w:w="120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是</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0" w:hRule="atLeast"/>
        </w:trPr>
        <w:tc>
          <w:tcPr>
            <w:tcW w:w="2139"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5"/>
                <w:sz w:val="21"/>
                <w:szCs w:val="21"/>
                <w:highlight w:val="none"/>
                <w:u w:val="none" w:color="auto"/>
              </w:rPr>
              <w:t>离</w:t>
            </w:r>
            <w:r>
              <w:rPr>
                <w:rFonts w:hint="eastAsia" w:ascii="宋体" w:hAnsi="宋体" w:eastAsia="宋体" w:cs="宋体"/>
                <w:color w:val="auto"/>
                <w:spacing w:val="-3"/>
                <w:sz w:val="21"/>
                <w:szCs w:val="21"/>
                <w:highlight w:val="none"/>
                <w:u w:val="none" w:color="auto"/>
              </w:rPr>
              <w:t>心泵</w:t>
            </w:r>
          </w:p>
        </w:tc>
        <w:tc>
          <w:tcPr>
            <w:tcW w:w="693"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1</w:t>
            </w:r>
          </w:p>
        </w:tc>
        <w:tc>
          <w:tcPr>
            <w:tcW w:w="939"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6"/>
                <w:sz w:val="21"/>
                <w:szCs w:val="21"/>
                <w:highlight w:val="none"/>
                <w:u w:val="none" w:color="auto"/>
              </w:rPr>
              <w:t>15kw</w:t>
            </w:r>
          </w:p>
        </w:tc>
        <w:tc>
          <w:tcPr>
            <w:tcW w:w="336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1"/>
                <w:sz w:val="21"/>
                <w:szCs w:val="21"/>
                <w:highlight w:val="none"/>
                <w:u w:val="none" w:color="auto"/>
              </w:rPr>
              <w:t>封闭式二合一过滤器</w:t>
            </w:r>
            <w:r>
              <w:rPr>
                <w:rFonts w:hint="eastAsia" w:ascii="宋体" w:hAnsi="宋体" w:eastAsia="宋体" w:cs="宋体"/>
                <w:color w:val="auto"/>
                <w:sz w:val="21"/>
                <w:szCs w:val="21"/>
                <w:highlight w:val="none"/>
                <w:u w:val="none" w:color="auto"/>
              </w:rPr>
              <w:t>进料</w:t>
            </w:r>
          </w:p>
        </w:tc>
        <w:tc>
          <w:tcPr>
            <w:tcW w:w="120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是</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1" w:hRule="atLeast"/>
        </w:trPr>
        <w:tc>
          <w:tcPr>
            <w:tcW w:w="2139"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1"/>
                <w:sz w:val="21"/>
                <w:szCs w:val="21"/>
                <w:highlight w:val="none"/>
                <w:u w:val="none" w:color="auto"/>
              </w:rPr>
              <w:t>封闭式二合一过滤器</w:t>
            </w:r>
          </w:p>
        </w:tc>
        <w:tc>
          <w:tcPr>
            <w:tcW w:w="693"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1</w:t>
            </w:r>
          </w:p>
        </w:tc>
        <w:tc>
          <w:tcPr>
            <w:tcW w:w="939"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w:t>
            </w:r>
          </w:p>
        </w:tc>
        <w:tc>
          <w:tcPr>
            <w:tcW w:w="336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w:t>
            </w:r>
          </w:p>
        </w:tc>
        <w:tc>
          <w:tcPr>
            <w:tcW w:w="120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是</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5" w:hRule="atLeast"/>
        </w:trPr>
        <w:tc>
          <w:tcPr>
            <w:tcW w:w="2139"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1"/>
                <w:sz w:val="21"/>
                <w:szCs w:val="21"/>
                <w:highlight w:val="none"/>
                <w:u w:val="none" w:color="auto"/>
              </w:rPr>
              <w:t>RO</w:t>
            </w:r>
            <w:r>
              <w:rPr>
                <w:rFonts w:hint="eastAsia" w:ascii="宋体" w:hAnsi="宋体" w:eastAsia="宋体" w:cs="宋体"/>
                <w:color w:val="auto"/>
                <w:spacing w:val="-2"/>
                <w:sz w:val="21"/>
                <w:szCs w:val="21"/>
                <w:highlight w:val="none"/>
                <w:u w:val="none" w:color="auto"/>
              </w:rPr>
              <w:t>反渗</w:t>
            </w:r>
            <w:r>
              <w:rPr>
                <w:rFonts w:hint="eastAsia" w:ascii="宋体" w:hAnsi="宋体" w:eastAsia="宋体" w:cs="宋体"/>
                <w:color w:val="auto"/>
                <w:spacing w:val="-1"/>
                <w:sz w:val="21"/>
                <w:szCs w:val="21"/>
                <w:highlight w:val="none"/>
                <w:u w:val="none" w:color="auto"/>
              </w:rPr>
              <w:t>透纯水装置</w:t>
            </w:r>
          </w:p>
        </w:tc>
        <w:tc>
          <w:tcPr>
            <w:tcW w:w="693"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1</w:t>
            </w:r>
          </w:p>
        </w:tc>
        <w:tc>
          <w:tcPr>
            <w:tcW w:w="939"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1"/>
                <w:sz w:val="21"/>
                <w:szCs w:val="21"/>
                <w:highlight w:val="none"/>
                <w:u w:val="none" w:color="auto"/>
              </w:rPr>
              <w:t>4</w:t>
            </w:r>
            <w:r>
              <w:rPr>
                <w:rFonts w:hint="eastAsia" w:ascii="宋体" w:hAnsi="宋体" w:eastAsia="宋体" w:cs="宋体"/>
                <w:color w:val="auto"/>
                <w:sz w:val="21"/>
                <w:szCs w:val="21"/>
                <w:highlight w:val="none"/>
                <w:u w:val="none" w:color="auto"/>
                <w:lang w:eastAsia="zh-CN"/>
              </w:rPr>
              <w:t>m³</w:t>
            </w:r>
            <w:r>
              <w:rPr>
                <w:rFonts w:hint="eastAsia" w:ascii="宋体" w:hAnsi="宋体" w:eastAsia="宋体" w:cs="宋体"/>
                <w:color w:val="auto"/>
                <w:sz w:val="21"/>
                <w:szCs w:val="21"/>
                <w:highlight w:val="none"/>
                <w:u w:val="none" w:color="auto"/>
              </w:rPr>
              <w:t>/h</w:t>
            </w:r>
          </w:p>
        </w:tc>
        <w:tc>
          <w:tcPr>
            <w:tcW w:w="336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w:t>
            </w:r>
          </w:p>
        </w:tc>
        <w:tc>
          <w:tcPr>
            <w:tcW w:w="120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是</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19" w:hRule="atLeast"/>
        </w:trPr>
        <w:tc>
          <w:tcPr>
            <w:tcW w:w="2139"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p>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溴素储</w:t>
            </w:r>
            <w:r>
              <w:rPr>
                <w:rFonts w:hint="eastAsia" w:ascii="宋体" w:hAnsi="宋体" w:eastAsia="宋体" w:cs="宋体"/>
                <w:color w:val="auto"/>
                <w:spacing w:val="-1"/>
                <w:sz w:val="21"/>
                <w:szCs w:val="21"/>
                <w:highlight w:val="none"/>
                <w:u w:val="none" w:color="auto"/>
              </w:rPr>
              <w:t>罐</w:t>
            </w:r>
          </w:p>
        </w:tc>
        <w:tc>
          <w:tcPr>
            <w:tcW w:w="693"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p>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1</w:t>
            </w:r>
          </w:p>
        </w:tc>
        <w:tc>
          <w:tcPr>
            <w:tcW w:w="939"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p>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49"/>
                <w:sz w:val="21"/>
                <w:szCs w:val="21"/>
                <w:highlight w:val="none"/>
                <w:u w:val="none" w:color="auto"/>
              </w:rPr>
              <w:t>4</w:t>
            </w:r>
            <w:r>
              <w:rPr>
                <w:rFonts w:hint="eastAsia" w:ascii="宋体" w:hAnsi="宋体" w:eastAsia="宋体" w:cs="宋体"/>
                <w:color w:val="auto"/>
                <w:sz w:val="21"/>
                <w:szCs w:val="21"/>
                <w:highlight w:val="none"/>
                <w:u w:val="none" w:color="auto"/>
              </w:rPr>
              <w:t>m</w:t>
            </w:r>
            <w:r>
              <w:rPr>
                <w:rFonts w:hint="eastAsia" w:ascii="宋体" w:hAnsi="宋体" w:eastAsia="宋体" w:cs="宋体"/>
                <w:color w:val="auto"/>
                <w:spacing w:val="48"/>
                <w:sz w:val="21"/>
                <w:szCs w:val="21"/>
                <w:highlight w:val="none"/>
                <w:u w:val="none" w:color="auto"/>
              </w:rPr>
              <w:t>³</w:t>
            </w:r>
          </w:p>
        </w:tc>
        <w:tc>
          <w:tcPr>
            <w:tcW w:w="336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p>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w:t>
            </w:r>
          </w:p>
        </w:tc>
        <w:tc>
          <w:tcPr>
            <w:tcW w:w="120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3"/>
                <w:sz w:val="21"/>
                <w:szCs w:val="21"/>
                <w:highlight w:val="none"/>
                <w:u w:val="none" w:color="auto"/>
              </w:rPr>
              <w:t>否</w:t>
            </w:r>
            <w:r>
              <w:rPr>
                <w:rFonts w:hint="eastAsia" w:ascii="宋体" w:hAnsi="宋体" w:eastAsia="宋体" w:cs="宋体"/>
                <w:color w:val="auto"/>
                <w:spacing w:val="-2"/>
                <w:sz w:val="21"/>
                <w:szCs w:val="21"/>
                <w:highlight w:val="none"/>
                <w:u w:val="none" w:color="auto"/>
              </w:rPr>
              <w:t>，利用</w:t>
            </w:r>
            <w:r>
              <w:rPr>
                <w:rFonts w:hint="eastAsia" w:ascii="宋体" w:hAnsi="宋体" w:eastAsia="宋体" w:cs="宋体"/>
                <w:color w:val="auto"/>
                <w:spacing w:val="-3"/>
                <w:sz w:val="21"/>
                <w:szCs w:val="21"/>
                <w:highlight w:val="none"/>
                <w:u w:val="none" w:color="auto"/>
              </w:rPr>
              <w:t>溴</w:t>
            </w:r>
            <w:r>
              <w:rPr>
                <w:rFonts w:hint="eastAsia" w:ascii="宋体" w:hAnsi="宋体" w:eastAsia="宋体" w:cs="宋体"/>
                <w:color w:val="auto"/>
                <w:spacing w:val="-2"/>
                <w:sz w:val="21"/>
                <w:szCs w:val="21"/>
                <w:highlight w:val="none"/>
                <w:u w:val="none" w:color="auto"/>
              </w:rPr>
              <w:t>化氢乙</w:t>
            </w:r>
            <w:r>
              <w:rPr>
                <w:rFonts w:hint="eastAsia" w:ascii="宋体" w:hAnsi="宋体" w:eastAsia="宋体" w:cs="宋体"/>
                <w:color w:val="auto"/>
                <w:spacing w:val="-3"/>
                <w:sz w:val="21"/>
                <w:szCs w:val="21"/>
                <w:highlight w:val="none"/>
                <w:u w:val="none" w:color="auto"/>
              </w:rPr>
              <w:t>酸</w:t>
            </w:r>
            <w:r>
              <w:rPr>
                <w:rFonts w:hint="eastAsia" w:ascii="宋体" w:hAnsi="宋体" w:eastAsia="宋体" w:cs="宋体"/>
                <w:color w:val="auto"/>
                <w:spacing w:val="-2"/>
                <w:sz w:val="21"/>
                <w:szCs w:val="21"/>
                <w:highlight w:val="none"/>
                <w:u w:val="none" w:color="auto"/>
              </w:rPr>
              <w:t>溶液生线备</w:t>
            </w:r>
            <w:r>
              <w:rPr>
                <w:rFonts w:hint="eastAsia" w:ascii="宋体" w:hAnsi="宋体" w:eastAsia="宋体" w:cs="宋体"/>
                <w:color w:val="auto"/>
                <w:spacing w:val="-1"/>
                <w:sz w:val="21"/>
                <w:szCs w:val="21"/>
                <w:highlight w:val="none"/>
                <w:u w:val="none" w:color="auto"/>
              </w:rPr>
              <w:t>用</w:t>
            </w:r>
            <w:r>
              <w:rPr>
                <w:rFonts w:hint="eastAsia" w:ascii="宋体" w:hAnsi="宋体" w:eastAsia="宋体" w:cs="宋体"/>
                <w:color w:val="auto"/>
                <w:spacing w:val="-2"/>
                <w:sz w:val="21"/>
                <w:szCs w:val="21"/>
                <w:highlight w:val="none"/>
                <w:u w:val="none" w:color="auto"/>
              </w:rPr>
              <w:t>储罐</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9" w:hRule="atLeast"/>
        </w:trPr>
        <w:tc>
          <w:tcPr>
            <w:tcW w:w="2139" w:type="dxa"/>
            <w:tcBorders>
              <w:tl2br w:val="nil"/>
              <w:tr2bl w:val="nil"/>
            </w:tcBorders>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3"/>
                <w:sz w:val="21"/>
                <w:szCs w:val="21"/>
                <w:highlight w:val="none"/>
                <w:u w:val="none" w:color="auto"/>
              </w:rPr>
              <w:t>打</w:t>
            </w:r>
            <w:r>
              <w:rPr>
                <w:rFonts w:hint="eastAsia" w:ascii="宋体" w:hAnsi="宋体" w:eastAsia="宋体" w:cs="宋体"/>
                <w:color w:val="auto"/>
                <w:spacing w:val="-2"/>
                <w:sz w:val="21"/>
                <w:szCs w:val="21"/>
                <w:highlight w:val="none"/>
                <w:u w:val="none" w:color="auto"/>
              </w:rPr>
              <w:t>料泵</w:t>
            </w:r>
          </w:p>
        </w:tc>
        <w:tc>
          <w:tcPr>
            <w:tcW w:w="693" w:type="dxa"/>
            <w:tcBorders>
              <w:tl2br w:val="nil"/>
              <w:tr2bl w:val="nil"/>
            </w:tcBorders>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1</w:t>
            </w:r>
          </w:p>
        </w:tc>
        <w:tc>
          <w:tcPr>
            <w:tcW w:w="939" w:type="dxa"/>
            <w:tcBorders>
              <w:tl2br w:val="nil"/>
              <w:tr2bl w:val="nil"/>
            </w:tcBorders>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5.5kw</w:t>
            </w:r>
          </w:p>
        </w:tc>
        <w:tc>
          <w:tcPr>
            <w:tcW w:w="3368" w:type="dxa"/>
            <w:tcBorders>
              <w:tl2br w:val="nil"/>
              <w:tr2bl w:val="nil"/>
            </w:tcBorders>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lang w:eastAsia="zh-CN"/>
              </w:rPr>
            </w:pPr>
            <w:r>
              <w:rPr>
                <w:rFonts w:hint="eastAsia" w:ascii="宋体" w:hAnsi="宋体" w:eastAsia="宋体" w:cs="宋体"/>
                <w:color w:val="auto"/>
                <w:spacing w:val="10"/>
                <w:sz w:val="21"/>
                <w:szCs w:val="21"/>
                <w:highlight w:val="none"/>
                <w:u w:val="none" w:color="auto"/>
              </w:rPr>
              <w:t>配</w:t>
            </w:r>
            <w:r>
              <w:rPr>
                <w:rFonts w:hint="eastAsia" w:ascii="宋体" w:hAnsi="宋体" w:eastAsia="宋体" w:cs="宋体"/>
                <w:color w:val="auto"/>
                <w:spacing w:val="9"/>
                <w:sz w:val="21"/>
                <w:szCs w:val="21"/>
                <w:highlight w:val="none"/>
                <w:u w:val="none" w:color="auto"/>
              </w:rPr>
              <w:t>料</w:t>
            </w:r>
            <w:r>
              <w:rPr>
                <w:rFonts w:hint="eastAsia" w:ascii="宋体" w:hAnsi="宋体" w:eastAsia="宋体" w:cs="宋体"/>
                <w:color w:val="auto"/>
                <w:spacing w:val="5"/>
                <w:sz w:val="21"/>
                <w:szCs w:val="21"/>
                <w:highlight w:val="none"/>
                <w:u w:val="none" w:color="auto"/>
              </w:rPr>
              <w:t>(配料釜向反应釜打料)</w:t>
            </w:r>
          </w:p>
        </w:tc>
        <w:tc>
          <w:tcPr>
            <w:tcW w:w="1202" w:type="dxa"/>
            <w:tcBorders>
              <w:tl2br w:val="nil"/>
              <w:tr2bl w:val="nil"/>
            </w:tcBorders>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是</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0" w:hRule="atLeast"/>
        </w:trPr>
        <w:tc>
          <w:tcPr>
            <w:tcW w:w="2139" w:type="dxa"/>
            <w:tcBorders>
              <w:tl2br w:val="nil"/>
              <w:tr2bl w:val="nil"/>
            </w:tcBorders>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转料</w:t>
            </w:r>
            <w:r>
              <w:rPr>
                <w:rFonts w:hint="eastAsia" w:ascii="宋体" w:hAnsi="宋体" w:eastAsia="宋体" w:cs="宋体"/>
                <w:color w:val="auto"/>
                <w:spacing w:val="-1"/>
                <w:sz w:val="21"/>
                <w:szCs w:val="21"/>
                <w:highlight w:val="none"/>
                <w:u w:val="none" w:color="auto"/>
              </w:rPr>
              <w:t>泵</w:t>
            </w:r>
          </w:p>
        </w:tc>
        <w:tc>
          <w:tcPr>
            <w:tcW w:w="693" w:type="dxa"/>
            <w:tcBorders>
              <w:tl2br w:val="nil"/>
              <w:tr2bl w:val="nil"/>
            </w:tcBorders>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1</w:t>
            </w:r>
          </w:p>
        </w:tc>
        <w:tc>
          <w:tcPr>
            <w:tcW w:w="939" w:type="dxa"/>
            <w:tcBorders>
              <w:tl2br w:val="nil"/>
              <w:tr2bl w:val="nil"/>
            </w:tcBorders>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7.</w:t>
            </w:r>
            <w:r>
              <w:rPr>
                <w:rFonts w:hint="eastAsia" w:ascii="宋体" w:hAnsi="宋体" w:eastAsia="宋体" w:cs="宋体"/>
                <w:color w:val="auto"/>
                <w:spacing w:val="-1"/>
                <w:sz w:val="21"/>
                <w:szCs w:val="21"/>
                <w:highlight w:val="none"/>
                <w:u w:val="none" w:color="auto"/>
              </w:rPr>
              <w:t>5kw</w:t>
            </w:r>
          </w:p>
        </w:tc>
        <w:tc>
          <w:tcPr>
            <w:tcW w:w="3368" w:type="dxa"/>
            <w:tcBorders>
              <w:tl2br w:val="nil"/>
              <w:tr2bl w:val="nil"/>
            </w:tcBorders>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lang w:eastAsia="zh-CN"/>
              </w:rPr>
            </w:pPr>
            <w:r>
              <w:rPr>
                <w:rFonts w:hint="eastAsia" w:ascii="宋体" w:hAnsi="宋体" w:eastAsia="宋体" w:cs="宋体"/>
                <w:color w:val="auto"/>
                <w:spacing w:val="10"/>
                <w:sz w:val="21"/>
                <w:szCs w:val="21"/>
                <w:highlight w:val="none"/>
                <w:u w:val="none" w:color="auto"/>
              </w:rPr>
              <w:t>反</w:t>
            </w:r>
            <w:r>
              <w:rPr>
                <w:rFonts w:hint="eastAsia" w:ascii="宋体" w:hAnsi="宋体" w:eastAsia="宋体" w:cs="宋体"/>
                <w:color w:val="auto"/>
                <w:spacing w:val="8"/>
                <w:sz w:val="21"/>
                <w:szCs w:val="21"/>
                <w:highlight w:val="none"/>
                <w:u w:val="none" w:color="auto"/>
              </w:rPr>
              <w:t>应</w:t>
            </w:r>
            <w:r>
              <w:rPr>
                <w:rFonts w:hint="eastAsia" w:ascii="宋体" w:hAnsi="宋体" w:eastAsia="宋体" w:cs="宋体"/>
                <w:color w:val="auto"/>
                <w:spacing w:val="5"/>
                <w:sz w:val="21"/>
                <w:szCs w:val="21"/>
                <w:highlight w:val="none"/>
                <w:u w:val="none" w:color="auto"/>
              </w:rPr>
              <w:t>(反应釜向脱色釜转料)</w:t>
            </w:r>
          </w:p>
        </w:tc>
        <w:tc>
          <w:tcPr>
            <w:tcW w:w="1202" w:type="dxa"/>
            <w:tcBorders>
              <w:tl2br w:val="nil"/>
              <w:tr2bl w:val="nil"/>
            </w:tcBorders>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是</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9" w:hRule="atLeast"/>
        </w:trPr>
        <w:tc>
          <w:tcPr>
            <w:tcW w:w="2139" w:type="dxa"/>
            <w:tcBorders>
              <w:tl2br w:val="nil"/>
              <w:tr2bl w:val="nil"/>
            </w:tcBorders>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3"/>
                <w:sz w:val="21"/>
                <w:szCs w:val="21"/>
                <w:highlight w:val="none"/>
                <w:u w:val="none" w:color="auto"/>
              </w:rPr>
              <w:t>打</w:t>
            </w:r>
            <w:r>
              <w:rPr>
                <w:rFonts w:hint="eastAsia" w:ascii="宋体" w:hAnsi="宋体" w:eastAsia="宋体" w:cs="宋体"/>
                <w:color w:val="auto"/>
                <w:spacing w:val="-2"/>
                <w:sz w:val="21"/>
                <w:szCs w:val="21"/>
                <w:highlight w:val="none"/>
                <w:u w:val="none" w:color="auto"/>
              </w:rPr>
              <w:t>料泵</w:t>
            </w:r>
          </w:p>
        </w:tc>
        <w:tc>
          <w:tcPr>
            <w:tcW w:w="693" w:type="dxa"/>
            <w:tcBorders>
              <w:tl2br w:val="nil"/>
              <w:tr2bl w:val="nil"/>
            </w:tcBorders>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1</w:t>
            </w:r>
          </w:p>
        </w:tc>
        <w:tc>
          <w:tcPr>
            <w:tcW w:w="939" w:type="dxa"/>
            <w:tcBorders>
              <w:tl2br w:val="nil"/>
              <w:tr2bl w:val="nil"/>
            </w:tcBorders>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5.5kw</w:t>
            </w:r>
          </w:p>
        </w:tc>
        <w:tc>
          <w:tcPr>
            <w:tcW w:w="3368" w:type="dxa"/>
            <w:tcBorders>
              <w:tl2br w:val="nil"/>
              <w:tr2bl w:val="nil"/>
            </w:tcBorders>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lang w:eastAsia="zh-CN"/>
              </w:rPr>
            </w:pPr>
            <w:r>
              <w:rPr>
                <w:rFonts w:hint="eastAsia" w:ascii="宋体" w:hAnsi="宋体" w:eastAsia="宋体" w:cs="宋体"/>
                <w:color w:val="auto"/>
                <w:spacing w:val="7"/>
                <w:sz w:val="21"/>
                <w:szCs w:val="21"/>
                <w:highlight w:val="none"/>
                <w:u w:val="none" w:color="auto"/>
              </w:rPr>
              <w:t>脱</w:t>
            </w:r>
            <w:r>
              <w:rPr>
                <w:rFonts w:hint="eastAsia" w:ascii="宋体" w:hAnsi="宋体" w:eastAsia="宋体" w:cs="宋体"/>
                <w:color w:val="auto"/>
                <w:spacing w:val="5"/>
                <w:sz w:val="21"/>
                <w:szCs w:val="21"/>
                <w:highlight w:val="none"/>
                <w:u w:val="none" w:color="auto"/>
              </w:rPr>
              <w:t>色(亚硫酸钠溶液泵入脱色釜)</w:t>
            </w:r>
          </w:p>
        </w:tc>
        <w:tc>
          <w:tcPr>
            <w:tcW w:w="1202" w:type="dxa"/>
            <w:tcBorders>
              <w:tl2br w:val="nil"/>
              <w:tr2bl w:val="nil"/>
            </w:tcBorders>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是</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trPr>
        <w:tc>
          <w:tcPr>
            <w:tcW w:w="2139" w:type="dxa"/>
            <w:tcBorders>
              <w:tl2br w:val="nil"/>
              <w:tr2bl w:val="nil"/>
            </w:tcBorders>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二氯甲</w:t>
            </w:r>
            <w:r>
              <w:rPr>
                <w:rFonts w:hint="eastAsia" w:ascii="宋体" w:hAnsi="宋体" w:eastAsia="宋体" w:cs="宋体"/>
                <w:color w:val="auto"/>
                <w:spacing w:val="-1"/>
                <w:sz w:val="21"/>
                <w:szCs w:val="21"/>
                <w:highlight w:val="none"/>
                <w:u w:val="none" w:color="auto"/>
              </w:rPr>
              <w:t>烷上料泵</w:t>
            </w:r>
          </w:p>
        </w:tc>
        <w:tc>
          <w:tcPr>
            <w:tcW w:w="693" w:type="dxa"/>
            <w:tcBorders>
              <w:tl2br w:val="nil"/>
              <w:tr2bl w:val="nil"/>
            </w:tcBorders>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1</w:t>
            </w:r>
          </w:p>
        </w:tc>
        <w:tc>
          <w:tcPr>
            <w:tcW w:w="939" w:type="dxa"/>
            <w:tcBorders>
              <w:tl2br w:val="nil"/>
              <w:tr2bl w:val="nil"/>
            </w:tcBorders>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3k</w:t>
            </w:r>
            <w:r>
              <w:rPr>
                <w:rFonts w:hint="eastAsia" w:ascii="宋体" w:hAnsi="宋体" w:eastAsia="宋体" w:cs="宋体"/>
                <w:color w:val="auto"/>
                <w:spacing w:val="-1"/>
                <w:sz w:val="21"/>
                <w:szCs w:val="21"/>
                <w:highlight w:val="none"/>
                <w:u w:val="none" w:color="auto"/>
              </w:rPr>
              <w:t>w</w:t>
            </w:r>
          </w:p>
        </w:tc>
        <w:tc>
          <w:tcPr>
            <w:tcW w:w="3368" w:type="dxa"/>
            <w:tcBorders>
              <w:tl2br w:val="nil"/>
              <w:tr2bl w:val="nil"/>
            </w:tcBorders>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w:t>
            </w:r>
          </w:p>
        </w:tc>
        <w:tc>
          <w:tcPr>
            <w:tcW w:w="1202" w:type="dxa"/>
            <w:tcBorders>
              <w:tl2br w:val="nil"/>
              <w:tr2bl w:val="nil"/>
            </w:tcBorders>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是</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0" w:hRule="atLeast"/>
        </w:trPr>
        <w:tc>
          <w:tcPr>
            <w:tcW w:w="2139" w:type="dxa"/>
            <w:tcBorders>
              <w:tl2br w:val="nil"/>
              <w:tr2bl w:val="nil"/>
            </w:tcBorders>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双氧水上</w:t>
            </w:r>
            <w:r>
              <w:rPr>
                <w:rFonts w:hint="eastAsia" w:ascii="宋体" w:hAnsi="宋体" w:eastAsia="宋体" w:cs="宋体"/>
                <w:color w:val="auto"/>
                <w:spacing w:val="-1"/>
                <w:sz w:val="21"/>
                <w:szCs w:val="21"/>
                <w:highlight w:val="none"/>
                <w:u w:val="none" w:color="auto"/>
              </w:rPr>
              <w:t>料泵</w:t>
            </w:r>
          </w:p>
        </w:tc>
        <w:tc>
          <w:tcPr>
            <w:tcW w:w="693" w:type="dxa"/>
            <w:tcBorders>
              <w:tl2br w:val="nil"/>
              <w:tr2bl w:val="nil"/>
            </w:tcBorders>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1</w:t>
            </w:r>
          </w:p>
        </w:tc>
        <w:tc>
          <w:tcPr>
            <w:tcW w:w="939" w:type="dxa"/>
            <w:tcBorders>
              <w:tl2br w:val="nil"/>
              <w:tr2bl w:val="nil"/>
            </w:tcBorders>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3k</w:t>
            </w:r>
            <w:r>
              <w:rPr>
                <w:rFonts w:hint="eastAsia" w:ascii="宋体" w:hAnsi="宋体" w:eastAsia="宋体" w:cs="宋体"/>
                <w:color w:val="auto"/>
                <w:spacing w:val="-1"/>
                <w:sz w:val="21"/>
                <w:szCs w:val="21"/>
                <w:highlight w:val="none"/>
                <w:u w:val="none" w:color="auto"/>
              </w:rPr>
              <w:t>w</w:t>
            </w:r>
          </w:p>
        </w:tc>
        <w:tc>
          <w:tcPr>
            <w:tcW w:w="3368" w:type="dxa"/>
            <w:tcBorders>
              <w:tl2br w:val="nil"/>
              <w:tr2bl w:val="nil"/>
            </w:tcBorders>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w:t>
            </w:r>
          </w:p>
        </w:tc>
        <w:tc>
          <w:tcPr>
            <w:tcW w:w="1202" w:type="dxa"/>
            <w:tcBorders>
              <w:tl2br w:val="nil"/>
              <w:tr2bl w:val="nil"/>
            </w:tcBorders>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是</w:t>
            </w:r>
          </w:p>
        </w:tc>
      </w:tr>
    </w:tbl>
    <w:p>
      <w:pPr>
        <w:jc w:val="center"/>
        <w:rPr>
          <w:rFonts w:hint="eastAsia" w:ascii="宋体" w:hAnsi="宋体" w:eastAsia="宋体" w:cs="宋体"/>
          <w:color w:val="auto"/>
          <w:spacing w:val="0"/>
          <w:kern w:val="0"/>
          <w:sz w:val="28"/>
          <w:szCs w:val="28"/>
          <w:highlight w:val="none"/>
          <w:u w:val="none"/>
          <w:lang w:val="en-US" w:eastAsia="zh-CN" w:bidi="ar"/>
        </w:rPr>
      </w:pPr>
    </w:p>
    <w:p>
      <w:pPr>
        <w:jc w:val="center"/>
        <w:rPr>
          <w:rFonts w:hint="eastAsia" w:ascii="宋体" w:hAnsi="宋体" w:eastAsia="宋体" w:cs="宋体"/>
          <w:color w:val="auto"/>
          <w:spacing w:val="0"/>
          <w:kern w:val="0"/>
          <w:sz w:val="28"/>
          <w:szCs w:val="28"/>
          <w:highlight w:val="none"/>
          <w:u w:val="none"/>
          <w:lang w:val="en-US" w:eastAsia="zh-CN" w:bidi="ar"/>
        </w:rPr>
      </w:pPr>
      <w:r>
        <w:rPr>
          <w:rFonts w:hint="eastAsia" w:ascii="宋体" w:hAnsi="宋体" w:eastAsia="宋体" w:cs="宋体"/>
          <w:color w:val="auto"/>
          <w:spacing w:val="0"/>
          <w:kern w:val="0"/>
          <w:sz w:val="28"/>
          <w:szCs w:val="28"/>
          <w:highlight w:val="none"/>
          <w:u w:val="none"/>
          <w:lang w:val="en-US" w:eastAsia="zh-CN" w:bidi="ar"/>
        </w:rPr>
        <w:t>表</w:t>
      </w:r>
      <w:r>
        <w:rPr>
          <w:rFonts w:hint="eastAsia" w:ascii="宋体" w:hAnsi="宋体" w:cs="宋体"/>
          <w:color w:val="auto"/>
          <w:spacing w:val="0"/>
          <w:kern w:val="0"/>
          <w:sz w:val="28"/>
          <w:szCs w:val="28"/>
          <w:highlight w:val="none"/>
          <w:u w:val="none"/>
          <w:lang w:val="en-US" w:eastAsia="zh-CN" w:bidi="ar"/>
        </w:rPr>
        <w:t>4</w:t>
      </w:r>
      <w:r>
        <w:rPr>
          <w:rFonts w:hint="eastAsia" w:ascii="宋体" w:hAnsi="宋体" w:eastAsia="宋体" w:cs="宋体"/>
          <w:color w:val="auto"/>
          <w:spacing w:val="0"/>
          <w:kern w:val="0"/>
          <w:sz w:val="28"/>
          <w:szCs w:val="28"/>
          <w:highlight w:val="none"/>
          <w:u w:val="none"/>
          <w:lang w:val="en-US" w:eastAsia="zh-CN" w:bidi="ar"/>
        </w:rPr>
        <w:t xml:space="preserve">  4-甲基二苯胺生产设备一览表</w:t>
      </w:r>
    </w:p>
    <w:tbl>
      <w:tblPr>
        <w:tblStyle w:val="46"/>
        <w:tblW w:w="8433"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70"/>
        <w:gridCol w:w="1888"/>
        <w:gridCol w:w="727"/>
        <w:gridCol w:w="1746"/>
        <w:gridCol w:w="3002"/>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9" w:hRule="atLeast"/>
          <w:jc w:val="center"/>
        </w:trPr>
        <w:tc>
          <w:tcPr>
            <w:tcW w:w="107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3"/>
                <w:sz w:val="21"/>
                <w:szCs w:val="21"/>
                <w:highlight w:val="none"/>
                <w:u w:val="none" w:color="auto"/>
              </w:rPr>
              <w:t>工</w:t>
            </w:r>
            <w:r>
              <w:rPr>
                <w:rFonts w:hint="eastAsia" w:ascii="宋体" w:hAnsi="宋体" w:eastAsia="宋体" w:cs="宋体"/>
                <w:color w:val="auto"/>
                <w:spacing w:val="-2"/>
                <w:sz w:val="21"/>
                <w:szCs w:val="21"/>
                <w:highlight w:val="none"/>
                <w:u w:val="none" w:color="auto"/>
              </w:rPr>
              <w:t>段</w:t>
            </w:r>
          </w:p>
        </w:tc>
        <w:tc>
          <w:tcPr>
            <w:tcW w:w="18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设备名</w:t>
            </w:r>
            <w:r>
              <w:rPr>
                <w:rFonts w:hint="eastAsia" w:ascii="宋体" w:hAnsi="宋体" w:eastAsia="宋体" w:cs="宋体"/>
                <w:color w:val="auto"/>
                <w:spacing w:val="-1"/>
                <w:sz w:val="21"/>
                <w:szCs w:val="21"/>
                <w:highlight w:val="none"/>
                <w:u w:val="none" w:color="auto"/>
              </w:rPr>
              <w:t>称</w:t>
            </w:r>
          </w:p>
        </w:tc>
        <w:tc>
          <w:tcPr>
            <w:tcW w:w="72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3"/>
                <w:sz w:val="21"/>
                <w:szCs w:val="21"/>
                <w:highlight w:val="none"/>
                <w:u w:val="none" w:color="auto"/>
              </w:rPr>
              <w:t>数</w:t>
            </w:r>
            <w:r>
              <w:rPr>
                <w:rFonts w:hint="eastAsia" w:ascii="宋体" w:hAnsi="宋体" w:eastAsia="宋体" w:cs="宋体"/>
                <w:color w:val="auto"/>
                <w:spacing w:val="-2"/>
                <w:sz w:val="21"/>
                <w:szCs w:val="21"/>
                <w:highlight w:val="none"/>
                <w:u w:val="none" w:color="auto"/>
              </w:rPr>
              <w:t>量</w:t>
            </w:r>
          </w:p>
        </w:tc>
        <w:tc>
          <w:tcPr>
            <w:tcW w:w="1746"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4"/>
                <w:sz w:val="21"/>
                <w:szCs w:val="21"/>
                <w:highlight w:val="none"/>
                <w:u w:val="none" w:color="auto"/>
              </w:rPr>
              <w:t>型</w:t>
            </w:r>
            <w:r>
              <w:rPr>
                <w:rFonts w:hint="eastAsia" w:ascii="宋体" w:hAnsi="宋体" w:eastAsia="宋体" w:cs="宋体"/>
                <w:color w:val="auto"/>
                <w:spacing w:val="-3"/>
                <w:sz w:val="21"/>
                <w:szCs w:val="21"/>
                <w:highlight w:val="none"/>
                <w:u w:val="none" w:color="auto"/>
              </w:rPr>
              <w:t>号</w:t>
            </w:r>
          </w:p>
        </w:tc>
        <w:tc>
          <w:tcPr>
            <w:tcW w:w="300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4"/>
                <w:sz w:val="21"/>
                <w:szCs w:val="21"/>
                <w:highlight w:val="none"/>
                <w:u w:val="none" w:color="auto"/>
              </w:rPr>
              <w:t>是</w:t>
            </w:r>
            <w:r>
              <w:rPr>
                <w:rFonts w:hint="eastAsia" w:ascii="宋体" w:hAnsi="宋体" w:eastAsia="宋体" w:cs="宋体"/>
                <w:color w:val="auto"/>
                <w:spacing w:val="-2"/>
                <w:sz w:val="21"/>
                <w:szCs w:val="21"/>
                <w:highlight w:val="none"/>
                <w:u w:val="none" w:color="auto"/>
              </w:rPr>
              <w:t>否新增</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4" w:hRule="atLeast"/>
          <w:jc w:val="center"/>
        </w:trPr>
        <w:tc>
          <w:tcPr>
            <w:tcW w:w="1070" w:type="dxa"/>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3"/>
                <w:sz w:val="21"/>
                <w:szCs w:val="21"/>
                <w:highlight w:val="none"/>
                <w:u w:val="none" w:color="auto"/>
              </w:rPr>
              <w:t>加</w:t>
            </w:r>
            <w:r>
              <w:rPr>
                <w:rFonts w:hint="eastAsia" w:ascii="宋体" w:hAnsi="宋体" w:eastAsia="宋体" w:cs="宋体"/>
                <w:color w:val="auto"/>
                <w:spacing w:val="-2"/>
                <w:sz w:val="21"/>
                <w:szCs w:val="21"/>
                <w:highlight w:val="none"/>
                <w:u w:val="none" w:color="auto"/>
              </w:rPr>
              <w:t>热</w:t>
            </w:r>
          </w:p>
        </w:tc>
        <w:tc>
          <w:tcPr>
            <w:tcW w:w="18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4"/>
                <w:sz w:val="21"/>
                <w:szCs w:val="21"/>
                <w:highlight w:val="none"/>
                <w:u w:val="none" w:color="auto"/>
              </w:rPr>
              <w:t>电加</w:t>
            </w:r>
            <w:r>
              <w:rPr>
                <w:rFonts w:hint="eastAsia" w:ascii="宋体" w:hAnsi="宋体" w:eastAsia="宋体" w:cs="宋体"/>
                <w:color w:val="auto"/>
                <w:spacing w:val="-3"/>
                <w:sz w:val="21"/>
                <w:szCs w:val="21"/>
                <w:highlight w:val="none"/>
                <w:u w:val="none" w:color="auto"/>
              </w:rPr>
              <w:t>热</w:t>
            </w:r>
            <w:r>
              <w:rPr>
                <w:rFonts w:hint="eastAsia" w:ascii="宋体" w:hAnsi="宋体" w:eastAsia="宋体" w:cs="宋体"/>
                <w:color w:val="auto"/>
                <w:spacing w:val="-2"/>
                <w:sz w:val="21"/>
                <w:szCs w:val="21"/>
                <w:highlight w:val="none"/>
                <w:u w:val="none" w:color="auto"/>
              </w:rPr>
              <w:t>导热油炉</w:t>
            </w:r>
          </w:p>
        </w:tc>
        <w:tc>
          <w:tcPr>
            <w:tcW w:w="72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6"/>
                <w:sz w:val="21"/>
                <w:szCs w:val="21"/>
                <w:highlight w:val="none"/>
                <w:u w:val="none" w:color="auto"/>
              </w:rPr>
              <w:t>1</w:t>
            </w:r>
            <w:r>
              <w:rPr>
                <w:rFonts w:hint="eastAsia" w:ascii="宋体" w:hAnsi="宋体" w:eastAsia="宋体" w:cs="宋体"/>
                <w:color w:val="auto"/>
                <w:spacing w:val="-4"/>
                <w:sz w:val="21"/>
                <w:szCs w:val="21"/>
                <w:highlight w:val="none"/>
                <w:u w:val="none" w:color="auto"/>
              </w:rPr>
              <w:t>台</w:t>
            </w:r>
          </w:p>
        </w:tc>
        <w:tc>
          <w:tcPr>
            <w:tcW w:w="1746"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60KW</w:t>
            </w:r>
          </w:p>
        </w:tc>
        <w:tc>
          <w:tcPr>
            <w:tcW w:w="300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新增</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6" w:hRule="atLeast"/>
          <w:jc w:val="center"/>
        </w:trPr>
        <w:tc>
          <w:tcPr>
            <w:tcW w:w="1070"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p>
        </w:tc>
        <w:tc>
          <w:tcPr>
            <w:tcW w:w="18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4"/>
                <w:sz w:val="21"/>
                <w:szCs w:val="21"/>
                <w:highlight w:val="none"/>
                <w:u w:val="none" w:color="auto"/>
              </w:rPr>
              <w:t>电加</w:t>
            </w:r>
            <w:r>
              <w:rPr>
                <w:rFonts w:hint="eastAsia" w:ascii="宋体" w:hAnsi="宋体" w:eastAsia="宋体" w:cs="宋体"/>
                <w:color w:val="auto"/>
                <w:spacing w:val="-3"/>
                <w:sz w:val="21"/>
                <w:szCs w:val="21"/>
                <w:highlight w:val="none"/>
                <w:u w:val="none" w:color="auto"/>
              </w:rPr>
              <w:t>热</w:t>
            </w:r>
            <w:r>
              <w:rPr>
                <w:rFonts w:hint="eastAsia" w:ascii="宋体" w:hAnsi="宋体" w:eastAsia="宋体" w:cs="宋体"/>
                <w:color w:val="auto"/>
                <w:spacing w:val="-2"/>
                <w:sz w:val="21"/>
                <w:szCs w:val="21"/>
                <w:highlight w:val="none"/>
                <w:u w:val="none" w:color="auto"/>
              </w:rPr>
              <w:t>导热油炉</w:t>
            </w:r>
          </w:p>
        </w:tc>
        <w:tc>
          <w:tcPr>
            <w:tcW w:w="72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6"/>
                <w:sz w:val="21"/>
                <w:szCs w:val="21"/>
                <w:highlight w:val="none"/>
                <w:u w:val="none" w:color="auto"/>
              </w:rPr>
              <w:t>1</w:t>
            </w:r>
            <w:r>
              <w:rPr>
                <w:rFonts w:hint="eastAsia" w:ascii="宋体" w:hAnsi="宋体" w:eastAsia="宋体" w:cs="宋体"/>
                <w:color w:val="auto"/>
                <w:spacing w:val="-4"/>
                <w:sz w:val="21"/>
                <w:szCs w:val="21"/>
                <w:highlight w:val="none"/>
                <w:u w:val="none" w:color="auto"/>
              </w:rPr>
              <w:t>台</w:t>
            </w:r>
          </w:p>
        </w:tc>
        <w:tc>
          <w:tcPr>
            <w:tcW w:w="1746"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96KW</w:t>
            </w:r>
          </w:p>
        </w:tc>
        <w:tc>
          <w:tcPr>
            <w:tcW w:w="300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新增</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24" w:hRule="atLeast"/>
          <w:jc w:val="center"/>
        </w:trPr>
        <w:tc>
          <w:tcPr>
            <w:tcW w:w="1070" w:type="dxa"/>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p>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p>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合成反</w:t>
            </w:r>
            <w:r>
              <w:rPr>
                <w:rFonts w:hint="eastAsia" w:ascii="宋体" w:hAnsi="宋体" w:eastAsia="宋体" w:cs="宋体"/>
                <w:color w:val="auto"/>
                <w:spacing w:val="-1"/>
                <w:sz w:val="21"/>
                <w:szCs w:val="21"/>
                <w:highlight w:val="none"/>
                <w:u w:val="none" w:color="auto"/>
              </w:rPr>
              <w:t>应</w:t>
            </w:r>
          </w:p>
        </w:tc>
        <w:tc>
          <w:tcPr>
            <w:tcW w:w="18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不锈钢</w:t>
            </w:r>
            <w:r>
              <w:rPr>
                <w:rFonts w:hint="eastAsia" w:ascii="宋体" w:hAnsi="宋体" w:eastAsia="宋体" w:cs="宋体"/>
                <w:color w:val="auto"/>
                <w:spacing w:val="-1"/>
                <w:sz w:val="21"/>
                <w:szCs w:val="21"/>
                <w:highlight w:val="none"/>
                <w:u w:val="none" w:color="auto"/>
              </w:rPr>
              <w:t>反应釜</w:t>
            </w:r>
          </w:p>
        </w:tc>
        <w:tc>
          <w:tcPr>
            <w:tcW w:w="72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4"/>
                <w:sz w:val="21"/>
                <w:szCs w:val="21"/>
                <w:highlight w:val="none"/>
                <w:u w:val="none" w:color="auto"/>
              </w:rPr>
              <w:t>4</w:t>
            </w:r>
            <w:r>
              <w:rPr>
                <w:rFonts w:hint="eastAsia" w:ascii="宋体" w:hAnsi="宋体" w:eastAsia="宋体" w:cs="宋体"/>
                <w:color w:val="auto"/>
                <w:spacing w:val="2"/>
                <w:sz w:val="21"/>
                <w:szCs w:val="21"/>
                <w:highlight w:val="none"/>
                <w:u w:val="none" w:color="auto"/>
              </w:rPr>
              <w:t>台</w:t>
            </w:r>
          </w:p>
        </w:tc>
        <w:tc>
          <w:tcPr>
            <w:tcW w:w="1746"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4"/>
                <w:sz w:val="21"/>
                <w:szCs w:val="21"/>
                <w:highlight w:val="none"/>
                <w:u w:val="none" w:color="auto"/>
              </w:rPr>
              <w:t>5</w:t>
            </w:r>
            <w:r>
              <w:rPr>
                <w:rFonts w:hint="eastAsia" w:ascii="宋体" w:hAnsi="宋体" w:eastAsia="宋体" w:cs="宋体"/>
                <w:color w:val="auto"/>
                <w:spacing w:val="-2"/>
                <w:sz w:val="21"/>
                <w:szCs w:val="21"/>
                <w:highlight w:val="none"/>
                <w:u w:val="none" w:color="auto"/>
              </w:rPr>
              <w:t>00升</w:t>
            </w:r>
          </w:p>
        </w:tc>
        <w:tc>
          <w:tcPr>
            <w:tcW w:w="300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18"/>
                <w:sz w:val="21"/>
                <w:szCs w:val="21"/>
                <w:highlight w:val="none"/>
                <w:u w:val="none" w:color="auto"/>
              </w:rPr>
              <w:t>新</w:t>
            </w:r>
            <w:r>
              <w:rPr>
                <w:rFonts w:hint="eastAsia" w:ascii="宋体" w:hAnsi="宋体" w:eastAsia="宋体" w:cs="宋体"/>
                <w:color w:val="auto"/>
                <w:spacing w:val="-13"/>
                <w:sz w:val="21"/>
                <w:szCs w:val="21"/>
                <w:highlight w:val="none"/>
                <w:u w:val="none" w:color="auto"/>
              </w:rPr>
              <w:t>增1台，剩余3台利用现有</w:t>
            </w:r>
            <w:r>
              <w:rPr>
                <w:rFonts w:hint="eastAsia" w:ascii="宋体" w:hAnsi="宋体" w:eastAsia="宋体" w:cs="宋体"/>
                <w:color w:val="auto"/>
                <w:spacing w:val="-2"/>
                <w:sz w:val="21"/>
                <w:szCs w:val="21"/>
                <w:highlight w:val="none"/>
                <w:u w:val="none" w:color="auto"/>
              </w:rPr>
              <w:t>工程</w:t>
            </w:r>
            <w:r>
              <w:rPr>
                <w:rFonts w:hint="eastAsia" w:ascii="宋体" w:hAnsi="宋体" w:eastAsia="宋体" w:cs="宋体"/>
                <w:color w:val="auto"/>
                <w:spacing w:val="-1"/>
                <w:sz w:val="21"/>
                <w:szCs w:val="21"/>
                <w:highlight w:val="none"/>
                <w:u w:val="none" w:color="auto"/>
              </w:rPr>
              <w:t>闲置设备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4" w:hRule="atLeast"/>
          <w:jc w:val="center"/>
        </w:trPr>
        <w:tc>
          <w:tcPr>
            <w:tcW w:w="1070"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p>
        </w:tc>
        <w:tc>
          <w:tcPr>
            <w:tcW w:w="18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3"/>
                <w:sz w:val="21"/>
                <w:szCs w:val="21"/>
                <w:highlight w:val="none"/>
                <w:u w:val="none" w:color="auto"/>
              </w:rPr>
              <w:t>喷</w:t>
            </w:r>
            <w:r>
              <w:rPr>
                <w:rFonts w:hint="eastAsia" w:ascii="宋体" w:hAnsi="宋体" w:eastAsia="宋体" w:cs="宋体"/>
                <w:color w:val="auto"/>
                <w:spacing w:val="-2"/>
                <w:sz w:val="21"/>
                <w:szCs w:val="21"/>
                <w:highlight w:val="none"/>
                <w:u w:val="none" w:color="auto"/>
              </w:rPr>
              <w:t>淋吸收塔</w:t>
            </w:r>
          </w:p>
        </w:tc>
        <w:tc>
          <w:tcPr>
            <w:tcW w:w="72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3"/>
                <w:sz w:val="21"/>
                <w:szCs w:val="21"/>
                <w:highlight w:val="none"/>
                <w:u w:val="none" w:color="auto"/>
              </w:rPr>
              <w:t>2</w:t>
            </w:r>
            <w:r>
              <w:rPr>
                <w:rFonts w:hint="eastAsia" w:ascii="宋体" w:hAnsi="宋体" w:eastAsia="宋体" w:cs="宋体"/>
                <w:color w:val="auto"/>
                <w:spacing w:val="2"/>
                <w:sz w:val="21"/>
                <w:szCs w:val="21"/>
                <w:highlight w:val="none"/>
                <w:u w:val="none" w:color="auto"/>
              </w:rPr>
              <w:t>台</w:t>
            </w:r>
          </w:p>
        </w:tc>
        <w:tc>
          <w:tcPr>
            <w:tcW w:w="1746"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w:t>
            </w:r>
          </w:p>
        </w:tc>
        <w:tc>
          <w:tcPr>
            <w:tcW w:w="300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新增</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1" w:hRule="atLeast"/>
          <w:jc w:val="center"/>
        </w:trPr>
        <w:tc>
          <w:tcPr>
            <w:tcW w:w="1070"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p>
        </w:tc>
        <w:tc>
          <w:tcPr>
            <w:tcW w:w="18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氨气</w:t>
            </w:r>
            <w:r>
              <w:rPr>
                <w:rFonts w:hint="eastAsia" w:ascii="宋体" w:hAnsi="宋体" w:eastAsia="宋体" w:cs="宋体"/>
                <w:color w:val="auto"/>
                <w:spacing w:val="-1"/>
                <w:sz w:val="21"/>
                <w:szCs w:val="21"/>
                <w:highlight w:val="none"/>
                <w:u w:val="none" w:color="auto"/>
              </w:rPr>
              <w:t>喷淋吸收塔</w:t>
            </w:r>
          </w:p>
        </w:tc>
        <w:tc>
          <w:tcPr>
            <w:tcW w:w="72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3"/>
                <w:sz w:val="21"/>
                <w:szCs w:val="21"/>
                <w:highlight w:val="none"/>
                <w:u w:val="none" w:color="auto"/>
              </w:rPr>
              <w:t>2</w:t>
            </w:r>
            <w:r>
              <w:rPr>
                <w:rFonts w:hint="eastAsia" w:ascii="宋体" w:hAnsi="宋体" w:eastAsia="宋体" w:cs="宋体"/>
                <w:color w:val="auto"/>
                <w:spacing w:val="2"/>
                <w:sz w:val="21"/>
                <w:szCs w:val="21"/>
                <w:highlight w:val="none"/>
                <w:u w:val="none" w:color="auto"/>
              </w:rPr>
              <w:t>台</w:t>
            </w:r>
          </w:p>
        </w:tc>
        <w:tc>
          <w:tcPr>
            <w:tcW w:w="1746"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w:t>
            </w:r>
          </w:p>
        </w:tc>
        <w:tc>
          <w:tcPr>
            <w:tcW w:w="300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新增</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29" w:hRule="atLeast"/>
          <w:jc w:val="center"/>
        </w:trPr>
        <w:tc>
          <w:tcPr>
            <w:tcW w:w="1070" w:type="dxa"/>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p>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p>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水洗、蒸馏工</w:t>
            </w:r>
            <w:r>
              <w:rPr>
                <w:rFonts w:hint="eastAsia" w:ascii="宋体" w:hAnsi="宋体" w:eastAsia="宋体" w:cs="宋体"/>
                <w:color w:val="auto"/>
                <w:spacing w:val="-1"/>
                <w:sz w:val="21"/>
                <w:szCs w:val="21"/>
                <w:highlight w:val="none"/>
                <w:u w:val="none" w:color="auto"/>
              </w:rPr>
              <w:t>段</w:t>
            </w:r>
          </w:p>
        </w:tc>
        <w:tc>
          <w:tcPr>
            <w:tcW w:w="18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不锈钢</w:t>
            </w:r>
            <w:r>
              <w:rPr>
                <w:rFonts w:hint="eastAsia" w:ascii="宋体" w:hAnsi="宋体" w:eastAsia="宋体" w:cs="宋体"/>
                <w:color w:val="auto"/>
                <w:spacing w:val="-1"/>
                <w:sz w:val="21"/>
                <w:szCs w:val="21"/>
                <w:highlight w:val="none"/>
                <w:u w:val="none" w:color="auto"/>
              </w:rPr>
              <w:t>蒸馏釜</w:t>
            </w:r>
          </w:p>
        </w:tc>
        <w:tc>
          <w:tcPr>
            <w:tcW w:w="72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3"/>
                <w:sz w:val="21"/>
                <w:szCs w:val="21"/>
                <w:highlight w:val="none"/>
                <w:u w:val="none" w:color="auto"/>
              </w:rPr>
              <w:t>2</w:t>
            </w:r>
            <w:r>
              <w:rPr>
                <w:rFonts w:hint="eastAsia" w:ascii="宋体" w:hAnsi="宋体" w:eastAsia="宋体" w:cs="宋体"/>
                <w:color w:val="auto"/>
                <w:spacing w:val="2"/>
                <w:sz w:val="21"/>
                <w:szCs w:val="21"/>
                <w:highlight w:val="none"/>
                <w:u w:val="none" w:color="auto"/>
              </w:rPr>
              <w:t>台</w:t>
            </w:r>
          </w:p>
        </w:tc>
        <w:tc>
          <w:tcPr>
            <w:tcW w:w="1746"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2</w:t>
            </w:r>
            <w:r>
              <w:rPr>
                <w:rFonts w:hint="eastAsia" w:ascii="宋体" w:hAnsi="宋体" w:eastAsia="宋体" w:cs="宋体"/>
                <w:color w:val="auto"/>
                <w:spacing w:val="-1"/>
                <w:sz w:val="21"/>
                <w:szCs w:val="21"/>
                <w:highlight w:val="none"/>
                <w:u w:val="none" w:color="auto"/>
              </w:rPr>
              <w:t>000升</w:t>
            </w:r>
          </w:p>
        </w:tc>
        <w:tc>
          <w:tcPr>
            <w:tcW w:w="300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18"/>
                <w:sz w:val="21"/>
                <w:szCs w:val="21"/>
                <w:highlight w:val="none"/>
                <w:u w:val="none" w:color="auto"/>
              </w:rPr>
              <w:t>新</w:t>
            </w:r>
            <w:r>
              <w:rPr>
                <w:rFonts w:hint="eastAsia" w:ascii="宋体" w:hAnsi="宋体" w:eastAsia="宋体" w:cs="宋体"/>
                <w:color w:val="auto"/>
                <w:spacing w:val="-13"/>
                <w:sz w:val="21"/>
                <w:szCs w:val="21"/>
                <w:highlight w:val="none"/>
                <w:u w:val="none" w:color="auto"/>
              </w:rPr>
              <w:t>增1台，剩余1台利用现有</w:t>
            </w:r>
            <w:r>
              <w:rPr>
                <w:rFonts w:hint="eastAsia" w:ascii="宋体" w:hAnsi="宋体" w:eastAsia="宋体" w:cs="宋体"/>
                <w:color w:val="auto"/>
                <w:spacing w:val="-2"/>
                <w:sz w:val="21"/>
                <w:szCs w:val="21"/>
                <w:highlight w:val="none"/>
                <w:u w:val="none" w:color="auto"/>
              </w:rPr>
              <w:t>工程</w:t>
            </w:r>
            <w:r>
              <w:rPr>
                <w:rFonts w:hint="eastAsia" w:ascii="宋体" w:hAnsi="宋体" w:eastAsia="宋体" w:cs="宋体"/>
                <w:color w:val="auto"/>
                <w:spacing w:val="-1"/>
                <w:sz w:val="21"/>
                <w:szCs w:val="21"/>
                <w:highlight w:val="none"/>
                <w:u w:val="none" w:color="auto"/>
              </w:rPr>
              <w:t>闲置设备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5" w:hRule="atLeast"/>
          <w:jc w:val="center"/>
        </w:trPr>
        <w:tc>
          <w:tcPr>
            <w:tcW w:w="1070"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p>
        </w:tc>
        <w:tc>
          <w:tcPr>
            <w:tcW w:w="18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水</w:t>
            </w:r>
            <w:r>
              <w:rPr>
                <w:rFonts w:hint="eastAsia" w:ascii="宋体" w:hAnsi="宋体" w:eastAsia="宋体" w:cs="宋体"/>
                <w:color w:val="auto"/>
                <w:spacing w:val="-1"/>
                <w:sz w:val="21"/>
                <w:szCs w:val="21"/>
                <w:highlight w:val="none"/>
                <w:u w:val="none" w:color="auto"/>
              </w:rPr>
              <w:t>喷射真空泵</w:t>
            </w:r>
          </w:p>
        </w:tc>
        <w:tc>
          <w:tcPr>
            <w:tcW w:w="72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6"/>
                <w:sz w:val="21"/>
                <w:szCs w:val="21"/>
                <w:highlight w:val="none"/>
                <w:u w:val="none" w:color="auto"/>
              </w:rPr>
              <w:t>1</w:t>
            </w:r>
            <w:r>
              <w:rPr>
                <w:rFonts w:hint="eastAsia" w:ascii="宋体" w:hAnsi="宋体" w:eastAsia="宋体" w:cs="宋体"/>
                <w:color w:val="auto"/>
                <w:spacing w:val="-4"/>
                <w:sz w:val="21"/>
                <w:szCs w:val="21"/>
                <w:highlight w:val="none"/>
                <w:u w:val="none" w:color="auto"/>
              </w:rPr>
              <w:t>台</w:t>
            </w:r>
          </w:p>
        </w:tc>
        <w:tc>
          <w:tcPr>
            <w:tcW w:w="1746"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w:t>
            </w:r>
          </w:p>
        </w:tc>
        <w:tc>
          <w:tcPr>
            <w:tcW w:w="300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新增</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6" w:hRule="atLeast"/>
          <w:jc w:val="center"/>
        </w:trPr>
        <w:tc>
          <w:tcPr>
            <w:tcW w:w="1070"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p>
        </w:tc>
        <w:tc>
          <w:tcPr>
            <w:tcW w:w="18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物</w:t>
            </w:r>
            <w:r>
              <w:rPr>
                <w:rFonts w:hint="eastAsia" w:ascii="宋体" w:hAnsi="宋体" w:eastAsia="宋体" w:cs="宋体"/>
                <w:color w:val="auto"/>
                <w:spacing w:val="-1"/>
                <w:sz w:val="21"/>
                <w:szCs w:val="21"/>
                <w:highlight w:val="none"/>
                <w:u w:val="none" w:color="auto"/>
              </w:rPr>
              <w:t>料接收罐</w:t>
            </w:r>
          </w:p>
        </w:tc>
        <w:tc>
          <w:tcPr>
            <w:tcW w:w="72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6"/>
                <w:sz w:val="21"/>
                <w:szCs w:val="21"/>
                <w:highlight w:val="none"/>
                <w:u w:val="none" w:color="auto"/>
              </w:rPr>
              <w:t>1</w:t>
            </w:r>
            <w:r>
              <w:rPr>
                <w:rFonts w:hint="eastAsia" w:ascii="宋体" w:hAnsi="宋体" w:eastAsia="宋体" w:cs="宋体"/>
                <w:color w:val="auto"/>
                <w:spacing w:val="-4"/>
                <w:sz w:val="21"/>
                <w:szCs w:val="21"/>
                <w:highlight w:val="none"/>
                <w:u w:val="none" w:color="auto"/>
              </w:rPr>
              <w:t>台</w:t>
            </w:r>
          </w:p>
        </w:tc>
        <w:tc>
          <w:tcPr>
            <w:tcW w:w="1746"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6"/>
                <w:sz w:val="21"/>
                <w:szCs w:val="21"/>
                <w:highlight w:val="none"/>
                <w:u w:val="none" w:color="auto"/>
              </w:rPr>
              <w:t>1</w:t>
            </w:r>
            <w:r>
              <w:rPr>
                <w:rFonts w:hint="eastAsia" w:ascii="宋体" w:hAnsi="宋体" w:eastAsia="宋体" w:cs="宋体"/>
                <w:color w:val="auto"/>
                <w:spacing w:val="-5"/>
                <w:sz w:val="21"/>
                <w:szCs w:val="21"/>
                <w:highlight w:val="none"/>
                <w:u w:val="none" w:color="auto"/>
              </w:rPr>
              <w:t>00升</w:t>
            </w:r>
          </w:p>
        </w:tc>
        <w:tc>
          <w:tcPr>
            <w:tcW w:w="300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新增</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4" w:hRule="atLeast"/>
          <w:jc w:val="center"/>
        </w:trPr>
        <w:tc>
          <w:tcPr>
            <w:tcW w:w="1070"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p>
        </w:tc>
        <w:tc>
          <w:tcPr>
            <w:tcW w:w="18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物</w:t>
            </w:r>
            <w:r>
              <w:rPr>
                <w:rFonts w:hint="eastAsia" w:ascii="宋体" w:hAnsi="宋体" w:eastAsia="宋体" w:cs="宋体"/>
                <w:color w:val="auto"/>
                <w:spacing w:val="-1"/>
                <w:sz w:val="21"/>
                <w:szCs w:val="21"/>
                <w:highlight w:val="none"/>
                <w:u w:val="none" w:color="auto"/>
              </w:rPr>
              <w:t>料接收罐</w:t>
            </w:r>
          </w:p>
        </w:tc>
        <w:tc>
          <w:tcPr>
            <w:tcW w:w="72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6"/>
                <w:sz w:val="21"/>
                <w:szCs w:val="21"/>
                <w:highlight w:val="none"/>
                <w:u w:val="none" w:color="auto"/>
              </w:rPr>
              <w:t>1</w:t>
            </w:r>
            <w:r>
              <w:rPr>
                <w:rFonts w:hint="eastAsia" w:ascii="宋体" w:hAnsi="宋体" w:eastAsia="宋体" w:cs="宋体"/>
                <w:color w:val="auto"/>
                <w:spacing w:val="-4"/>
                <w:sz w:val="21"/>
                <w:szCs w:val="21"/>
                <w:highlight w:val="none"/>
                <w:u w:val="none" w:color="auto"/>
              </w:rPr>
              <w:t>台</w:t>
            </w:r>
          </w:p>
        </w:tc>
        <w:tc>
          <w:tcPr>
            <w:tcW w:w="1746"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300升</w:t>
            </w:r>
          </w:p>
        </w:tc>
        <w:tc>
          <w:tcPr>
            <w:tcW w:w="300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新增</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4" w:hRule="atLeast"/>
          <w:jc w:val="center"/>
        </w:trPr>
        <w:tc>
          <w:tcPr>
            <w:tcW w:w="1070" w:type="dxa"/>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p>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p>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精</w:t>
            </w:r>
            <w:r>
              <w:rPr>
                <w:rFonts w:hint="eastAsia" w:ascii="宋体" w:hAnsi="宋体" w:eastAsia="宋体" w:cs="宋体"/>
                <w:color w:val="auto"/>
                <w:spacing w:val="-1"/>
                <w:sz w:val="21"/>
                <w:szCs w:val="21"/>
                <w:highlight w:val="none"/>
                <w:u w:val="none" w:color="auto"/>
              </w:rPr>
              <w:t>馏蒸馏</w:t>
            </w:r>
          </w:p>
        </w:tc>
        <w:tc>
          <w:tcPr>
            <w:tcW w:w="18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不锈钢</w:t>
            </w:r>
            <w:r>
              <w:rPr>
                <w:rFonts w:hint="eastAsia" w:ascii="宋体" w:hAnsi="宋体" w:eastAsia="宋体" w:cs="宋体"/>
                <w:color w:val="auto"/>
                <w:spacing w:val="-1"/>
                <w:sz w:val="21"/>
                <w:szCs w:val="21"/>
                <w:highlight w:val="none"/>
                <w:u w:val="none" w:color="auto"/>
              </w:rPr>
              <w:t>蒸馏釜</w:t>
            </w:r>
          </w:p>
        </w:tc>
        <w:tc>
          <w:tcPr>
            <w:tcW w:w="72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6"/>
                <w:sz w:val="21"/>
                <w:szCs w:val="21"/>
                <w:highlight w:val="none"/>
                <w:u w:val="none" w:color="auto"/>
              </w:rPr>
              <w:t>1</w:t>
            </w:r>
            <w:r>
              <w:rPr>
                <w:rFonts w:hint="eastAsia" w:ascii="宋体" w:hAnsi="宋体" w:eastAsia="宋体" w:cs="宋体"/>
                <w:color w:val="auto"/>
                <w:spacing w:val="-4"/>
                <w:sz w:val="21"/>
                <w:szCs w:val="21"/>
                <w:highlight w:val="none"/>
                <w:u w:val="none" w:color="auto"/>
              </w:rPr>
              <w:t>台</w:t>
            </w:r>
          </w:p>
        </w:tc>
        <w:tc>
          <w:tcPr>
            <w:tcW w:w="1746"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4"/>
                <w:sz w:val="21"/>
                <w:szCs w:val="21"/>
                <w:highlight w:val="none"/>
                <w:u w:val="none" w:color="auto"/>
              </w:rPr>
              <w:t>5</w:t>
            </w:r>
            <w:r>
              <w:rPr>
                <w:rFonts w:hint="eastAsia" w:ascii="宋体" w:hAnsi="宋体" w:eastAsia="宋体" w:cs="宋体"/>
                <w:color w:val="auto"/>
                <w:spacing w:val="-2"/>
                <w:sz w:val="21"/>
                <w:szCs w:val="21"/>
                <w:highlight w:val="none"/>
                <w:u w:val="none" w:color="auto"/>
              </w:rPr>
              <w:t>00升</w:t>
            </w:r>
          </w:p>
        </w:tc>
        <w:tc>
          <w:tcPr>
            <w:tcW w:w="300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新增</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6" w:hRule="atLeast"/>
          <w:jc w:val="center"/>
        </w:trPr>
        <w:tc>
          <w:tcPr>
            <w:tcW w:w="1070"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p>
        </w:tc>
        <w:tc>
          <w:tcPr>
            <w:tcW w:w="18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油循环真空泵</w:t>
            </w:r>
          </w:p>
        </w:tc>
        <w:tc>
          <w:tcPr>
            <w:tcW w:w="72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6"/>
                <w:sz w:val="21"/>
                <w:szCs w:val="21"/>
                <w:highlight w:val="none"/>
                <w:u w:val="none" w:color="auto"/>
              </w:rPr>
              <w:t>1</w:t>
            </w:r>
            <w:r>
              <w:rPr>
                <w:rFonts w:hint="eastAsia" w:ascii="宋体" w:hAnsi="宋体" w:eastAsia="宋体" w:cs="宋体"/>
                <w:color w:val="auto"/>
                <w:spacing w:val="-4"/>
                <w:sz w:val="21"/>
                <w:szCs w:val="21"/>
                <w:highlight w:val="none"/>
                <w:u w:val="none" w:color="auto"/>
              </w:rPr>
              <w:t>台</w:t>
            </w:r>
          </w:p>
        </w:tc>
        <w:tc>
          <w:tcPr>
            <w:tcW w:w="1746"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1"/>
                <w:sz w:val="21"/>
                <w:szCs w:val="21"/>
                <w:highlight w:val="none"/>
                <w:u w:val="none" w:color="auto"/>
              </w:rPr>
              <w:t>2</w:t>
            </w:r>
            <w:r>
              <w:rPr>
                <w:rFonts w:hint="eastAsia" w:ascii="宋体" w:hAnsi="宋体" w:eastAsia="宋体" w:cs="宋体"/>
                <w:color w:val="auto"/>
                <w:sz w:val="21"/>
                <w:szCs w:val="21"/>
                <w:highlight w:val="none"/>
                <w:u w:val="none" w:color="auto"/>
              </w:rPr>
              <w:t>X</w:t>
            </w:r>
            <w:r>
              <w:rPr>
                <w:rFonts w:hint="eastAsia" w:ascii="宋体" w:hAnsi="宋体" w:eastAsia="宋体" w:cs="宋体"/>
                <w:color w:val="auto"/>
                <w:spacing w:val="-1"/>
                <w:sz w:val="21"/>
                <w:szCs w:val="21"/>
                <w:highlight w:val="none"/>
                <w:u w:val="none" w:color="auto"/>
              </w:rPr>
              <w:t>-30</w:t>
            </w:r>
          </w:p>
        </w:tc>
        <w:tc>
          <w:tcPr>
            <w:tcW w:w="300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新增</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4" w:hRule="atLeast"/>
          <w:jc w:val="center"/>
        </w:trPr>
        <w:tc>
          <w:tcPr>
            <w:tcW w:w="1070"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p>
        </w:tc>
        <w:tc>
          <w:tcPr>
            <w:tcW w:w="18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物</w:t>
            </w:r>
            <w:r>
              <w:rPr>
                <w:rFonts w:hint="eastAsia" w:ascii="宋体" w:hAnsi="宋体" w:eastAsia="宋体" w:cs="宋体"/>
                <w:color w:val="auto"/>
                <w:spacing w:val="-1"/>
                <w:sz w:val="21"/>
                <w:szCs w:val="21"/>
                <w:highlight w:val="none"/>
                <w:u w:val="none" w:color="auto"/>
              </w:rPr>
              <w:t>料接收罐</w:t>
            </w:r>
          </w:p>
        </w:tc>
        <w:tc>
          <w:tcPr>
            <w:tcW w:w="72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6"/>
                <w:sz w:val="21"/>
                <w:szCs w:val="21"/>
                <w:highlight w:val="none"/>
                <w:u w:val="none" w:color="auto"/>
              </w:rPr>
              <w:t>1</w:t>
            </w:r>
            <w:r>
              <w:rPr>
                <w:rFonts w:hint="eastAsia" w:ascii="宋体" w:hAnsi="宋体" w:eastAsia="宋体" w:cs="宋体"/>
                <w:color w:val="auto"/>
                <w:spacing w:val="-4"/>
                <w:sz w:val="21"/>
                <w:szCs w:val="21"/>
                <w:highlight w:val="none"/>
                <w:u w:val="none" w:color="auto"/>
              </w:rPr>
              <w:t>台</w:t>
            </w:r>
          </w:p>
        </w:tc>
        <w:tc>
          <w:tcPr>
            <w:tcW w:w="1746"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6"/>
                <w:sz w:val="21"/>
                <w:szCs w:val="21"/>
                <w:highlight w:val="none"/>
                <w:u w:val="none" w:color="auto"/>
              </w:rPr>
              <w:t>1</w:t>
            </w:r>
            <w:r>
              <w:rPr>
                <w:rFonts w:hint="eastAsia" w:ascii="宋体" w:hAnsi="宋体" w:eastAsia="宋体" w:cs="宋体"/>
                <w:color w:val="auto"/>
                <w:spacing w:val="-5"/>
                <w:sz w:val="21"/>
                <w:szCs w:val="21"/>
                <w:highlight w:val="none"/>
                <w:u w:val="none" w:color="auto"/>
              </w:rPr>
              <w:t>00升</w:t>
            </w:r>
          </w:p>
        </w:tc>
        <w:tc>
          <w:tcPr>
            <w:tcW w:w="300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新增</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4" w:hRule="atLeast"/>
          <w:jc w:val="center"/>
        </w:trPr>
        <w:tc>
          <w:tcPr>
            <w:tcW w:w="1070"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p>
        </w:tc>
        <w:tc>
          <w:tcPr>
            <w:tcW w:w="18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物</w:t>
            </w:r>
            <w:r>
              <w:rPr>
                <w:rFonts w:hint="eastAsia" w:ascii="宋体" w:hAnsi="宋体" w:eastAsia="宋体" w:cs="宋体"/>
                <w:color w:val="auto"/>
                <w:spacing w:val="-1"/>
                <w:sz w:val="21"/>
                <w:szCs w:val="21"/>
                <w:highlight w:val="none"/>
                <w:u w:val="none" w:color="auto"/>
              </w:rPr>
              <w:t>料接收罐</w:t>
            </w:r>
          </w:p>
        </w:tc>
        <w:tc>
          <w:tcPr>
            <w:tcW w:w="72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6"/>
                <w:sz w:val="21"/>
                <w:szCs w:val="21"/>
                <w:highlight w:val="none"/>
                <w:u w:val="none" w:color="auto"/>
              </w:rPr>
              <w:t>1</w:t>
            </w:r>
            <w:r>
              <w:rPr>
                <w:rFonts w:hint="eastAsia" w:ascii="宋体" w:hAnsi="宋体" w:eastAsia="宋体" w:cs="宋体"/>
                <w:color w:val="auto"/>
                <w:spacing w:val="-4"/>
                <w:sz w:val="21"/>
                <w:szCs w:val="21"/>
                <w:highlight w:val="none"/>
                <w:u w:val="none" w:color="auto"/>
              </w:rPr>
              <w:t>台</w:t>
            </w:r>
          </w:p>
        </w:tc>
        <w:tc>
          <w:tcPr>
            <w:tcW w:w="1746"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300升</w:t>
            </w:r>
          </w:p>
        </w:tc>
        <w:tc>
          <w:tcPr>
            <w:tcW w:w="300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新增</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6" w:hRule="atLeast"/>
          <w:jc w:val="center"/>
        </w:trPr>
        <w:tc>
          <w:tcPr>
            <w:tcW w:w="1070" w:type="dxa"/>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p>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p>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再精</w:t>
            </w:r>
            <w:r>
              <w:rPr>
                <w:rFonts w:hint="eastAsia" w:ascii="宋体" w:hAnsi="宋体" w:eastAsia="宋体" w:cs="宋体"/>
                <w:color w:val="auto"/>
                <w:spacing w:val="-1"/>
                <w:sz w:val="21"/>
                <w:szCs w:val="21"/>
                <w:highlight w:val="none"/>
                <w:u w:val="none" w:color="auto"/>
              </w:rPr>
              <w:t>馏</w:t>
            </w:r>
          </w:p>
        </w:tc>
        <w:tc>
          <w:tcPr>
            <w:tcW w:w="18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不锈钢</w:t>
            </w:r>
            <w:r>
              <w:rPr>
                <w:rFonts w:hint="eastAsia" w:ascii="宋体" w:hAnsi="宋体" w:eastAsia="宋体" w:cs="宋体"/>
                <w:color w:val="auto"/>
                <w:spacing w:val="-1"/>
                <w:sz w:val="21"/>
                <w:szCs w:val="21"/>
                <w:highlight w:val="none"/>
                <w:u w:val="none" w:color="auto"/>
              </w:rPr>
              <w:t>蒸馏釜</w:t>
            </w:r>
          </w:p>
        </w:tc>
        <w:tc>
          <w:tcPr>
            <w:tcW w:w="72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6"/>
                <w:sz w:val="21"/>
                <w:szCs w:val="21"/>
                <w:highlight w:val="none"/>
                <w:u w:val="none" w:color="auto"/>
              </w:rPr>
              <w:t>1</w:t>
            </w:r>
            <w:r>
              <w:rPr>
                <w:rFonts w:hint="eastAsia" w:ascii="宋体" w:hAnsi="宋体" w:eastAsia="宋体" w:cs="宋体"/>
                <w:color w:val="auto"/>
                <w:spacing w:val="-4"/>
                <w:sz w:val="21"/>
                <w:szCs w:val="21"/>
                <w:highlight w:val="none"/>
                <w:u w:val="none" w:color="auto"/>
              </w:rPr>
              <w:t>台</w:t>
            </w:r>
          </w:p>
        </w:tc>
        <w:tc>
          <w:tcPr>
            <w:tcW w:w="1746"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4"/>
                <w:sz w:val="21"/>
                <w:szCs w:val="21"/>
                <w:highlight w:val="none"/>
                <w:u w:val="none" w:color="auto"/>
              </w:rPr>
              <w:t>5</w:t>
            </w:r>
            <w:r>
              <w:rPr>
                <w:rFonts w:hint="eastAsia" w:ascii="宋体" w:hAnsi="宋体" w:eastAsia="宋体" w:cs="宋体"/>
                <w:color w:val="auto"/>
                <w:spacing w:val="-2"/>
                <w:sz w:val="21"/>
                <w:szCs w:val="21"/>
                <w:highlight w:val="none"/>
                <w:u w:val="none" w:color="auto"/>
              </w:rPr>
              <w:t>00升</w:t>
            </w:r>
          </w:p>
        </w:tc>
        <w:tc>
          <w:tcPr>
            <w:tcW w:w="300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新增</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4" w:hRule="atLeast"/>
          <w:jc w:val="center"/>
        </w:trPr>
        <w:tc>
          <w:tcPr>
            <w:tcW w:w="1070"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p>
        </w:tc>
        <w:tc>
          <w:tcPr>
            <w:tcW w:w="18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油循环真空泵</w:t>
            </w:r>
          </w:p>
        </w:tc>
        <w:tc>
          <w:tcPr>
            <w:tcW w:w="72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6"/>
                <w:sz w:val="21"/>
                <w:szCs w:val="21"/>
                <w:highlight w:val="none"/>
                <w:u w:val="none" w:color="auto"/>
              </w:rPr>
              <w:t>1</w:t>
            </w:r>
            <w:r>
              <w:rPr>
                <w:rFonts w:hint="eastAsia" w:ascii="宋体" w:hAnsi="宋体" w:eastAsia="宋体" w:cs="宋体"/>
                <w:color w:val="auto"/>
                <w:spacing w:val="-4"/>
                <w:sz w:val="21"/>
                <w:szCs w:val="21"/>
                <w:highlight w:val="none"/>
                <w:u w:val="none" w:color="auto"/>
              </w:rPr>
              <w:t>台</w:t>
            </w:r>
          </w:p>
        </w:tc>
        <w:tc>
          <w:tcPr>
            <w:tcW w:w="1746"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1"/>
                <w:sz w:val="21"/>
                <w:szCs w:val="21"/>
                <w:highlight w:val="none"/>
                <w:u w:val="none" w:color="auto"/>
              </w:rPr>
              <w:t>2</w:t>
            </w:r>
            <w:r>
              <w:rPr>
                <w:rFonts w:hint="eastAsia" w:ascii="宋体" w:hAnsi="宋体" w:eastAsia="宋体" w:cs="宋体"/>
                <w:color w:val="auto"/>
                <w:sz w:val="21"/>
                <w:szCs w:val="21"/>
                <w:highlight w:val="none"/>
                <w:u w:val="none" w:color="auto"/>
              </w:rPr>
              <w:t>X</w:t>
            </w:r>
            <w:r>
              <w:rPr>
                <w:rFonts w:hint="eastAsia" w:ascii="宋体" w:hAnsi="宋体" w:eastAsia="宋体" w:cs="宋体"/>
                <w:color w:val="auto"/>
                <w:spacing w:val="-1"/>
                <w:sz w:val="21"/>
                <w:szCs w:val="21"/>
                <w:highlight w:val="none"/>
                <w:u w:val="none" w:color="auto"/>
              </w:rPr>
              <w:t>-30</w:t>
            </w:r>
          </w:p>
        </w:tc>
        <w:tc>
          <w:tcPr>
            <w:tcW w:w="300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新增</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4" w:hRule="atLeast"/>
          <w:jc w:val="center"/>
        </w:trPr>
        <w:tc>
          <w:tcPr>
            <w:tcW w:w="1070"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p>
        </w:tc>
        <w:tc>
          <w:tcPr>
            <w:tcW w:w="18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物</w:t>
            </w:r>
            <w:r>
              <w:rPr>
                <w:rFonts w:hint="eastAsia" w:ascii="宋体" w:hAnsi="宋体" w:eastAsia="宋体" w:cs="宋体"/>
                <w:color w:val="auto"/>
                <w:spacing w:val="-1"/>
                <w:sz w:val="21"/>
                <w:szCs w:val="21"/>
                <w:highlight w:val="none"/>
                <w:u w:val="none" w:color="auto"/>
              </w:rPr>
              <w:t>料接收罐</w:t>
            </w:r>
          </w:p>
        </w:tc>
        <w:tc>
          <w:tcPr>
            <w:tcW w:w="72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6"/>
                <w:sz w:val="21"/>
                <w:szCs w:val="21"/>
                <w:highlight w:val="none"/>
                <w:u w:val="none" w:color="auto"/>
              </w:rPr>
              <w:t>1</w:t>
            </w:r>
            <w:r>
              <w:rPr>
                <w:rFonts w:hint="eastAsia" w:ascii="宋体" w:hAnsi="宋体" w:eastAsia="宋体" w:cs="宋体"/>
                <w:color w:val="auto"/>
                <w:spacing w:val="-4"/>
                <w:sz w:val="21"/>
                <w:szCs w:val="21"/>
                <w:highlight w:val="none"/>
                <w:u w:val="none" w:color="auto"/>
              </w:rPr>
              <w:t>台</w:t>
            </w:r>
          </w:p>
        </w:tc>
        <w:tc>
          <w:tcPr>
            <w:tcW w:w="1746"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6"/>
                <w:sz w:val="21"/>
                <w:szCs w:val="21"/>
                <w:highlight w:val="none"/>
                <w:u w:val="none" w:color="auto"/>
              </w:rPr>
              <w:t>1</w:t>
            </w:r>
            <w:r>
              <w:rPr>
                <w:rFonts w:hint="eastAsia" w:ascii="宋体" w:hAnsi="宋体" w:eastAsia="宋体" w:cs="宋体"/>
                <w:color w:val="auto"/>
                <w:spacing w:val="-5"/>
                <w:sz w:val="21"/>
                <w:szCs w:val="21"/>
                <w:highlight w:val="none"/>
                <w:u w:val="none" w:color="auto"/>
              </w:rPr>
              <w:t>00升</w:t>
            </w:r>
          </w:p>
        </w:tc>
        <w:tc>
          <w:tcPr>
            <w:tcW w:w="300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新增</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6" w:hRule="atLeast"/>
          <w:jc w:val="center"/>
        </w:trPr>
        <w:tc>
          <w:tcPr>
            <w:tcW w:w="1070"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p>
        </w:tc>
        <w:tc>
          <w:tcPr>
            <w:tcW w:w="18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物</w:t>
            </w:r>
            <w:r>
              <w:rPr>
                <w:rFonts w:hint="eastAsia" w:ascii="宋体" w:hAnsi="宋体" w:eastAsia="宋体" w:cs="宋体"/>
                <w:color w:val="auto"/>
                <w:spacing w:val="-1"/>
                <w:sz w:val="21"/>
                <w:szCs w:val="21"/>
                <w:highlight w:val="none"/>
                <w:u w:val="none" w:color="auto"/>
              </w:rPr>
              <w:t>料接收罐</w:t>
            </w:r>
          </w:p>
        </w:tc>
        <w:tc>
          <w:tcPr>
            <w:tcW w:w="72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6"/>
                <w:sz w:val="21"/>
                <w:szCs w:val="21"/>
                <w:highlight w:val="none"/>
                <w:u w:val="none" w:color="auto"/>
              </w:rPr>
              <w:t>1</w:t>
            </w:r>
            <w:r>
              <w:rPr>
                <w:rFonts w:hint="eastAsia" w:ascii="宋体" w:hAnsi="宋体" w:eastAsia="宋体" w:cs="宋体"/>
                <w:color w:val="auto"/>
                <w:spacing w:val="-4"/>
                <w:sz w:val="21"/>
                <w:szCs w:val="21"/>
                <w:highlight w:val="none"/>
                <w:u w:val="none" w:color="auto"/>
              </w:rPr>
              <w:t>台</w:t>
            </w:r>
          </w:p>
        </w:tc>
        <w:tc>
          <w:tcPr>
            <w:tcW w:w="1746"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300升</w:t>
            </w:r>
          </w:p>
        </w:tc>
        <w:tc>
          <w:tcPr>
            <w:tcW w:w="300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新增</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0" w:hRule="atLeast"/>
          <w:jc w:val="center"/>
        </w:trPr>
        <w:tc>
          <w:tcPr>
            <w:tcW w:w="107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粉</w:t>
            </w:r>
            <w:r>
              <w:rPr>
                <w:rFonts w:hint="eastAsia" w:ascii="宋体" w:hAnsi="宋体" w:eastAsia="宋体" w:cs="宋体"/>
                <w:color w:val="auto"/>
                <w:spacing w:val="-1"/>
                <w:sz w:val="21"/>
                <w:szCs w:val="21"/>
                <w:highlight w:val="none"/>
                <w:u w:val="none" w:color="auto"/>
              </w:rPr>
              <w:t>碎工段</w:t>
            </w:r>
          </w:p>
        </w:tc>
        <w:tc>
          <w:tcPr>
            <w:tcW w:w="18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粉碎</w:t>
            </w:r>
            <w:r>
              <w:rPr>
                <w:rFonts w:hint="eastAsia" w:ascii="宋体" w:hAnsi="宋体" w:eastAsia="宋体" w:cs="宋体"/>
                <w:color w:val="auto"/>
                <w:spacing w:val="-1"/>
                <w:sz w:val="21"/>
                <w:szCs w:val="21"/>
                <w:highlight w:val="none"/>
                <w:u w:val="none" w:color="auto"/>
              </w:rPr>
              <w:t>机</w:t>
            </w:r>
          </w:p>
        </w:tc>
        <w:tc>
          <w:tcPr>
            <w:tcW w:w="72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6"/>
                <w:sz w:val="21"/>
                <w:szCs w:val="21"/>
                <w:highlight w:val="none"/>
                <w:u w:val="none" w:color="auto"/>
              </w:rPr>
              <w:t>1</w:t>
            </w:r>
            <w:r>
              <w:rPr>
                <w:rFonts w:hint="eastAsia" w:ascii="宋体" w:hAnsi="宋体" w:eastAsia="宋体" w:cs="宋体"/>
                <w:color w:val="auto"/>
                <w:spacing w:val="-4"/>
                <w:sz w:val="21"/>
                <w:szCs w:val="21"/>
                <w:highlight w:val="none"/>
                <w:u w:val="none" w:color="auto"/>
              </w:rPr>
              <w:t>台</w:t>
            </w:r>
          </w:p>
        </w:tc>
        <w:tc>
          <w:tcPr>
            <w:tcW w:w="1746"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z w:val="21"/>
                <w:szCs w:val="21"/>
                <w:highlight w:val="none"/>
                <w:u w:val="none" w:color="auto"/>
              </w:rPr>
              <w:t>/</w:t>
            </w:r>
          </w:p>
        </w:tc>
        <w:tc>
          <w:tcPr>
            <w:tcW w:w="300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宋体" w:hAnsi="宋体" w:eastAsia="宋体" w:cs="宋体"/>
                <w:color w:val="auto"/>
                <w:sz w:val="21"/>
                <w:szCs w:val="21"/>
                <w:highlight w:val="none"/>
                <w:u w:val="none" w:color="auto"/>
              </w:rPr>
            </w:pPr>
            <w:r>
              <w:rPr>
                <w:rFonts w:hint="eastAsia" w:ascii="宋体" w:hAnsi="宋体" w:eastAsia="宋体" w:cs="宋体"/>
                <w:color w:val="auto"/>
                <w:spacing w:val="-2"/>
                <w:sz w:val="21"/>
                <w:szCs w:val="21"/>
                <w:highlight w:val="none"/>
                <w:u w:val="none" w:color="auto"/>
              </w:rPr>
              <w:t>新增</w:t>
            </w:r>
          </w:p>
        </w:tc>
      </w:tr>
    </w:tbl>
    <w:p>
      <w:pPr>
        <w:numPr>
          <w:ilvl w:val="0"/>
          <w:numId w:val="0"/>
        </w:numPr>
        <w:spacing w:line="520" w:lineRule="exact"/>
        <w:ind w:firstLine="560" w:firstLineChars="200"/>
        <w:jc w:val="both"/>
        <w:outlineLvl w:val="3"/>
        <w:rPr>
          <w:rFonts w:hint="eastAsia" w:ascii="宋体" w:hAnsi="宋体" w:eastAsia="宋体" w:cs="宋体"/>
          <w:b w:val="0"/>
          <w:bCs w:val="0"/>
          <w:color w:val="auto"/>
          <w:kern w:val="2"/>
          <w:sz w:val="28"/>
          <w:szCs w:val="24"/>
          <w:highlight w:val="none"/>
          <w:lang w:val="en-US" w:eastAsia="zh-CN" w:bidi="ar-SA"/>
        </w:rPr>
      </w:pPr>
      <w:r>
        <w:rPr>
          <w:rFonts w:hint="eastAsia" w:ascii="宋体" w:hAnsi="宋体" w:eastAsia="宋体" w:cs="宋体"/>
          <w:b w:val="0"/>
          <w:bCs w:val="0"/>
          <w:color w:val="auto"/>
          <w:kern w:val="2"/>
          <w:sz w:val="28"/>
          <w:szCs w:val="24"/>
          <w:highlight w:val="none"/>
          <w:lang w:val="en-US" w:eastAsia="zh-CN" w:bidi="ar-SA"/>
        </w:rPr>
        <w:t>（2）主要原辅材料消耗</w:t>
      </w:r>
    </w:p>
    <w:p>
      <w:pPr>
        <w:pStyle w:val="13"/>
        <w:adjustRightInd w:val="0"/>
        <w:snapToGrid w:val="0"/>
        <w:spacing w:line="480" w:lineRule="exact"/>
        <w:ind w:left="0" w:leftChars="0" w:firstLine="0" w:firstLineChars="0"/>
        <w:jc w:val="center"/>
        <w:rPr>
          <w:rFonts w:hint="eastAsia" w:ascii="宋体" w:hAnsi="宋体" w:eastAsia="宋体" w:cs="宋体"/>
          <w:color w:val="auto"/>
          <w:sz w:val="28"/>
          <w:szCs w:val="21"/>
          <w:highlight w:val="none"/>
        </w:rPr>
      </w:pPr>
      <w:bookmarkStart w:id="123" w:name="_Toc161"/>
      <w:bookmarkStart w:id="124" w:name="_Toc107924572"/>
      <w:bookmarkStart w:id="125" w:name="_Toc19828"/>
      <w:r>
        <w:rPr>
          <w:rFonts w:hint="eastAsia" w:ascii="宋体" w:hAnsi="宋体" w:eastAsia="宋体" w:cs="宋体"/>
          <w:b/>
          <w:bCs/>
          <w:color w:val="auto"/>
          <w:sz w:val="28"/>
          <w:szCs w:val="21"/>
          <w:highlight w:val="none"/>
          <w:lang w:val="en-US" w:eastAsia="zh-CN"/>
        </w:rPr>
        <w:t>表4-</w:t>
      </w:r>
      <w:r>
        <w:rPr>
          <w:rFonts w:hint="eastAsia" w:hAnsi="宋体" w:eastAsia="宋体" w:cs="宋体"/>
          <w:b/>
          <w:bCs/>
          <w:color w:val="auto"/>
          <w:sz w:val="28"/>
          <w:szCs w:val="21"/>
          <w:highlight w:val="none"/>
          <w:lang w:val="en-US" w:eastAsia="zh-CN"/>
        </w:rPr>
        <w:t>3</w:t>
      </w:r>
      <w:r>
        <w:rPr>
          <w:rFonts w:hint="eastAsia" w:ascii="宋体" w:hAnsi="宋体" w:eastAsia="宋体" w:cs="宋体"/>
          <w:b/>
          <w:bCs/>
          <w:color w:val="auto"/>
          <w:sz w:val="28"/>
          <w:szCs w:val="21"/>
          <w:highlight w:val="none"/>
        </w:rPr>
        <w:t>原辅材料、中间产品、产品</w:t>
      </w:r>
      <w:r>
        <w:rPr>
          <w:rFonts w:hint="eastAsia" w:hAnsi="宋体" w:eastAsia="宋体" w:cs="宋体"/>
          <w:b/>
          <w:bCs/>
          <w:color w:val="auto"/>
          <w:sz w:val="28"/>
          <w:szCs w:val="21"/>
          <w:highlight w:val="none"/>
          <w:lang w:val="en-US" w:eastAsia="zh-CN"/>
        </w:rPr>
        <w:t>能耗</w:t>
      </w:r>
      <w:r>
        <w:rPr>
          <w:rFonts w:hint="eastAsia" w:ascii="宋体" w:hAnsi="宋体" w:eastAsia="宋体" w:cs="宋体"/>
          <w:b/>
          <w:bCs/>
          <w:color w:val="auto"/>
          <w:sz w:val="28"/>
          <w:szCs w:val="21"/>
          <w:highlight w:val="none"/>
        </w:rPr>
        <w:t>一览表</w:t>
      </w:r>
    </w:p>
    <w:tbl>
      <w:tblPr>
        <w:tblStyle w:val="46"/>
        <w:tblW w:w="8427" w:type="dxa"/>
        <w:tblInd w:w="4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436"/>
        <w:gridCol w:w="1395"/>
        <w:gridCol w:w="877"/>
        <w:gridCol w:w="1349"/>
        <w:gridCol w:w="1572"/>
        <w:gridCol w:w="1798"/>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83" w:hRule="atLeast"/>
        </w:trPr>
        <w:tc>
          <w:tcPr>
            <w:tcW w:w="1436" w:type="dxa"/>
            <w:tcBorders>
              <w:left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p>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产品名称</w:t>
            </w:r>
          </w:p>
        </w:tc>
        <w:tc>
          <w:tcPr>
            <w:tcW w:w="1395" w:type="dxa"/>
            <w:tcBorders>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p>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名称</w:t>
            </w:r>
          </w:p>
        </w:tc>
        <w:tc>
          <w:tcPr>
            <w:tcW w:w="877" w:type="dxa"/>
            <w:tcBorders>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规格指标</w:t>
            </w:r>
          </w:p>
        </w:tc>
        <w:tc>
          <w:tcPr>
            <w:tcW w:w="1349" w:type="dxa"/>
            <w:tcBorders>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年消耗量</w:t>
            </w:r>
          </w:p>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(t/a)</w:t>
            </w:r>
          </w:p>
        </w:tc>
        <w:tc>
          <w:tcPr>
            <w:tcW w:w="1572" w:type="dxa"/>
            <w:tcBorders>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吨产品消耗量</w:t>
            </w:r>
          </w:p>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(t/t产品)</w:t>
            </w:r>
          </w:p>
        </w:tc>
        <w:tc>
          <w:tcPr>
            <w:tcW w:w="1798" w:type="dxa"/>
            <w:tcBorders>
              <w:bottom w:val="single" w:color="000000" w:sz="2" w:space="0"/>
              <w:right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p>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备注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9" w:hRule="atLeast"/>
        </w:trPr>
        <w:tc>
          <w:tcPr>
            <w:tcW w:w="1436" w:type="dxa"/>
            <w:vMerge w:val="restart"/>
            <w:tcBorders>
              <w:top w:val="single" w:color="000000" w:sz="2" w:space="0"/>
              <w:left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p>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p>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1-4酸钠盐(1925t/a)</w:t>
            </w:r>
          </w:p>
        </w:tc>
        <w:tc>
          <w:tcPr>
            <w:tcW w:w="1395"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甲萘胺</w:t>
            </w:r>
          </w:p>
        </w:tc>
        <w:tc>
          <w:tcPr>
            <w:tcW w:w="877"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96%</w:t>
            </w:r>
          </w:p>
        </w:tc>
        <w:tc>
          <w:tcPr>
            <w:tcW w:w="1349"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902.8</w:t>
            </w:r>
          </w:p>
        </w:tc>
        <w:tc>
          <w:tcPr>
            <w:tcW w:w="1572"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0.469</w:t>
            </w:r>
          </w:p>
        </w:tc>
        <w:tc>
          <w:tcPr>
            <w:tcW w:w="1798" w:type="dxa"/>
            <w:tcBorders>
              <w:top w:val="single" w:color="000000" w:sz="2" w:space="0"/>
              <w:bottom w:val="single" w:color="000000" w:sz="2" w:space="0"/>
              <w:right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桶装，250kg/桶</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8" w:hRule="atLeast"/>
        </w:trPr>
        <w:tc>
          <w:tcPr>
            <w:tcW w:w="1436" w:type="dxa"/>
            <w:vMerge w:val="continue"/>
            <w:tcBorders>
              <w:top w:val="single" w:color="000000" w:sz="2" w:space="0"/>
              <w:left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p>
        </w:tc>
        <w:tc>
          <w:tcPr>
            <w:tcW w:w="1395"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硫酸</w:t>
            </w:r>
          </w:p>
        </w:tc>
        <w:tc>
          <w:tcPr>
            <w:tcW w:w="877"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98%</w:t>
            </w:r>
          </w:p>
        </w:tc>
        <w:tc>
          <w:tcPr>
            <w:tcW w:w="1349"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633.3</w:t>
            </w:r>
          </w:p>
        </w:tc>
        <w:tc>
          <w:tcPr>
            <w:tcW w:w="1572"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0.329</w:t>
            </w:r>
          </w:p>
        </w:tc>
        <w:tc>
          <w:tcPr>
            <w:tcW w:w="1798" w:type="dxa"/>
            <w:tcBorders>
              <w:top w:val="single" w:color="000000" w:sz="2" w:space="0"/>
              <w:bottom w:val="single" w:color="000000" w:sz="2" w:space="0"/>
              <w:right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储罐</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9" w:hRule="atLeast"/>
        </w:trPr>
        <w:tc>
          <w:tcPr>
            <w:tcW w:w="1436" w:type="dxa"/>
            <w:vMerge w:val="continue"/>
            <w:tcBorders>
              <w:top w:val="single" w:color="000000" w:sz="2" w:space="0"/>
              <w:left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p>
        </w:tc>
        <w:tc>
          <w:tcPr>
            <w:tcW w:w="1395"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纯碱</w:t>
            </w:r>
          </w:p>
        </w:tc>
        <w:tc>
          <w:tcPr>
            <w:tcW w:w="877"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98%</w:t>
            </w:r>
          </w:p>
        </w:tc>
        <w:tc>
          <w:tcPr>
            <w:tcW w:w="1349"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390.78</w:t>
            </w:r>
          </w:p>
        </w:tc>
        <w:tc>
          <w:tcPr>
            <w:tcW w:w="1572"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0.203</w:t>
            </w:r>
          </w:p>
        </w:tc>
        <w:tc>
          <w:tcPr>
            <w:tcW w:w="1798" w:type="dxa"/>
            <w:tcBorders>
              <w:top w:val="single" w:color="000000" w:sz="2" w:space="0"/>
              <w:bottom w:val="single" w:color="000000" w:sz="2" w:space="0"/>
              <w:right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袋装</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9" w:hRule="atLeast"/>
        </w:trPr>
        <w:tc>
          <w:tcPr>
            <w:tcW w:w="1436" w:type="dxa"/>
            <w:vMerge w:val="continue"/>
            <w:tcBorders>
              <w:top w:val="single" w:color="000000" w:sz="2" w:space="0"/>
              <w:left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p>
        </w:tc>
        <w:tc>
          <w:tcPr>
            <w:tcW w:w="1395"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邻二氯苯</w:t>
            </w:r>
          </w:p>
        </w:tc>
        <w:tc>
          <w:tcPr>
            <w:tcW w:w="877"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98%</w:t>
            </w:r>
          </w:p>
        </w:tc>
        <w:tc>
          <w:tcPr>
            <w:tcW w:w="1349"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80.85</w:t>
            </w:r>
          </w:p>
        </w:tc>
        <w:tc>
          <w:tcPr>
            <w:tcW w:w="1572"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0.042</w:t>
            </w:r>
          </w:p>
        </w:tc>
        <w:tc>
          <w:tcPr>
            <w:tcW w:w="1798" w:type="dxa"/>
            <w:tcBorders>
              <w:top w:val="single" w:color="000000" w:sz="2" w:space="0"/>
              <w:bottom w:val="single" w:color="000000" w:sz="2" w:space="0"/>
              <w:right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桶装，250kg/桶</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9" w:hRule="atLeast"/>
        </w:trPr>
        <w:tc>
          <w:tcPr>
            <w:tcW w:w="1436" w:type="dxa"/>
            <w:vMerge w:val="restart"/>
            <w:tcBorders>
              <w:top w:val="single" w:color="000000" w:sz="2" w:space="0"/>
              <w:left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p>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p>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尼文酸(520t/a)</w:t>
            </w:r>
          </w:p>
        </w:tc>
        <w:tc>
          <w:tcPr>
            <w:tcW w:w="1395"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1-4酸钠盐</w:t>
            </w:r>
          </w:p>
        </w:tc>
        <w:tc>
          <w:tcPr>
            <w:tcW w:w="877"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74.6%</w:t>
            </w:r>
          </w:p>
        </w:tc>
        <w:tc>
          <w:tcPr>
            <w:tcW w:w="1349"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425</w:t>
            </w:r>
          </w:p>
        </w:tc>
        <w:tc>
          <w:tcPr>
            <w:tcW w:w="1572"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0.817</w:t>
            </w:r>
          </w:p>
        </w:tc>
        <w:tc>
          <w:tcPr>
            <w:tcW w:w="1798" w:type="dxa"/>
            <w:tcBorders>
              <w:top w:val="single" w:color="000000" w:sz="2" w:space="0"/>
              <w:bottom w:val="single" w:color="000000" w:sz="2" w:space="0"/>
              <w:right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袋装</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9" w:hRule="atLeast"/>
        </w:trPr>
        <w:tc>
          <w:tcPr>
            <w:tcW w:w="1436" w:type="dxa"/>
            <w:vMerge w:val="continue"/>
            <w:tcBorders>
              <w:top w:val="single" w:color="000000" w:sz="2" w:space="0"/>
              <w:left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p>
        </w:tc>
        <w:tc>
          <w:tcPr>
            <w:tcW w:w="1395"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焦亚硫酸钠</w:t>
            </w:r>
          </w:p>
        </w:tc>
        <w:tc>
          <w:tcPr>
            <w:tcW w:w="877"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96%</w:t>
            </w:r>
          </w:p>
        </w:tc>
        <w:tc>
          <w:tcPr>
            <w:tcW w:w="1349"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127</w:t>
            </w:r>
          </w:p>
        </w:tc>
        <w:tc>
          <w:tcPr>
            <w:tcW w:w="1572"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0.244</w:t>
            </w:r>
          </w:p>
        </w:tc>
        <w:tc>
          <w:tcPr>
            <w:tcW w:w="1798" w:type="dxa"/>
            <w:tcBorders>
              <w:top w:val="single" w:color="000000" w:sz="2" w:space="0"/>
              <w:bottom w:val="single" w:color="000000" w:sz="2" w:space="0"/>
              <w:right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袋装</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9" w:hRule="atLeast"/>
        </w:trPr>
        <w:tc>
          <w:tcPr>
            <w:tcW w:w="1436" w:type="dxa"/>
            <w:vMerge w:val="continue"/>
            <w:tcBorders>
              <w:top w:val="single" w:color="000000" w:sz="2" w:space="0"/>
              <w:left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p>
        </w:tc>
        <w:tc>
          <w:tcPr>
            <w:tcW w:w="1395"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盐酸</w:t>
            </w:r>
          </w:p>
        </w:tc>
        <w:tc>
          <w:tcPr>
            <w:tcW w:w="877"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33%</w:t>
            </w:r>
          </w:p>
        </w:tc>
        <w:tc>
          <w:tcPr>
            <w:tcW w:w="1349"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534.0</w:t>
            </w:r>
          </w:p>
        </w:tc>
        <w:tc>
          <w:tcPr>
            <w:tcW w:w="1572"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1.027</w:t>
            </w:r>
          </w:p>
        </w:tc>
        <w:tc>
          <w:tcPr>
            <w:tcW w:w="1798" w:type="dxa"/>
            <w:tcBorders>
              <w:top w:val="single" w:color="000000" w:sz="2" w:space="0"/>
              <w:bottom w:val="single" w:color="000000" w:sz="2" w:space="0"/>
              <w:right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储罐</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8" w:hRule="atLeast"/>
        </w:trPr>
        <w:tc>
          <w:tcPr>
            <w:tcW w:w="1436" w:type="dxa"/>
            <w:vMerge w:val="continue"/>
            <w:tcBorders>
              <w:top w:val="single" w:color="000000" w:sz="2" w:space="0"/>
              <w:left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p>
        </w:tc>
        <w:tc>
          <w:tcPr>
            <w:tcW w:w="1395"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氢氧化钠</w:t>
            </w:r>
          </w:p>
        </w:tc>
        <w:tc>
          <w:tcPr>
            <w:tcW w:w="877"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33%</w:t>
            </w:r>
          </w:p>
        </w:tc>
        <w:tc>
          <w:tcPr>
            <w:tcW w:w="1349"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460.7</w:t>
            </w:r>
          </w:p>
        </w:tc>
        <w:tc>
          <w:tcPr>
            <w:tcW w:w="1572"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0.886</w:t>
            </w:r>
          </w:p>
        </w:tc>
        <w:tc>
          <w:tcPr>
            <w:tcW w:w="1798" w:type="dxa"/>
            <w:tcBorders>
              <w:top w:val="single" w:color="000000" w:sz="2" w:space="0"/>
              <w:bottom w:val="single" w:color="000000" w:sz="2" w:space="0"/>
              <w:right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储罐</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9" w:hRule="atLeast"/>
        </w:trPr>
        <w:tc>
          <w:tcPr>
            <w:tcW w:w="1436" w:type="dxa"/>
            <w:vMerge w:val="restart"/>
            <w:tcBorders>
              <w:top w:val="single" w:color="000000" w:sz="2" w:space="0"/>
              <w:left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p>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p>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甲酸乙酯(1500t/a)</w:t>
            </w:r>
          </w:p>
        </w:tc>
        <w:tc>
          <w:tcPr>
            <w:tcW w:w="1395"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甲酸</w:t>
            </w:r>
          </w:p>
        </w:tc>
        <w:tc>
          <w:tcPr>
            <w:tcW w:w="877"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85%</w:t>
            </w:r>
          </w:p>
        </w:tc>
        <w:tc>
          <w:tcPr>
            <w:tcW w:w="1349"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1150.5</w:t>
            </w:r>
          </w:p>
        </w:tc>
        <w:tc>
          <w:tcPr>
            <w:tcW w:w="1572"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0.767</w:t>
            </w:r>
          </w:p>
        </w:tc>
        <w:tc>
          <w:tcPr>
            <w:tcW w:w="1798" w:type="dxa"/>
            <w:tcBorders>
              <w:top w:val="single" w:color="000000" w:sz="2" w:space="0"/>
              <w:bottom w:val="single" w:color="000000" w:sz="2" w:space="0"/>
              <w:right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储罐</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9" w:hRule="atLeast"/>
        </w:trPr>
        <w:tc>
          <w:tcPr>
            <w:tcW w:w="1436" w:type="dxa"/>
            <w:vMerge w:val="continue"/>
            <w:tcBorders>
              <w:top w:val="single" w:color="000000" w:sz="2" w:space="0"/>
              <w:left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p>
        </w:tc>
        <w:tc>
          <w:tcPr>
            <w:tcW w:w="1395"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乙醇</w:t>
            </w:r>
          </w:p>
        </w:tc>
        <w:tc>
          <w:tcPr>
            <w:tcW w:w="877"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95%</w:t>
            </w:r>
          </w:p>
        </w:tc>
        <w:tc>
          <w:tcPr>
            <w:tcW w:w="1349"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1018.5</w:t>
            </w:r>
          </w:p>
        </w:tc>
        <w:tc>
          <w:tcPr>
            <w:tcW w:w="1572"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0.679</w:t>
            </w:r>
          </w:p>
        </w:tc>
        <w:tc>
          <w:tcPr>
            <w:tcW w:w="1798" w:type="dxa"/>
            <w:tcBorders>
              <w:top w:val="single" w:color="000000" w:sz="2" w:space="0"/>
              <w:bottom w:val="single" w:color="000000" w:sz="2" w:space="0"/>
              <w:right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储罐</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9" w:hRule="atLeast"/>
        </w:trPr>
        <w:tc>
          <w:tcPr>
            <w:tcW w:w="1436" w:type="dxa"/>
            <w:vMerge w:val="continue"/>
            <w:tcBorders>
              <w:top w:val="single" w:color="000000" w:sz="2" w:space="0"/>
              <w:left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p>
        </w:tc>
        <w:tc>
          <w:tcPr>
            <w:tcW w:w="1395"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硫酸</w:t>
            </w:r>
          </w:p>
        </w:tc>
        <w:tc>
          <w:tcPr>
            <w:tcW w:w="877"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98%</w:t>
            </w:r>
          </w:p>
        </w:tc>
        <w:tc>
          <w:tcPr>
            <w:tcW w:w="1349"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5.25</w:t>
            </w:r>
          </w:p>
        </w:tc>
        <w:tc>
          <w:tcPr>
            <w:tcW w:w="1572"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0.0035</w:t>
            </w:r>
          </w:p>
        </w:tc>
        <w:tc>
          <w:tcPr>
            <w:tcW w:w="1798" w:type="dxa"/>
            <w:tcBorders>
              <w:top w:val="single" w:color="000000" w:sz="2" w:space="0"/>
              <w:bottom w:val="single" w:color="000000" w:sz="2" w:space="0"/>
              <w:right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储罐</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8" w:hRule="atLeast"/>
        </w:trPr>
        <w:tc>
          <w:tcPr>
            <w:tcW w:w="1436" w:type="dxa"/>
            <w:vMerge w:val="continue"/>
            <w:tcBorders>
              <w:top w:val="single" w:color="000000" w:sz="2" w:space="0"/>
              <w:left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p>
        </w:tc>
        <w:tc>
          <w:tcPr>
            <w:tcW w:w="1395"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无水氯化钙</w:t>
            </w:r>
          </w:p>
        </w:tc>
        <w:tc>
          <w:tcPr>
            <w:tcW w:w="877"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w:t>
            </w:r>
          </w:p>
        </w:tc>
        <w:tc>
          <w:tcPr>
            <w:tcW w:w="1349"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75</w:t>
            </w:r>
          </w:p>
        </w:tc>
        <w:tc>
          <w:tcPr>
            <w:tcW w:w="1572"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0.05</w:t>
            </w:r>
          </w:p>
        </w:tc>
        <w:tc>
          <w:tcPr>
            <w:tcW w:w="1798" w:type="dxa"/>
            <w:tcBorders>
              <w:top w:val="single" w:color="000000" w:sz="2" w:space="0"/>
              <w:bottom w:val="single" w:color="000000" w:sz="2" w:space="0"/>
              <w:right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袋装</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8" w:hRule="atLeast"/>
        </w:trPr>
        <w:tc>
          <w:tcPr>
            <w:tcW w:w="1436" w:type="dxa"/>
            <w:vMerge w:val="restart"/>
            <w:tcBorders>
              <w:top w:val="single" w:color="000000" w:sz="2" w:space="0"/>
              <w:left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p>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p>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丙酸乙酯(500t/a)</w:t>
            </w:r>
          </w:p>
        </w:tc>
        <w:tc>
          <w:tcPr>
            <w:tcW w:w="1395"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丙酸</w:t>
            </w:r>
          </w:p>
        </w:tc>
        <w:tc>
          <w:tcPr>
            <w:tcW w:w="877"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99%</w:t>
            </w:r>
          </w:p>
        </w:tc>
        <w:tc>
          <w:tcPr>
            <w:tcW w:w="1349"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385</w:t>
            </w:r>
          </w:p>
        </w:tc>
        <w:tc>
          <w:tcPr>
            <w:tcW w:w="1572"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0.77</w:t>
            </w:r>
          </w:p>
        </w:tc>
        <w:tc>
          <w:tcPr>
            <w:tcW w:w="1798" w:type="dxa"/>
            <w:tcBorders>
              <w:top w:val="single" w:color="000000" w:sz="2" w:space="0"/>
              <w:bottom w:val="single" w:color="000000" w:sz="2" w:space="0"/>
              <w:right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储罐</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9" w:hRule="atLeast"/>
        </w:trPr>
        <w:tc>
          <w:tcPr>
            <w:tcW w:w="1436" w:type="dxa"/>
            <w:vMerge w:val="continue"/>
            <w:tcBorders>
              <w:top w:val="single" w:color="000000" w:sz="2" w:space="0"/>
              <w:left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p>
        </w:tc>
        <w:tc>
          <w:tcPr>
            <w:tcW w:w="1395"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乙醇</w:t>
            </w:r>
          </w:p>
        </w:tc>
        <w:tc>
          <w:tcPr>
            <w:tcW w:w="877"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95%</w:t>
            </w:r>
          </w:p>
        </w:tc>
        <w:tc>
          <w:tcPr>
            <w:tcW w:w="1349"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252</w:t>
            </w:r>
          </w:p>
        </w:tc>
        <w:tc>
          <w:tcPr>
            <w:tcW w:w="1572"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0.504</w:t>
            </w:r>
          </w:p>
        </w:tc>
        <w:tc>
          <w:tcPr>
            <w:tcW w:w="1798" w:type="dxa"/>
            <w:tcBorders>
              <w:top w:val="single" w:color="000000" w:sz="2" w:space="0"/>
              <w:bottom w:val="single" w:color="000000" w:sz="2" w:space="0"/>
              <w:right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储罐</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9" w:hRule="atLeast"/>
        </w:trPr>
        <w:tc>
          <w:tcPr>
            <w:tcW w:w="1436" w:type="dxa"/>
            <w:vMerge w:val="continue"/>
            <w:tcBorders>
              <w:top w:val="single" w:color="000000" w:sz="2" w:space="0"/>
              <w:left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p>
        </w:tc>
        <w:tc>
          <w:tcPr>
            <w:tcW w:w="1395"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硫酸</w:t>
            </w:r>
          </w:p>
        </w:tc>
        <w:tc>
          <w:tcPr>
            <w:tcW w:w="877"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98%</w:t>
            </w:r>
          </w:p>
        </w:tc>
        <w:tc>
          <w:tcPr>
            <w:tcW w:w="1349"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1.75</w:t>
            </w:r>
          </w:p>
        </w:tc>
        <w:tc>
          <w:tcPr>
            <w:tcW w:w="1572"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0.0035</w:t>
            </w:r>
          </w:p>
        </w:tc>
        <w:tc>
          <w:tcPr>
            <w:tcW w:w="1798" w:type="dxa"/>
            <w:tcBorders>
              <w:top w:val="single" w:color="000000" w:sz="2" w:space="0"/>
              <w:bottom w:val="single" w:color="000000" w:sz="2" w:space="0"/>
              <w:right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储罐</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9" w:hRule="atLeast"/>
        </w:trPr>
        <w:tc>
          <w:tcPr>
            <w:tcW w:w="1436" w:type="dxa"/>
            <w:vMerge w:val="continue"/>
            <w:tcBorders>
              <w:top w:val="single" w:color="000000" w:sz="2" w:space="0"/>
              <w:left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p>
        </w:tc>
        <w:tc>
          <w:tcPr>
            <w:tcW w:w="1395"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无水氯化钙</w:t>
            </w:r>
          </w:p>
        </w:tc>
        <w:tc>
          <w:tcPr>
            <w:tcW w:w="877"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w:t>
            </w:r>
          </w:p>
        </w:tc>
        <w:tc>
          <w:tcPr>
            <w:tcW w:w="1349"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25</w:t>
            </w:r>
          </w:p>
        </w:tc>
        <w:tc>
          <w:tcPr>
            <w:tcW w:w="1572"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0.05</w:t>
            </w:r>
          </w:p>
        </w:tc>
        <w:tc>
          <w:tcPr>
            <w:tcW w:w="1798" w:type="dxa"/>
            <w:tcBorders>
              <w:top w:val="single" w:color="000000" w:sz="2" w:space="0"/>
              <w:bottom w:val="single" w:color="000000" w:sz="2" w:space="0"/>
              <w:right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袋装</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9" w:hRule="atLeast"/>
        </w:trPr>
        <w:tc>
          <w:tcPr>
            <w:tcW w:w="1436" w:type="dxa"/>
            <w:vMerge w:val="restart"/>
            <w:tcBorders>
              <w:top w:val="single" w:color="000000" w:sz="2" w:space="0"/>
              <w:left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p>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溴化氢乙酸溶液</w:t>
            </w:r>
          </w:p>
        </w:tc>
        <w:tc>
          <w:tcPr>
            <w:tcW w:w="1395"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溴素</w:t>
            </w:r>
          </w:p>
        </w:tc>
        <w:tc>
          <w:tcPr>
            <w:tcW w:w="877"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99%</w:t>
            </w:r>
          </w:p>
        </w:tc>
        <w:tc>
          <w:tcPr>
            <w:tcW w:w="1349"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197.4</w:t>
            </w:r>
          </w:p>
        </w:tc>
        <w:tc>
          <w:tcPr>
            <w:tcW w:w="1572"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0.329</w:t>
            </w:r>
          </w:p>
        </w:tc>
        <w:tc>
          <w:tcPr>
            <w:tcW w:w="1798" w:type="dxa"/>
            <w:tcBorders>
              <w:top w:val="single" w:color="000000" w:sz="2" w:space="0"/>
              <w:bottom w:val="single" w:color="000000" w:sz="2" w:space="0"/>
              <w:right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桶装</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9" w:hRule="atLeast"/>
        </w:trPr>
        <w:tc>
          <w:tcPr>
            <w:tcW w:w="1436" w:type="dxa"/>
            <w:vMerge w:val="continue"/>
            <w:tcBorders>
              <w:left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p>
        </w:tc>
        <w:tc>
          <w:tcPr>
            <w:tcW w:w="1395"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氢气</w:t>
            </w:r>
          </w:p>
        </w:tc>
        <w:tc>
          <w:tcPr>
            <w:tcW w:w="877"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99.99%</w:t>
            </w:r>
          </w:p>
        </w:tc>
        <w:tc>
          <w:tcPr>
            <w:tcW w:w="1349"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2.7</w:t>
            </w:r>
          </w:p>
        </w:tc>
        <w:tc>
          <w:tcPr>
            <w:tcW w:w="1572"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0.0045</w:t>
            </w:r>
          </w:p>
        </w:tc>
        <w:tc>
          <w:tcPr>
            <w:tcW w:w="1798" w:type="dxa"/>
            <w:tcBorders>
              <w:top w:val="single" w:color="000000" w:sz="2" w:space="0"/>
              <w:bottom w:val="single" w:color="000000" w:sz="2" w:space="0"/>
              <w:right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40L钢瓶储存</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4" w:hRule="atLeast"/>
        </w:trPr>
        <w:tc>
          <w:tcPr>
            <w:tcW w:w="1436" w:type="dxa"/>
            <w:vMerge w:val="continue"/>
            <w:tcBorders>
              <w:left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p>
        </w:tc>
        <w:tc>
          <w:tcPr>
            <w:tcW w:w="1395"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乙酸</w:t>
            </w:r>
          </w:p>
        </w:tc>
        <w:tc>
          <w:tcPr>
            <w:tcW w:w="877"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99%</w:t>
            </w:r>
          </w:p>
        </w:tc>
        <w:tc>
          <w:tcPr>
            <w:tcW w:w="1349"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402.69</w:t>
            </w:r>
          </w:p>
        </w:tc>
        <w:tc>
          <w:tcPr>
            <w:tcW w:w="1572"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0.671</w:t>
            </w:r>
          </w:p>
        </w:tc>
        <w:tc>
          <w:tcPr>
            <w:tcW w:w="1798" w:type="dxa"/>
            <w:tcBorders>
              <w:top w:val="single" w:color="000000" w:sz="2" w:space="0"/>
              <w:bottom w:val="single" w:color="000000" w:sz="2" w:space="0"/>
              <w:right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塑料桶装</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4" w:hRule="atLeast"/>
        </w:trPr>
        <w:tc>
          <w:tcPr>
            <w:tcW w:w="1436" w:type="dxa"/>
            <w:vMerge w:val="continue"/>
            <w:tcBorders>
              <w:left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p>
        </w:tc>
        <w:tc>
          <w:tcPr>
            <w:tcW w:w="1395"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赤磷</w:t>
            </w:r>
          </w:p>
        </w:tc>
        <w:tc>
          <w:tcPr>
            <w:tcW w:w="877"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99%</w:t>
            </w:r>
          </w:p>
        </w:tc>
        <w:tc>
          <w:tcPr>
            <w:tcW w:w="1349"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0.1</w:t>
            </w:r>
          </w:p>
        </w:tc>
        <w:tc>
          <w:tcPr>
            <w:tcW w:w="1572"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0.00017</w:t>
            </w:r>
          </w:p>
        </w:tc>
        <w:tc>
          <w:tcPr>
            <w:tcW w:w="1798" w:type="dxa"/>
            <w:tcBorders>
              <w:top w:val="single" w:color="000000" w:sz="2" w:space="0"/>
              <w:bottom w:val="single" w:color="000000" w:sz="2" w:space="0"/>
              <w:right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铁桶装</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9" w:hRule="atLeast"/>
        </w:trPr>
        <w:tc>
          <w:tcPr>
            <w:tcW w:w="1436" w:type="dxa"/>
            <w:vMerge w:val="restart"/>
            <w:tcBorders>
              <w:top w:val="single" w:color="000000" w:sz="2" w:space="0"/>
              <w:left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p>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中间产物溴化氢</w:t>
            </w:r>
          </w:p>
        </w:tc>
        <w:tc>
          <w:tcPr>
            <w:tcW w:w="1395"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溴素</w:t>
            </w:r>
          </w:p>
        </w:tc>
        <w:tc>
          <w:tcPr>
            <w:tcW w:w="877"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99%</w:t>
            </w:r>
          </w:p>
        </w:tc>
        <w:tc>
          <w:tcPr>
            <w:tcW w:w="1349"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559.4</w:t>
            </w:r>
          </w:p>
        </w:tc>
        <w:tc>
          <w:tcPr>
            <w:tcW w:w="1572"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0.993</w:t>
            </w:r>
          </w:p>
        </w:tc>
        <w:tc>
          <w:tcPr>
            <w:tcW w:w="1798" w:type="dxa"/>
            <w:tcBorders>
              <w:top w:val="single" w:color="000000" w:sz="2" w:space="0"/>
              <w:bottom w:val="single" w:color="000000" w:sz="2" w:space="0"/>
              <w:right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桶装</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9" w:hRule="atLeast"/>
        </w:trPr>
        <w:tc>
          <w:tcPr>
            <w:tcW w:w="1436" w:type="dxa"/>
            <w:vMerge w:val="continue"/>
            <w:tcBorders>
              <w:top w:val="single" w:color="000000" w:sz="2" w:space="0"/>
              <w:left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p>
        </w:tc>
        <w:tc>
          <w:tcPr>
            <w:tcW w:w="1395"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氢气</w:t>
            </w:r>
          </w:p>
        </w:tc>
        <w:tc>
          <w:tcPr>
            <w:tcW w:w="877"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99.99%</w:t>
            </w:r>
          </w:p>
        </w:tc>
        <w:tc>
          <w:tcPr>
            <w:tcW w:w="1349"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6.89</w:t>
            </w:r>
          </w:p>
        </w:tc>
        <w:tc>
          <w:tcPr>
            <w:tcW w:w="1572"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0.0122</w:t>
            </w:r>
          </w:p>
        </w:tc>
        <w:tc>
          <w:tcPr>
            <w:tcW w:w="1798" w:type="dxa"/>
            <w:tcBorders>
              <w:top w:val="single" w:color="000000" w:sz="2" w:space="0"/>
              <w:bottom w:val="single" w:color="000000" w:sz="2" w:space="0"/>
              <w:right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40L钢瓶储存</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9" w:hRule="atLeast"/>
        </w:trPr>
        <w:tc>
          <w:tcPr>
            <w:tcW w:w="1436" w:type="dxa"/>
            <w:vMerge w:val="continue"/>
            <w:tcBorders>
              <w:top w:val="single" w:color="000000" w:sz="2" w:space="0"/>
              <w:left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p>
        </w:tc>
        <w:tc>
          <w:tcPr>
            <w:tcW w:w="1395"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赤磷</w:t>
            </w:r>
          </w:p>
        </w:tc>
        <w:tc>
          <w:tcPr>
            <w:tcW w:w="877"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99%</w:t>
            </w:r>
          </w:p>
        </w:tc>
        <w:tc>
          <w:tcPr>
            <w:tcW w:w="1349"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0.18</w:t>
            </w:r>
          </w:p>
        </w:tc>
        <w:tc>
          <w:tcPr>
            <w:tcW w:w="1572"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0.0003</w:t>
            </w:r>
          </w:p>
        </w:tc>
        <w:tc>
          <w:tcPr>
            <w:tcW w:w="1798" w:type="dxa"/>
            <w:tcBorders>
              <w:top w:val="single" w:color="000000" w:sz="2" w:space="0"/>
              <w:bottom w:val="single" w:color="000000" w:sz="2" w:space="0"/>
              <w:right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铁桶装</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58" w:hRule="atLeast"/>
        </w:trPr>
        <w:tc>
          <w:tcPr>
            <w:tcW w:w="1436" w:type="dxa"/>
            <w:vMerge w:val="restart"/>
            <w:tcBorders>
              <w:top w:val="single" w:color="000000" w:sz="2" w:space="0"/>
              <w:left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三溴新戊醇</w:t>
            </w:r>
          </w:p>
        </w:tc>
        <w:tc>
          <w:tcPr>
            <w:tcW w:w="1395"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季戊四醇</w:t>
            </w:r>
          </w:p>
        </w:tc>
        <w:tc>
          <w:tcPr>
            <w:tcW w:w="877"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p>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99%</w:t>
            </w:r>
          </w:p>
        </w:tc>
        <w:tc>
          <w:tcPr>
            <w:tcW w:w="1349"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p>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170.02</w:t>
            </w:r>
          </w:p>
        </w:tc>
        <w:tc>
          <w:tcPr>
            <w:tcW w:w="1572"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p>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0.425</w:t>
            </w:r>
          </w:p>
        </w:tc>
        <w:tc>
          <w:tcPr>
            <w:tcW w:w="1798" w:type="dxa"/>
            <w:tcBorders>
              <w:top w:val="single" w:color="000000" w:sz="2" w:space="0"/>
              <w:bottom w:val="single" w:color="000000" w:sz="2" w:space="0"/>
              <w:right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白色颗粒结晶体，袋装</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59" w:hRule="atLeast"/>
        </w:trPr>
        <w:tc>
          <w:tcPr>
            <w:tcW w:w="1436" w:type="dxa"/>
            <w:vMerge w:val="continue"/>
            <w:tcBorders>
              <w:top w:val="single" w:color="000000" w:sz="2" w:space="0"/>
              <w:left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p>
        </w:tc>
        <w:tc>
          <w:tcPr>
            <w:tcW w:w="1395"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溴化氢</w:t>
            </w:r>
          </w:p>
        </w:tc>
        <w:tc>
          <w:tcPr>
            <w:tcW w:w="877"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p>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99%</w:t>
            </w:r>
          </w:p>
        </w:tc>
        <w:tc>
          <w:tcPr>
            <w:tcW w:w="1349"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p>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316.90</w:t>
            </w:r>
          </w:p>
        </w:tc>
        <w:tc>
          <w:tcPr>
            <w:tcW w:w="1572"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p>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0.79</w:t>
            </w:r>
          </w:p>
        </w:tc>
        <w:tc>
          <w:tcPr>
            <w:tcW w:w="1798" w:type="dxa"/>
            <w:tcBorders>
              <w:top w:val="single" w:color="000000" w:sz="2" w:space="0"/>
              <w:bottom w:val="single" w:color="000000" w:sz="2" w:space="0"/>
              <w:right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由溴化氢乙酸溶液生产线提供</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9" w:hRule="atLeast"/>
        </w:trPr>
        <w:tc>
          <w:tcPr>
            <w:tcW w:w="1436" w:type="dxa"/>
            <w:vMerge w:val="continue"/>
            <w:tcBorders>
              <w:top w:val="single" w:color="000000" w:sz="2" w:space="0"/>
              <w:left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p>
        </w:tc>
        <w:tc>
          <w:tcPr>
            <w:tcW w:w="1395"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冰醋酸</w:t>
            </w:r>
          </w:p>
        </w:tc>
        <w:tc>
          <w:tcPr>
            <w:tcW w:w="877"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99%</w:t>
            </w:r>
          </w:p>
        </w:tc>
        <w:tc>
          <w:tcPr>
            <w:tcW w:w="1349"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8.75</w:t>
            </w:r>
          </w:p>
        </w:tc>
        <w:tc>
          <w:tcPr>
            <w:tcW w:w="1572"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0.022</w:t>
            </w:r>
          </w:p>
        </w:tc>
        <w:tc>
          <w:tcPr>
            <w:tcW w:w="1798" w:type="dxa"/>
            <w:tcBorders>
              <w:top w:val="single" w:color="000000" w:sz="2" w:space="0"/>
              <w:bottom w:val="single" w:color="000000" w:sz="2" w:space="0"/>
              <w:right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塑料桶装</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59" w:hRule="atLeast"/>
        </w:trPr>
        <w:tc>
          <w:tcPr>
            <w:tcW w:w="1436" w:type="dxa"/>
            <w:vMerge w:val="continue"/>
            <w:tcBorders>
              <w:top w:val="single" w:color="000000" w:sz="2" w:space="0"/>
              <w:left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p>
        </w:tc>
        <w:tc>
          <w:tcPr>
            <w:tcW w:w="1395"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甲醇</w:t>
            </w:r>
          </w:p>
        </w:tc>
        <w:tc>
          <w:tcPr>
            <w:tcW w:w="877"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p>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99%</w:t>
            </w:r>
          </w:p>
        </w:tc>
        <w:tc>
          <w:tcPr>
            <w:tcW w:w="1349"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p>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8.27</w:t>
            </w:r>
          </w:p>
        </w:tc>
        <w:tc>
          <w:tcPr>
            <w:tcW w:w="1572"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p>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0.021</w:t>
            </w:r>
          </w:p>
        </w:tc>
        <w:tc>
          <w:tcPr>
            <w:tcW w:w="1798" w:type="dxa"/>
            <w:tcBorders>
              <w:top w:val="single" w:color="000000" w:sz="2" w:space="0"/>
              <w:bottom w:val="single" w:color="000000" w:sz="2" w:space="0"/>
              <w:right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200公斤的镀锌铁桶装</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9" w:hRule="atLeast"/>
        </w:trPr>
        <w:tc>
          <w:tcPr>
            <w:tcW w:w="1436" w:type="dxa"/>
            <w:vMerge w:val="restart"/>
            <w:tcBorders>
              <w:top w:val="single" w:color="000000" w:sz="2" w:space="0"/>
              <w:left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三溴磷酸酯</w:t>
            </w:r>
          </w:p>
        </w:tc>
        <w:tc>
          <w:tcPr>
            <w:tcW w:w="1395"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三溴新戊醇</w:t>
            </w:r>
          </w:p>
        </w:tc>
        <w:tc>
          <w:tcPr>
            <w:tcW w:w="877"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99%</w:t>
            </w:r>
          </w:p>
        </w:tc>
        <w:tc>
          <w:tcPr>
            <w:tcW w:w="1349"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194.4</w:t>
            </w:r>
          </w:p>
        </w:tc>
        <w:tc>
          <w:tcPr>
            <w:tcW w:w="1572"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0.979</w:t>
            </w:r>
          </w:p>
        </w:tc>
        <w:tc>
          <w:tcPr>
            <w:tcW w:w="1798" w:type="dxa"/>
            <w:tcBorders>
              <w:top w:val="single" w:color="000000" w:sz="2" w:space="0"/>
              <w:bottom w:val="single" w:color="000000" w:sz="2" w:space="0"/>
              <w:right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外购，袋装</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8" w:hRule="atLeast"/>
        </w:trPr>
        <w:tc>
          <w:tcPr>
            <w:tcW w:w="1436" w:type="dxa"/>
            <w:vMerge w:val="continue"/>
            <w:tcBorders>
              <w:top w:val="single" w:color="000000" w:sz="2" w:space="0"/>
              <w:left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p>
        </w:tc>
        <w:tc>
          <w:tcPr>
            <w:tcW w:w="1395"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三氧化铝</w:t>
            </w:r>
          </w:p>
        </w:tc>
        <w:tc>
          <w:tcPr>
            <w:tcW w:w="877"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99%</w:t>
            </w:r>
          </w:p>
        </w:tc>
        <w:tc>
          <w:tcPr>
            <w:tcW w:w="1349"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0.6</w:t>
            </w:r>
          </w:p>
        </w:tc>
        <w:tc>
          <w:tcPr>
            <w:tcW w:w="1572"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0.003</w:t>
            </w:r>
          </w:p>
        </w:tc>
        <w:tc>
          <w:tcPr>
            <w:tcW w:w="1798" w:type="dxa"/>
            <w:tcBorders>
              <w:top w:val="single" w:color="000000" w:sz="2" w:space="0"/>
              <w:bottom w:val="single" w:color="000000" w:sz="2" w:space="0"/>
              <w:right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袋装</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9" w:hRule="atLeast"/>
        </w:trPr>
        <w:tc>
          <w:tcPr>
            <w:tcW w:w="1436" w:type="dxa"/>
            <w:vMerge w:val="continue"/>
            <w:tcBorders>
              <w:top w:val="single" w:color="000000" w:sz="2" w:space="0"/>
              <w:left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p>
        </w:tc>
        <w:tc>
          <w:tcPr>
            <w:tcW w:w="1395"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氯苯</w:t>
            </w:r>
          </w:p>
        </w:tc>
        <w:tc>
          <w:tcPr>
            <w:tcW w:w="877"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99%</w:t>
            </w:r>
          </w:p>
        </w:tc>
        <w:tc>
          <w:tcPr>
            <w:tcW w:w="1349"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7.57</w:t>
            </w:r>
          </w:p>
        </w:tc>
        <w:tc>
          <w:tcPr>
            <w:tcW w:w="1572"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0.038</w:t>
            </w:r>
          </w:p>
        </w:tc>
        <w:tc>
          <w:tcPr>
            <w:tcW w:w="1798" w:type="dxa"/>
            <w:tcBorders>
              <w:top w:val="single" w:color="000000" w:sz="2" w:space="0"/>
              <w:bottom w:val="single" w:color="000000" w:sz="2" w:space="0"/>
              <w:right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200公斤铁桶装</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9" w:hRule="atLeast"/>
        </w:trPr>
        <w:tc>
          <w:tcPr>
            <w:tcW w:w="1436" w:type="dxa"/>
            <w:vMerge w:val="continue"/>
            <w:tcBorders>
              <w:top w:val="single" w:color="000000" w:sz="2" w:space="0"/>
              <w:left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p>
        </w:tc>
        <w:tc>
          <w:tcPr>
            <w:tcW w:w="1395"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三氯氧磷</w:t>
            </w:r>
          </w:p>
        </w:tc>
        <w:tc>
          <w:tcPr>
            <w:tcW w:w="877"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99%</w:t>
            </w:r>
          </w:p>
        </w:tc>
        <w:tc>
          <w:tcPr>
            <w:tcW w:w="1349"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30.04</w:t>
            </w:r>
          </w:p>
        </w:tc>
        <w:tc>
          <w:tcPr>
            <w:tcW w:w="1572"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0.151</w:t>
            </w:r>
          </w:p>
        </w:tc>
        <w:tc>
          <w:tcPr>
            <w:tcW w:w="1798" w:type="dxa"/>
            <w:tcBorders>
              <w:top w:val="single" w:color="000000" w:sz="2" w:space="0"/>
              <w:bottom w:val="single" w:color="000000" w:sz="2" w:space="0"/>
              <w:right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300公斤衬塑铁桶</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58" w:hRule="atLeast"/>
        </w:trPr>
        <w:tc>
          <w:tcPr>
            <w:tcW w:w="1436" w:type="dxa"/>
            <w:vMerge w:val="restart"/>
            <w:tcBorders>
              <w:top w:val="single" w:color="000000" w:sz="2" w:space="0"/>
              <w:left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二溴新戊二醇</w:t>
            </w:r>
          </w:p>
        </w:tc>
        <w:tc>
          <w:tcPr>
            <w:tcW w:w="1395"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季戊四醇</w:t>
            </w:r>
          </w:p>
        </w:tc>
        <w:tc>
          <w:tcPr>
            <w:tcW w:w="877"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p>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99%</w:t>
            </w:r>
          </w:p>
        </w:tc>
        <w:tc>
          <w:tcPr>
            <w:tcW w:w="1349"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p>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309.2</w:t>
            </w:r>
          </w:p>
        </w:tc>
        <w:tc>
          <w:tcPr>
            <w:tcW w:w="1572"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p>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0.773</w:t>
            </w:r>
          </w:p>
        </w:tc>
        <w:tc>
          <w:tcPr>
            <w:tcW w:w="1798" w:type="dxa"/>
            <w:tcBorders>
              <w:top w:val="single" w:color="000000" w:sz="2" w:space="0"/>
              <w:bottom w:val="single" w:color="000000" w:sz="2" w:space="0"/>
              <w:right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白色颗粒结晶体，袋装</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59" w:hRule="atLeast"/>
        </w:trPr>
        <w:tc>
          <w:tcPr>
            <w:tcW w:w="1436" w:type="dxa"/>
            <w:vMerge w:val="continue"/>
            <w:tcBorders>
              <w:top w:val="single" w:color="000000" w:sz="2" w:space="0"/>
              <w:left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p>
        </w:tc>
        <w:tc>
          <w:tcPr>
            <w:tcW w:w="1395"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溴化氢</w:t>
            </w:r>
          </w:p>
        </w:tc>
        <w:tc>
          <w:tcPr>
            <w:tcW w:w="877"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p>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99%</w:t>
            </w:r>
          </w:p>
        </w:tc>
        <w:tc>
          <w:tcPr>
            <w:tcW w:w="1349"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p>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255.08</w:t>
            </w:r>
          </w:p>
        </w:tc>
        <w:tc>
          <w:tcPr>
            <w:tcW w:w="1572"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p>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1.28</w:t>
            </w:r>
          </w:p>
        </w:tc>
        <w:tc>
          <w:tcPr>
            <w:tcW w:w="1798" w:type="dxa"/>
            <w:tcBorders>
              <w:top w:val="single" w:color="000000" w:sz="2" w:space="0"/>
              <w:bottom w:val="single" w:color="000000" w:sz="2" w:space="0"/>
              <w:right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由溴化氢乙酸溶液生产线提供</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8" w:hRule="atLeast"/>
        </w:trPr>
        <w:tc>
          <w:tcPr>
            <w:tcW w:w="1436" w:type="dxa"/>
            <w:vMerge w:val="continue"/>
            <w:tcBorders>
              <w:top w:val="single" w:color="000000" w:sz="2" w:space="0"/>
              <w:left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p>
        </w:tc>
        <w:tc>
          <w:tcPr>
            <w:tcW w:w="1395"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冰醋酸</w:t>
            </w:r>
          </w:p>
        </w:tc>
        <w:tc>
          <w:tcPr>
            <w:tcW w:w="877"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99%</w:t>
            </w:r>
          </w:p>
        </w:tc>
        <w:tc>
          <w:tcPr>
            <w:tcW w:w="1349"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6.26</w:t>
            </w:r>
          </w:p>
        </w:tc>
        <w:tc>
          <w:tcPr>
            <w:tcW w:w="1572"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0.031</w:t>
            </w:r>
          </w:p>
        </w:tc>
        <w:tc>
          <w:tcPr>
            <w:tcW w:w="1798" w:type="dxa"/>
            <w:tcBorders>
              <w:top w:val="single" w:color="000000" w:sz="2" w:space="0"/>
              <w:bottom w:val="single" w:color="000000" w:sz="2" w:space="0"/>
              <w:right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塑料桶装</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9" w:hRule="atLeast"/>
        </w:trPr>
        <w:tc>
          <w:tcPr>
            <w:tcW w:w="1436" w:type="dxa"/>
            <w:vMerge w:val="restart"/>
            <w:tcBorders>
              <w:top w:val="single" w:color="000000" w:sz="2" w:space="0"/>
              <w:left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p>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p>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能源</w:t>
            </w:r>
          </w:p>
        </w:tc>
        <w:tc>
          <w:tcPr>
            <w:tcW w:w="1395"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新鲜水</w:t>
            </w:r>
          </w:p>
        </w:tc>
        <w:tc>
          <w:tcPr>
            <w:tcW w:w="877"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w:t>
            </w:r>
          </w:p>
        </w:tc>
        <w:tc>
          <w:tcPr>
            <w:tcW w:w="1349"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77143</w:t>
            </w:r>
          </w:p>
        </w:tc>
        <w:tc>
          <w:tcPr>
            <w:tcW w:w="1572"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w:t>
            </w:r>
          </w:p>
        </w:tc>
        <w:tc>
          <w:tcPr>
            <w:tcW w:w="1798" w:type="dxa"/>
            <w:tcBorders>
              <w:top w:val="single" w:color="000000" w:sz="2" w:space="0"/>
              <w:bottom w:val="single" w:color="000000" w:sz="2" w:space="0"/>
              <w:right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集聚区集中供水</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8" w:hRule="atLeast"/>
        </w:trPr>
        <w:tc>
          <w:tcPr>
            <w:tcW w:w="1436" w:type="dxa"/>
            <w:vMerge w:val="continue"/>
            <w:tcBorders>
              <w:top w:val="single" w:color="000000" w:sz="2" w:space="0"/>
              <w:left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p>
        </w:tc>
        <w:tc>
          <w:tcPr>
            <w:tcW w:w="1395"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电</w:t>
            </w:r>
          </w:p>
        </w:tc>
        <w:tc>
          <w:tcPr>
            <w:tcW w:w="877"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w:t>
            </w:r>
          </w:p>
        </w:tc>
        <w:tc>
          <w:tcPr>
            <w:tcW w:w="1349"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452×10</w:t>
            </w:r>
            <w:r>
              <w:rPr>
                <w:rFonts w:hint="eastAsia" w:ascii="宋体" w:hAnsi="宋体" w:eastAsia="宋体" w:cs="宋体"/>
                <w:caps w:val="0"/>
                <w:smallCaps w:val="0"/>
                <w:color w:val="auto"/>
                <w:spacing w:val="0"/>
                <w:position w:val="7"/>
                <w:sz w:val="21"/>
                <w:szCs w:val="21"/>
                <w:highlight w:val="none"/>
              </w:rPr>
              <w:t>4</w:t>
            </w:r>
            <w:r>
              <w:rPr>
                <w:rFonts w:hint="eastAsia" w:ascii="宋体" w:hAnsi="宋体" w:eastAsia="宋体" w:cs="宋体"/>
                <w:caps w:val="0"/>
                <w:smallCaps w:val="0"/>
                <w:color w:val="auto"/>
                <w:spacing w:val="0"/>
                <w:sz w:val="21"/>
                <w:szCs w:val="21"/>
                <w:highlight w:val="none"/>
              </w:rPr>
              <w:t>KW·h</w:t>
            </w:r>
          </w:p>
        </w:tc>
        <w:tc>
          <w:tcPr>
            <w:tcW w:w="1572" w:type="dxa"/>
            <w:tcBorders>
              <w:top w:val="single" w:color="000000" w:sz="2" w:space="0"/>
              <w:bottom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w:t>
            </w:r>
          </w:p>
        </w:tc>
        <w:tc>
          <w:tcPr>
            <w:tcW w:w="1798" w:type="dxa"/>
            <w:tcBorders>
              <w:top w:val="single" w:color="000000" w:sz="2" w:space="0"/>
              <w:bottom w:val="single" w:color="000000" w:sz="2" w:space="0"/>
              <w:right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集聚区统一供电</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4" w:hRule="atLeast"/>
        </w:trPr>
        <w:tc>
          <w:tcPr>
            <w:tcW w:w="1436" w:type="dxa"/>
            <w:vMerge w:val="continue"/>
            <w:tcBorders>
              <w:top w:val="single" w:color="000000" w:sz="2" w:space="0"/>
              <w:left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p>
        </w:tc>
        <w:tc>
          <w:tcPr>
            <w:tcW w:w="1395" w:type="dxa"/>
            <w:tcBorders>
              <w:top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蒸汽</w:t>
            </w:r>
          </w:p>
        </w:tc>
        <w:tc>
          <w:tcPr>
            <w:tcW w:w="877" w:type="dxa"/>
            <w:tcBorders>
              <w:top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w:t>
            </w:r>
          </w:p>
        </w:tc>
        <w:tc>
          <w:tcPr>
            <w:tcW w:w="1349" w:type="dxa"/>
            <w:tcBorders>
              <w:top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13292</w:t>
            </w:r>
          </w:p>
        </w:tc>
        <w:tc>
          <w:tcPr>
            <w:tcW w:w="1572" w:type="dxa"/>
            <w:tcBorders>
              <w:top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w:t>
            </w:r>
          </w:p>
        </w:tc>
        <w:tc>
          <w:tcPr>
            <w:tcW w:w="1798" w:type="dxa"/>
            <w:tcBorders>
              <w:top w:val="single" w:color="000000" w:sz="2" w:space="0"/>
              <w:right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caps w:val="0"/>
                <w:smallCaps w:val="0"/>
                <w:color w:val="auto"/>
                <w:spacing w:val="0"/>
                <w:sz w:val="21"/>
                <w:szCs w:val="21"/>
                <w:highlight w:val="none"/>
              </w:rPr>
            </w:pPr>
            <w:r>
              <w:rPr>
                <w:rFonts w:hint="eastAsia" w:ascii="宋体" w:hAnsi="宋体" w:eastAsia="宋体" w:cs="宋体"/>
                <w:caps w:val="0"/>
                <w:smallCaps w:val="0"/>
                <w:color w:val="auto"/>
                <w:spacing w:val="0"/>
                <w:sz w:val="21"/>
                <w:szCs w:val="21"/>
                <w:highlight w:val="none"/>
              </w:rPr>
              <w:t>集中供热</w:t>
            </w:r>
          </w:p>
        </w:tc>
      </w:tr>
    </w:tbl>
    <w:p>
      <w:pPr>
        <w:pageBreakBefore w:val="0"/>
        <w:kinsoku/>
        <w:wordWrap/>
        <w:bidi w:val="0"/>
        <w:spacing w:line="240" w:lineRule="auto"/>
        <w:ind w:left="0" w:leftChars="0" w:right="0" w:firstLine="0" w:firstLineChars="0"/>
        <w:jc w:val="center"/>
        <w:rPr>
          <w:rFonts w:hint="eastAsia" w:ascii="宋体" w:hAnsi="宋体" w:eastAsia="宋体" w:cs="宋体"/>
          <w:b/>
          <w:bCs/>
          <w:caps w:val="0"/>
          <w:smallCaps w:val="0"/>
          <w:color w:val="auto"/>
          <w:spacing w:val="0"/>
          <w:highlight w:val="none"/>
          <w:u w:val="none" w:color="auto"/>
        </w:rPr>
      </w:pPr>
      <w:r>
        <w:rPr>
          <w:rFonts w:hint="eastAsia" w:ascii="宋体" w:hAnsi="宋体" w:eastAsia="宋体" w:cs="宋体"/>
          <w:b/>
          <w:bCs/>
          <w:caps w:val="0"/>
          <w:smallCaps w:val="0"/>
          <w:color w:val="auto"/>
          <w:spacing w:val="0"/>
          <w:highlight w:val="none"/>
          <w:u w:val="none" w:color="auto"/>
          <w:lang w:val="en-US" w:eastAsia="zh-CN"/>
        </w:rPr>
        <w:t>表</w:t>
      </w:r>
      <w:r>
        <w:rPr>
          <w:rFonts w:hint="eastAsia" w:ascii="宋体" w:hAnsi="宋体" w:cs="宋体"/>
          <w:b/>
          <w:bCs/>
          <w:caps w:val="0"/>
          <w:smallCaps w:val="0"/>
          <w:color w:val="auto"/>
          <w:spacing w:val="0"/>
          <w:highlight w:val="none"/>
          <w:u w:val="none" w:color="auto"/>
          <w:lang w:val="en-US" w:eastAsia="zh-CN"/>
        </w:rPr>
        <w:t>6</w:t>
      </w:r>
      <w:r>
        <w:rPr>
          <w:rFonts w:hint="eastAsia" w:ascii="宋体" w:hAnsi="宋体" w:eastAsia="宋体" w:cs="宋体"/>
          <w:b/>
          <w:bCs/>
          <w:caps w:val="0"/>
          <w:smallCaps w:val="0"/>
          <w:color w:val="auto"/>
          <w:spacing w:val="0"/>
          <w:highlight w:val="none"/>
          <w:u w:val="none" w:color="auto"/>
          <w:lang w:val="en-US" w:eastAsia="zh-CN"/>
        </w:rPr>
        <w:t xml:space="preserve"> </w:t>
      </w:r>
      <w:r>
        <w:rPr>
          <w:rFonts w:hint="eastAsia" w:ascii="宋体" w:hAnsi="宋体" w:eastAsia="宋体" w:cs="宋体"/>
          <w:b/>
          <w:bCs/>
          <w:caps w:val="0"/>
          <w:smallCaps w:val="0"/>
          <w:color w:val="auto"/>
          <w:spacing w:val="0"/>
          <w:highlight w:val="none"/>
          <w:u w:val="none" w:color="auto"/>
        </w:rPr>
        <w:t>扩建工程四溴双酚A原辅材料消耗一览表</w:t>
      </w:r>
    </w:p>
    <w:tbl>
      <w:tblPr>
        <w:tblStyle w:val="46"/>
        <w:tblW w:w="8529" w:type="dxa"/>
        <w:tblInd w:w="15"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816"/>
        <w:gridCol w:w="1267"/>
        <w:gridCol w:w="2368"/>
        <w:gridCol w:w="1568"/>
        <w:gridCol w:w="1510"/>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9" w:hRule="atLeast"/>
        </w:trPr>
        <w:tc>
          <w:tcPr>
            <w:tcW w:w="1816"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名称</w:t>
            </w:r>
          </w:p>
        </w:tc>
        <w:tc>
          <w:tcPr>
            <w:tcW w:w="1267"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年用量</w:t>
            </w:r>
          </w:p>
        </w:tc>
        <w:tc>
          <w:tcPr>
            <w:tcW w:w="2368"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形态(规格)</w:t>
            </w:r>
          </w:p>
        </w:tc>
        <w:tc>
          <w:tcPr>
            <w:tcW w:w="1568"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包装形式</w:t>
            </w:r>
          </w:p>
        </w:tc>
        <w:tc>
          <w:tcPr>
            <w:tcW w:w="1510"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来源</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4" w:hRule="atLeast"/>
        </w:trPr>
        <w:tc>
          <w:tcPr>
            <w:tcW w:w="1816"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双酚A</w:t>
            </w:r>
          </w:p>
        </w:tc>
        <w:tc>
          <w:tcPr>
            <w:tcW w:w="1267"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1300t</w:t>
            </w:r>
          </w:p>
        </w:tc>
        <w:tc>
          <w:tcPr>
            <w:tcW w:w="2368"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固体</w:t>
            </w:r>
          </w:p>
        </w:tc>
        <w:tc>
          <w:tcPr>
            <w:tcW w:w="1568"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50kg/袋</w:t>
            </w:r>
          </w:p>
        </w:tc>
        <w:tc>
          <w:tcPr>
            <w:tcW w:w="1510"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外购</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5" w:hRule="atLeast"/>
        </w:trPr>
        <w:tc>
          <w:tcPr>
            <w:tcW w:w="1816"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亚硫酸钠</w:t>
            </w:r>
          </w:p>
        </w:tc>
        <w:tc>
          <w:tcPr>
            <w:tcW w:w="1267"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450t</w:t>
            </w:r>
          </w:p>
        </w:tc>
        <w:tc>
          <w:tcPr>
            <w:tcW w:w="2368"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固体</w:t>
            </w:r>
          </w:p>
        </w:tc>
        <w:tc>
          <w:tcPr>
            <w:tcW w:w="1568"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50kg/袋</w:t>
            </w:r>
          </w:p>
        </w:tc>
        <w:tc>
          <w:tcPr>
            <w:tcW w:w="1510"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外购</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4" w:hRule="atLeast"/>
        </w:trPr>
        <w:tc>
          <w:tcPr>
            <w:tcW w:w="1816"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二氯甲烷</w:t>
            </w:r>
          </w:p>
        </w:tc>
        <w:tc>
          <w:tcPr>
            <w:tcW w:w="1267"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350t</w:t>
            </w:r>
          </w:p>
        </w:tc>
        <w:tc>
          <w:tcPr>
            <w:tcW w:w="2368"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液体</w:t>
            </w:r>
          </w:p>
        </w:tc>
        <w:tc>
          <w:tcPr>
            <w:tcW w:w="1568"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40m³储罐</w:t>
            </w:r>
          </w:p>
        </w:tc>
        <w:tc>
          <w:tcPr>
            <w:tcW w:w="1510"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外购</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4" w:hRule="atLeast"/>
        </w:trPr>
        <w:tc>
          <w:tcPr>
            <w:tcW w:w="1816"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溴素</w:t>
            </w:r>
          </w:p>
        </w:tc>
        <w:tc>
          <w:tcPr>
            <w:tcW w:w="1267"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1730t</w:t>
            </w:r>
          </w:p>
        </w:tc>
        <w:tc>
          <w:tcPr>
            <w:tcW w:w="2368"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液体</w:t>
            </w:r>
          </w:p>
        </w:tc>
        <w:tc>
          <w:tcPr>
            <w:tcW w:w="1568"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5m³储罐</w:t>
            </w:r>
          </w:p>
        </w:tc>
        <w:tc>
          <w:tcPr>
            <w:tcW w:w="1510"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外购</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5" w:hRule="atLeast"/>
        </w:trPr>
        <w:tc>
          <w:tcPr>
            <w:tcW w:w="1816"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双氧水</w:t>
            </w:r>
          </w:p>
        </w:tc>
        <w:tc>
          <w:tcPr>
            <w:tcW w:w="1267"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1500t</w:t>
            </w:r>
          </w:p>
        </w:tc>
        <w:tc>
          <w:tcPr>
            <w:tcW w:w="2368"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液体工业品含量≥30%</w:t>
            </w:r>
          </w:p>
        </w:tc>
        <w:tc>
          <w:tcPr>
            <w:tcW w:w="1568"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40m³储罐</w:t>
            </w:r>
          </w:p>
        </w:tc>
        <w:tc>
          <w:tcPr>
            <w:tcW w:w="1510"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外购</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5" w:hRule="atLeast"/>
        </w:trPr>
        <w:tc>
          <w:tcPr>
            <w:tcW w:w="1816"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纯碱</w:t>
            </w:r>
          </w:p>
        </w:tc>
        <w:tc>
          <w:tcPr>
            <w:tcW w:w="1267"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20t</w:t>
            </w:r>
          </w:p>
        </w:tc>
        <w:tc>
          <w:tcPr>
            <w:tcW w:w="2368"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固体</w:t>
            </w:r>
          </w:p>
        </w:tc>
        <w:tc>
          <w:tcPr>
            <w:tcW w:w="1568"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50kg/袋</w:t>
            </w:r>
          </w:p>
        </w:tc>
        <w:tc>
          <w:tcPr>
            <w:tcW w:w="1510"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外购</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9" w:hRule="atLeast"/>
        </w:trPr>
        <w:tc>
          <w:tcPr>
            <w:tcW w:w="1816"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纯水</w:t>
            </w:r>
          </w:p>
        </w:tc>
        <w:tc>
          <w:tcPr>
            <w:tcW w:w="1267"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8489t</w:t>
            </w:r>
          </w:p>
        </w:tc>
        <w:tc>
          <w:tcPr>
            <w:tcW w:w="2368"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液体</w:t>
            </w:r>
          </w:p>
        </w:tc>
        <w:tc>
          <w:tcPr>
            <w:tcW w:w="1568"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w:t>
            </w:r>
          </w:p>
        </w:tc>
        <w:tc>
          <w:tcPr>
            <w:tcW w:w="1510"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自产</w:t>
            </w:r>
          </w:p>
        </w:tc>
      </w:tr>
    </w:tbl>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b/>
          <w:bCs/>
          <w:caps w:val="0"/>
          <w:smallCaps w:val="0"/>
          <w:color w:val="auto"/>
          <w:spacing w:val="0"/>
          <w:sz w:val="28"/>
          <w:szCs w:val="28"/>
          <w:highlight w:val="none"/>
          <w:u w:val="none" w:color="auto"/>
          <w:lang w:val="en-US" w:eastAsia="zh-CN"/>
        </w:rPr>
      </w:pPr>
    </w:p>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b/>
          <w:bCs/>
          <w:caps w:val="0"/>
          <w:smallCaps w:val="0"/>
          <w:color w:val="auto"/>
          <w:spacing w:val="0"/>
          <w:sz w:val="28"/>
          <w:szCs w:val="28"/>
          <w:highlight w:val="none"/>
          <w:u w:val="none" w:color="auto"/>
        </w:rPr>
      </w:pPr>
      <w:r>
        <w:rPr>
          <w:rFonts w:hint="eastAsia" w:ascii="宋体" w:hAnsi="宋体" w:eastAsia="宋体" w:cs="宋体"/>
          <w:b/>
          <w:bCs/>
          <w:caps w:val="0"/>
          <w:smallCaps w:val="0"/>
          <w:color w:val="auto"/>
          <w:spacing w:val="0"/>
          <w:sz w:val="28"/>
          <w:szCs w:val="28"/>
          <w:highlight w:val="none"/>
          <w:u w:val="none" w:color="auto"/>
          <w:lang w:val="en-US" w:eastAsia="zh-CN"/>
        </w:rPr>
        <w:t>表</w:t>
      </w:r>
      <w:r>
        <w:rPr>
          <w:rFonts w:hint="eastAsia" w:ascii="宋体" w:hAnsi="宋体" w:cs="宋体"/>
          <w:b/>
          <w:bCs/>
          <w:caps w:val="0"/>
          <w:smallCaps w:val="0"/>
          <w:color w:val="auto"/>
          <w:spacing w:val="0"/>
          <w:sz w:val="28"/>
          <w:szCs w:val="28"/>
          <w:highlight w:val="none"/>
          <w:u w:val="none" w:color="auto"/>
          <w:lang w:val="en-US" w:eastAsia="zh-CN"/>
        </w:rPr>
        <w:t>7</w:t>
      </w:r>
      <w:r>
        <w:rPr>
          <w:rFonts w:hint="eastAsia" w:ascii="宋体" w:hAnsi="宋体" w:eastAsia="宋体" w:cs="宋体"/>
          <w:b/>
          <w:bCs/>
          <w:caps w:val="0"/>
          <w:smallCaps w:val="0"/>
          <w:color w:val="auto"/>
          <w:spacing w:val="0"/>
          <w:sz w:val="28"/>
          <w:szCs w:val="28"/>
          <w:highlight w:val="none"/>
          <w:u w:val="none" w:color="auto"/>
          <w:lang w:val="en-US" w:eastAsia="zh-CN"/>
        </w:rPr>
        <w:t xml:space="preserve"> </w:t>
      </w:r>
      <w:r>
        <w:rPr>
          <w:rFonts w:hint="eastAsia" w:ascii="宋体" w:hAnsi="宋体" w:eastAsia="宋体" w:cs="宋体"/>
          <w:b/>
          <w:bCs/>
          <w:caps w:val="0"/>
          <w:smallCaps w:val="0"/>
          <w:color w:val="auto"/>
          <w:spacing w:val="0"/>
          <w:sz w:val="28"/>
          <w:szCs w:val="28"/>
          <w:highlight w:val="none"/>
          <w:u w:val="none" w:color="auto"/>
        </w:rPr>
        <w:t>4-甲基二苯胺原辅材料消耗一览表</w:t>
      </w:r>
    </w:p>
    <w:tbl>
      <w:tblPr>
        <w:tblStyle w:val="46"/>
        <w:tblW w:w="8529" w:type="dxa"/>
        <w:tblInd w:w="15"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579"/>
        <w:gridCol w:w="893"/>
        <w:gridCol w:w="2910"/>
        <w:gridCol w:w="1456"/>
        <w:gridCol w:w="1691"/>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5" w:hRule="atLeast"/>
        </w:trPr>
        <w:tc>
          <w:tcPr>
            <w:tcW w:w="1579"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材料名称</w:t>
            </w:r>
          </w:p>
        </w:tc>
        <w:tc>
          <w:tcPr>
            <w:tcW w:w="893"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年用量</w:t>
            </w:r>
          </w:p>
        </w:tc>
        <w:tc>
          <w:tcPr>
            <w:tcW w:w="2910"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形态(规格)</w:t>
            </w:r>
          </w:p>
        </w:tc>
        <w:tc>
          <w:tcPr>
            <w:tcW w:w="1456"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包装形式</w:t>
            </w:r>
          </w:p>
        </w:tc>
        <w:tc>
          <w:tcPr>
            <w:tcW w:w="1691"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来源</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8" w:hRule="atLeast"/>
        </w:trPr>
        <w:tc>
          <w:tcPr>
            <w:tcW w:w="1579"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对甲苯胺</w:t>
            </w:r>
          </w:p>
        </w:tc>
        <w:tc>
          <w:tcPr>
            <w:tcW w:w="893"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30t</w:t>
            </w:r>
          </w:p>
        </w:tc>
        <w:tc>
          <w:tcPr>
            <w:tcW w:w="2910"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固体，工业品含量≥99.5%</w:t>
            </w:r>
          </w:p>
        </w:tc>
        <w:tc>
          <w:tcPr>
            <w:tcW w:w="1456"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200kg/桶</w:t>
            </w:r>
          </w:p>
        </w:tc>
        <w:tc>
          <w:tcPr>
            <w:tcW w:w="1691"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外购</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4" w:hRule="atLeast"/>
        </w:trPr>
        <w:tc>
          <w:tcPr>
            <w:tcW w:w="1579"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氯化钾</w:t>
            </w:r>
          </w:p>
        </w:tc>
        <w:tc>
          <w:tcPr>
            <w:tcW w:w="893"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60t</w:t>
            </w:r>
          </w:p>
        </w:tc>
        <w:tc>
          <w:tcPr>
            <w:tcW w:w="2910"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固体，工业品含量≥99.0%</w:t>
            </w:r>
          </w:p>
        </w:tc>
        <w:tc>
          <w:tcPr>
            <w:tcW w:w="1456"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50kg/袋</w:t>
            </w:r>
          </w:p>
        </w:tc>
        <w:tc>
          <w:tcPr>
            <w:tcW w:w="1691"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外购</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5" w:hRule="atLeast"/>
        </w:trPr>
        <w:tc>
          <w:tcPr>
            <w:tcW w:w="1579"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氨基钠</w:t>
            </w:r>
          </w:p>
        </w:tc>
        <w:tc>
          <w:tcPr>
            <w:tcW w:w="893"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30t</w:t>
            </w:r>
          </w:p>
        </w:tc>
        <w:tc>
          <w:tcPr>
            <w:tcW w:w="2910"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固体，工业品含量≥99.0%</w:t>
            </w:r>
          </w:p>
        </w:tc>
        <w:tc>
          <w:tcPr>
            <w:tcW w:w="1456"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25kg/桶</w:t>
            </w:r>
          </w:p>
        </w:tc>
        <w:tc>
          <w:tcPr>
            <w:tcW w:w="1691"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外购</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3" w:hRule="atLeast"/>
        </w:trPr>
        <w:tc>
          <w:tcPr>
            <w:tcW w:w="1579"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苯磺酸钠</w:t>
            </w:r>
          </w:p>
        </w:tc>
        <w:tc>
          <w:tcPr>
            <w:tcW w:w="893"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60t</w:t>
            </w:r>
          </w:p>
        </w:tc>
        <w:tc>
          <w:tcPr>
            <w:tcW w:w="2910"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固体，工业品含量≥99.0%</w:t>
            </w:r>
          </w:p>
        </w:tc>
        <w:tc>
          <w:tcPr>
            <w:tcW w:w="1456"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50kg/桶</w:t>
            </w:r>
          </w:p>
        </w:tc>
        <w:tc>
          <w:tcPr>
            <w:tcW w:w="1691"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外购</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4" w:hRule="atLeast"/>
        </w:trPr>
        <w:tc>
          <w:tcPr>
            <w:tcW w:w="1579"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稀硫酸</w:t>
            </w:r>
          </w:p>
        </w:tc>
        <w:tc>
          <w:tcPr>
            <w:tcW w:w="893"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180t</w:t>
            </w:r>
          </w:p>
        </w:tc>
        <w:tc>
          <w:tcPr>
            <w:tcW w:w="2910"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液体</w:t>
            </w:r>
          </w:p>
        </w:tc>
        <w:tc>
          <w:tcPr>
            <w:tcW w:w="1456"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p>
        </w:tc>
        <w:tc>
          <w:tcPr>
            <w:tcW w:w="1691"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0" w:hRule="atLeast"/>
        </w:trPr>
        <w:tc>
          <w:tcPr>
            <w:tcW w:w="1579"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纯水</w:t>
            </w:r>
          </w:p>
        </w:tc>
        <w:tc>
          <w:tcPr>
            <w:tcW w:w="893"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180t</w:t>
            </w:r>
          </w:p>
        </w:tc>
        <w:tc>
          <w:tcPr>
            <w:tcW w:w="2910"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液体</w:t>
            </w:r>
          </w:p>
        </w:tc>
        <w:tc>
          <w:tcPr>
            <w:tcW w:w="1456"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w:t>
            </w:r>
          </w:p>
        </w:tc>
        <w:tc>
          <w:tcPr>
            <w:tcW w:w="1691"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自产</w:t>
            </w:r>
          </w:p>
        </w:tc>
      </w:tr>
    </w:tbl>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b/>
          <w:bCs/>
          <w:caps w:val="0"/>
          <w:smallCaps w:val="0"/>
          <w:color w:val="auto"/>
          <w:spacing w:val="0"/>
          <w:sz w:val="24"/>
          <w:szCs w:val="24"/>
          <w:highlight w:val="none"/>
          <w:u w:val="none" w:color="auto"/>
        </w:rPr>
      </w:pPr>
    </w:p>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b/>
          <w:bCs/>
          <w:caps w:val="0"/>
          <w:smallCaps w:val="0"/>
          <w:color w:val="auto"/>
          <w:spacing w:val="0"/>
          <w:sz w:val="28"/>
          <w:szCs w:val="28"/>
          <w:highlight w:val="none"/>
          <w:u w:val="none" w:color="auto"/>
        </w:rPr>
      </w:pPr>
      <w:r>
        <w:rPr>
          <w:rFonts w:hint="eastAsia" w:ascii="宋体" w:hAnsi="宋体" w:eastAsia="宋体" w:cs="宋体"/>
          <w:b/>
          <w:bCs/>
          <w:caps w:val="0"/>
          <w:smallCaps w:val="0"/>
          <w:color w:val="auto"/>
          <w:spacing w:val="0"/>
          <w:sz w:val="28"/>
          <w:szCs w:val="28"/>
          <w:highlight w:val="none"/>
          <w:u w:val="none" w:color="auto"/>
          <w:lang w:val="en-US" w:eastAsia="zh-CN"/>
        </w:rPr>
        <w:t>表</w:t>
      </w:r>
      <w:r>
        <w:rPr>
          <w:rFonts w:hint="eastAsia" w:ascii="宋体" w:hAnsi="宋体" w:cs="宋体"/>
          <w:b/>
          <w:bCs/>
          <w:caps w:val="0"/>
          <w:smallCaps w:val="0"/>
          <w:color w:val="auto"/>
          <w:spacing w:val="0"/>
          <w:sz w:val="28"/>
          <w:szCs w:val="28"/>
          <w:highlight w:val="none"/>
          <w:u w:val="none" w:color="auto"/>
          <w:lang w:val="en-US" w:eastAsia="zh-CN"/>
        </w:rPr>
        <w:t>8</w:t>
      </w:r>
      <w:r>
        <w:rPr>
          <w:rFonts w:hint="eastAsia" w:ascii="宋体" w:hAnsi="宋体" w:eastAsia="宋体" w:cs="宋体"/>
          <w:b/>
          <w:bCs/>
          <w:caps w:val="0"/>
          <w:smallCaps w:val="0"/>
          <w:color w:val="auto"/>
          <w:spacing w:val="0"/>
          <w:sz w:val="28"/>
          <w:szCs w:val="28"/>
          <w:highlight w:val="none"/>
          <w:u w:val="none" w:color="auto"/>
          <w:lang w:val="en-US" w:eastAsia="zh-CN"/>
        </w:rPr>
        <w:t xml:space="preserve">  </w:t>
      </w:r>
      <w:r>
        <w:rPr>
          <w:rFonts w:hint="eastAsia" w:ascii="宋体" w:hAnsi="宋体" w:eastAsia="宋体" w:cs="宋体"/>
          <w:b/>
          <w:bCs/>
          <w:caps w:val="0"/>
          <w:smallCaps w:val="0"/>
          <w:color w:val="auto"/>
          <w:spacing w:val="0"/>
          <w:sz w:val="28"/>
          <w:szCs w:val="28"/>
          <w:highlight w:val="none"/>
          <w:u w:val="none" w:color="auto"/>
        </w:rPr>
        <w:t>扩建工程辅助材料及动力消耗一览表</w:t>
      </w:r>
    </w:p>
    <w:tbl>
      <w:tblPr>
        <w:tblStyle w:val="46"/>
        <w:tblW w:w="8596" w:type="dxa"/>
        <w:tblInd w:w="15"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847"/>
        <w:gridCol w:w="2833"/>
        <w:gridCol w:w="2916"/>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8" w:hRule="atLeast"/>
        </w:trPr>
        <w:tc>
          <w:tcPr>
            <w:tcW w:w="2847"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材料名称</w:t>
            </w:r>
          </w:p>
        </w:tc>
        <w:tc>
          <w:tcPr>
            <w:tcW w:w="2833"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消耗量</w:t>
            </w:r>
          </w:p>
        </w:tc>
        <w:tc>
          <w:tcPr>
            <w:tcW w:w="2916"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来源</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3" w:hRule="atLeast"/>
        </w:trPr>
        <w:tc>
          <w:tcPr>
            <w:tcW w:w="2847"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电</w:t>
            </w:r>
          </w:p>
        </w:tc>
        <w:tc>
          <w:tcPr>
            <w:tcW w:w="2833"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100万kWh/a</w:t>
            </w:r>
          </w:p>
        </w:tc>
        <w:tc>
          <w:tcPr>
            <w:tcW w:w="2916"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由产业集聚区统一供电</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5" w:hRule="atLeast"/>
        </w:trPr>
        <w:tc>
          <w:tcPr>
            <w:tcW w:w="2847"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蒸汽</w:t>
            </w:r>
          </w:p>
        </w:tc>
        <w:tc>
          <w:tcPr>
            <w:tcW w:w="2833"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1000t/a</w:t>
            </w:r>
          </w:p>
        </w:tc>
        <w:tc>
          <w:tcPr>
            <w:tcW w:w="2916"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由产业集聚区统一提供</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9" w:hRule="atLeast"/>
        </w:trPr>
        <w:tc>
          <w:tcPr>
            <w:tcW w:w="2847"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新鲜水</w:t>
            </w:r>
          </w:p>
        </w:tc>
        <w:tc>
          <w:tcPr>
            <w:tcW w:w="2833"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12601m</w:t>
            </w:r>
            <w:r>
              <w:rPr>
                <w:rFonts w:hint="eastAsia" w:ascii="宋体" w:hAnsi="宋体" w:eastAsia="宋体" w:cs="宋体"/>
                <w:caps w:val="0"/>
                <w:smallCaps w:val="0"/>
                <w:color w:val="auto"/>
                <w:spacing w:val="0"/>
                <w:position w:val="7"/>
                <w:sz w:val="22"/>
                <w:szCs w:val="22"/>
                <w:highlight w:val="none"/>
                <w:u w:val="none" w:color="auto"/>
              </w:rPr>
              <w:t>3</w:t>
            </w:r>
            <w:r>
              <w:rPr>
                <w:rFonts w:hint="eastAsia" w:ascii="宋体" w:hAnsi="宋体" w:eastAsia="宋体" w:cs="宋体"/>
                <w:caps w:val="0"/>
                <w:smallCaps w:val="0"/>
                <w:color w:val="auto"/>
                <w:spacing w:val="0"/>
                <w:sz w:val="22"/>
                <w:szCs w:val="22"/>
                <w:highlight w:val="none"/>
                <w:u w:val="none" w:color="auto"/>
              </w:rPr>
              <w:t>/a</w:t>
            </w:r>
          </w:p>
        </w:tc>
        <w:tc>
          <w:tcPr>
            <w:tcW w:w="2916" w:type="dxa"/>
            <w:tcBorders>
              <w:tl2br w:val="nil"/>
              <w:tr2bl w:val="nil"/>
            </w:tcBorders>
            <w:vAlign w:val="center"/>
          </w:tcPr>
          <w:p>
            <w:pPr>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aps w:val="0"/>
                <w:smallCaps w:val="0"/>
                <w:color w:val="auto"/>
                <w:spacing w:val="0"/>
                <w:sz w:val="22"/>
                <w:szCs w:val="22"/>
                <w:highlight w:val="none"/>
                <w:u w:val="none" w:color="auto"/>
              </w:rPr>
            </w:pPr>
            <w:r>
              <w:rPr>
                <w:rFonts w:hint="eastAsia" w:ascii="宋体" w:hAnsi="宋体" w:eastAsia="宋体" w:cs="宋体"/>
                <w:caps w:val="0"/>
                <w:smallCaps w:val="0"/>
                <w:color w:val="auto"/>
                <w:spacing w:val="0"/>
                <w:sz w:val="22"/>
                <w:szCs w:val="22"/>
                <w:highlight w:val="none"/>
                <w:u w:val="none" w:color="auto"/>
              </w:rPr>
              <w:t>由产业集聚区统一提供</w:t>
            </w:r>
          </w:p>
        </w:tc>
      </w:tr>
    </w:tbl>
    <w:p>
      <w:pPr>
        <w:spacing w:line="240" w:lineRule="auto"/>
        <w:ind w:left="0" w:leftChars="0" w:firstLine="0" w:firstLineChars="0"/>
        <w:jc w:val="both"/>
        <w:rPr>
          <w:rFonts w:hint="eastAsia" w:ascii="宋体" w:hAnsi="宋体" w:eastAsia="宋体" w:cs="宋体"/>
          <w:b/>
          <w:bCs/>
          <w:color w:val="auto"/>
          <w:spacing w:val="0"/>
          <w:kern w:val="2"/>
          <w:sz w:val="28"/>
          <w:szCs w:val="32"/>
          <w:highlight w:val="none"/>
          <w:u w:val="none"/>
          <w:lang w:val="en-US" w:eastAsia="zh-CN" w:bidi="ar-SA"/>
        </w:rPr>
      </w:pPr>
    </w:p>
    <w:p>
      <w:pPr>
        <w:spacing w:line="240" w:lineRule="auto"/>
        <w:jc w:val="left"/>
        <w:outlineLvl w:val="1"/>
        <w:rPr>
          <w:rFonts w:hint="eastAsia" w:ascii="宋体" w:hAnsi="宋体" w:eastAsia="宋体" w:cs="宋体"/>
          <w:b/>
          <w:bCs/>
          <w:kern w:val="2"/>
          <w:sz w:val="28"/>
          <w:szCs w:val="32"/>
          <w:lang w:val="en-US" w:eastAsia="zh-CN" w:bidi="ar-SA"/>
        </w:rPr>
      </w:pPr>
      <w:bookmarkStart w:id="126" w:name="_Toc18154"/>
      <w:r>
        <w:rPr>
          <w:rFonts w:hint="eastAsia" w:ascii="宋体" w:hAnsi="宋体" w:eastAsia="宋体" w:cs="宋体"/>
          <w:b/>
          <w:bCs/>
          <w:kern w:val="2"/>
          <w:sz w:val="28"/>
          <w:szCs w:val="32"/>
          <w:lang w:val="en-US" w:eastAsia="zh-CN" w:bidi="ar-SA"/>
        </w:rPr>
        <w:t>4.2企业生产工艺</w:t>
      </w:r>
      <w:bookmarkEnd w:id="123"/>
      <w:bookmarkEnd w:id="124"/>
      <w:bookmarkEnd w:id="125"/>
      <w:r>
        <w:rPr>
          <w:rFonts w:hint="eastAsia" w:ascii="宋体" w:hAnsi="宋体" w:eastAsia="宋体" w:cs="宋体"/>
          <w:b/>
          <w:bCs/>
          <w:kern w:val="2"/>
          <w:sz w:val="28"/>
          <w:szCs w:val="32"/>
          <w:lang w:val="en-US" w:eastAsia="zh-CN" w:bidi="ar-SA"/>
        </w:rPr>
        <w:t>及产排污环节</w:t>
      </w:r>
      <w:bookmarkEnd w:id="126"/>
      <w:bookmarkStart w:id="127" w:name="_Toc17786"/>
      <w:bookmarkStart w:id="128" w:name="_Toc30707"/>
      <w:bookmarkStart w:id="129" w:name="_Toc29431"/>
      <w:bookmarkStart w:id="130" w:name="_Toc22983"/>
      <w:bookmarkStart w:id="131" w:name="_Toc11417"/>
      <w:bookmarkStart w:id="132" w:name="_Toc26004781"/>
      <w:bookmarkStart w:id="133" w:name="_Toc29313_WPSOffice_Level1"/>
      <w:bookmarkStart w:id="134" w:name="_Toc22500"/>
      <w:bookmarkStart w:id="135" w:name="_Toc19887_WPSOffice_Level1"/>
      <w:bookmarkStart w:id="136" w:name="_Toc14776"/>
      <w:bookmarkStart w:id="137" w:name="_Toc5120"/>
      <w:bookmarkStart w:id="138" w:name="_Toc12454"/>
      <w:bookmarkStart w:id="139" w:name="_Toc53736354"/>
      <w:bookmarkStart w:id="140" w:name="_Toc19398"/>
      <w:bookmarkStart w:id="141" w:name="_Toc15291"/>
    </w:p>
    <w:p>
      <w:pPr>
        <w:pStyle w:val="9"/>
        <w:pageBreakBefore w:val="0"/>
        <w:numPr>
          <w:ilvl w:val="2"/>
          <w:numId w:val="0"/>
        </w:numPr>
        <w:kinsoku/>
        <w:wordWrap/>
        <w:bidi w:val="0"/>
        <w:spacing w:before="0" w:after="0" w:line="360" w:lineRule="auto"/>
        <w:ind w:right="0" w:rightChars="0"/>
        <w:rPr>
          <w:rFonts w:hint="eastAsia" w:ascii="宋体" w:hAnsi="宋体" w:eastAsia="宋体" w:cs="宋体"/>
          <w:caps w:val="0"/>
          <w:smallCaps w:val="0"/>
          <w:color w:val="auto"/>
          <w:spacing w:val="0"/>
          <w:sz w:val="28"/>
          <w:szCs w:val="28"/>
          <w:highlight w:val="none"/>
          <w:u w:val="none" w:color="auto"/>
        </w:rPr>
      </w:pPr>
      <w:bookmarkStart w:id="142" w:name="_Toc26689_WPSOffice_Level2"/>
      <w:bookmarkStart w:id="143" w:name="_Toc25394_WPSOffice_Level1"/>
      <w:bookmarkStart w:id="144" w:name="_Toc14496"/>
      <w:bookmarkStart w:id="145" w:name="_Toc32045"/>
      <w:bookmarkStart w:id="146" w:name="_Toc26004772"/>
      <w:bookmarkStart w:id="147" w:name="_Toc25354_WPSOffice_Level1"/>
      <w:r>
        <w:rPr>
          <w:rFonts w:hint="eastAsia" w:ascii="宋体" w:hAnsi="宋体" w:eastAsia="宋体" w:cs="宋体"/>
          <w:caps w:val="0"/>
          <w:smallCaps w:val="0"/>
          <w:color w:val="auto"/>
          <w:spacing w:val="0"/>
          <w:sz w:val="28"/>
          <w:szCs w:val="28"/>
          <w:highlight w:val="none"/>
          <w:u w:val="none" w:color="auto"/>
          <w:lang w:val="en-US" w:eastAsia="zh-CN"/>
        </w:rPr>
        <w:t>4.2.</w:t>
      </w:r>
      <w:r>
        <w:rPr>
          <w:rFonts w:hint="eastAsia" w:ascii="宋体" w:hAnsi="宋体" w:eastAsia="宋体" w:cs="宋体"/>
          <w:caps w:val="0"/>
          <w:smallCaps w:val="0"/>
          <w:color w:val="auto"/>
          <w:spacing w:val="0"/>
          <w:sz w:val="28"/>
          <w:szCs w:val="28"/>
          <w:highlight w:val="none"/>
          <w:u w:val="none" w:color="auto"/>
        </w:rPr>
        <w:t>1</w:t>
      </w:r>
      <w:r>
        <w:rPr>
          <w:rFonts w:hint="eastAsia" w:ascii="宋体" w:hAnsi="宋体" w:eastAsia="宋体" w:cs="宋体"/>
          <w:caps w:val="0"/>
          <w:smallCaps w:val="0"/>
          <w:color w:val="auto"/>
          <w:spacing w:val="0"/>
          <w:sz w:val="28"/>
          <w:szCs w:val="28"/>
          <w:highlight w:val="none"/>
          <w:u w:val="none" w:color="auto"/>
          <w:lang w:val="en-US" w:eastAsia="zh-CN"/>
        </w:rPr>
        <w:t xml:space="preserve"> </w:t>
      </w:r>
      <w:r>
        <w:rPr>
          <w:rFonts w:hint="eastAsia" w:ascii="宋体" w:hAnsi="宋体" w:eastAsia="宋体" w:cs="宋体"/>
          <w:caps w:val="0"/>
          <w:smallCaps w:val="0"/>
          <w:color w:val="auto"/>
          <w:spacing w:val="0"/>
          <w:sz w:val="28"/>
          <w:szCs w:val="28"/>
          <w:highlight w:val="none"/>
          <w:u w:val="none" w:color="auto"/>
        </w:rPr>
        <w:t>1-4酸钠盐</w:t>
      </w:r>
    </w:p>
    <w:p>
      <w:pPr>
        <w:pageBreakBefore w:val="0"/>
        <w:kinsoku/>
        <w:wordWrap/>
        <w:bidi w:val="0"/>
        <w:spacing w:line="360" w:lineRule="auto"/>
        <w:ind w:left="0" w:leftChars="0" w:right="0" w:firstLine="480"/>
        <w:rPr>
          <w:rFonts w:hint="eastAsia" w:ascii="宋体" w:hAnsi="宋体" w:eastAsia="宋体" w:cs="宋体"/>
          <w:caps w:val="0"/>
          <w:smallCaps w:val="0"/>
          <w:color w:val="auto"/>
          <w:spacing w:val="0"/>
          <w:sz w:val="28"/>
          <w:szCs w:val="28"/>
          <w:highlight w:val="none"/>
          <w:u w:val="none" w:color="auto"/>
        </w:rPr>
      </w:pPr>
      <w:r>
        <w:rPr>
          <w:rFonts w:hint="eastAsia" w:ascii="宋体" w:hAnsi="宋体" w:eastAsia="宋体" w:cs="宋体"/>
          <w:caps w:val="0"/>
          <w:smallCaps w:val="0"/>
          <w:color w:val="auto"/>
          <w:spacing w:val="0"/>
          <w:sz w:val="28"/>
          <w:szCs w:val="28"/>
          <w:highlight w:val="none"/>
          <w:u w:val="none" w:color="auto"/>
        </w:rPr>
        <w:t>1-4酸钠盐生产过程主要包括磺化（即：将甲萘胺和85%H</w:t>
      </w:r>
      <w:r>
        <w:rPr>
          <w:rFonts w:hint="eastAsia" w:ascii="宋体" w:hAnsi="宋体" w:eastAsia="宋体" w:cs="宋体"/>
          <w:caps w:val="0"/>
          <w:smallCaps w:val="0"/>
          <w:color w:val="auto"/>
          <w:spacing w:val="0"/>
          <w:sz w:val="28"/>
          <w:szCs w:val="28"/>
          <w:highlight w:val="none"/>
          <w:u w:val="none" w:color="auto"/>
          <w:vertAlign w:val="subscript"/>
        </w:rPr>
        <w:t>2</w:t>
      </w:r>
      <w:r>
        <w:rPr>
          <w:rFonts w:hint="eastAsia" w:ascii="宋体" w:hAnsi="宋体" w:eastAsia="宋体" w:cs="宋体"/>
          <w:caps w:val="0"/>
          <w:smallCaps w:val="0"/>
          <w:color w:val="auto"/>
          <w:spacing w:val="0"/>
          <w:sz w:val="28"/>
          <w:szCs w:val="28"/>
          <w:highlight w:val="none"/>
          <w:u w:val="none" w:color="auto"/>
        </w:rPr>
        <w:t>SO</w:t>
      </w:r>
      <w:r>
        <w:rPr>
          <w:rFonts w:hint="eastAsia" w:ascii="宋体" w:hAnsi="宋体" w:eastAsia="宋体" w:cs="宋体"/>
          <w:caps w:val="0"/>
          <w:smallCaps w:val="0"/>
          <w:color w:val="auto"/>
          <w:spacing w:val="0"/>
          <w:sz w:val="28"/>
          <w:szCs w:val="28"/>
          <w:highlight w:val="none"/>
          <w:u w:val="none" w:color="auto"/>
          <w:vertAlign w:val="subscript"/>
        </w:rPr>
        <w:t>4</w:t>
      </w:r>
      <w:r>
        <w:rPr>
          <w:rFonts w:hint="eastAsia" w:ascii="宋体" w:hAnsi="宋体" w:eastAsia="宋体" w:cs="宋体"/>
          <w:caps w:val="0"/>
          <w:smallCaps w:val="0"/>
          <w:color w:val="auto"/>
          <w:spacing w:val="0"/>
          <w:sz w:val="28"/>
          <w:szCs w:val="28"/>
          <w:highlight w:val="none"/>
          <w:u w:val="none" w:color="auto"/>
        </w:rPr>
        <w:t>在磺化反应器内控制一定温度和压力下进行反应）、中和（即：磺化后的物料放入中和池内，加入固体纯碱中和至pH值约为8.0）、萃取（即：1-4酸钠盐粗品经管道泵泵入萃取釜，通过萃取釜顶部的计量罐加入一定量的邻二氯苯，静置1h分层进行萃取）、浓缩（即：萃取后料液在浓缩设备内加热，同时采用机械搅拌的方式使1-4酸钠盐粗品浓缩）、结晶（即：采用循环冷却水对其降温至35℃，同时进行机械搅拌加速结晶）、脱水（即：结晶后1-4酸钠盐经成品池的滤网滤出少量母液，再进入吊带式离心机内进一步分离母液，脱水后的产品包装入袋）等工序。</w:t>
      </w:r>
    </w:p>
    <w:p>
      <w:pPr>
        <w:pageBreakBefore w:val="0"/>
        <w:kinsoku/>
        <w:wordWrap/>
        <w:bidi w:val="0"/>
        <w:spacing w:line="360" w:lineRule="auto"/>
        <w:ind w:left="0" w:leftChars="0" w:right="0" w:firstLine="480"/>
        <w:jc w:val="left"/>
        <w:rPr>
          <w:rFonts w:hint="eastAsia" w:ascii="宋体" w:hAnsi="宋体" w:eastAsia="宋体" w:cs="宋体"/>
          <w:caps w:val="0"/>
          <w:smallCaps w:val="0"/>
          <w:color w:val="auto"/>
          <w:spacing w:val="0"/>
          <w:sz w:val="28"/>
          <w:szCs w:val="28"/>
          <w:highlight w:val="none"/>
          <w:u w:val="none" w:color="auto"/>
        </w:rPr>
      </w:pPr>
      <w:r>
        <w:rPr>
          <w:rFonts w:hint="eastAsia" w:ascii="宋体" w:hAnsi="宋体" w:eastAsia="宋体" w:cs="宋体"/>
          <w:caps w:val="0"/>
          <w:smallCaps w:val="0"/>
          <w:color w:val="auto"/>
          <w:spacing w:val="0"/>
          <w:sz w:val="28"/>
          <w:szCs w:val="28"/>
          <w:highlight w:val="none"/>
          <w:u w:val="none" w:color="auto"/>
        </w:rPr>
        <w:t>生产过程产生的污染物为：废气：甲萘胺与硫酸泵入时的真空废气，主要污染物为甲萘胺和硫酸雾；萃取工段加入邻二氯苯时挥发的废气，主要污染物为邻二氯苯；蒸馏回收邻二氯苯时的冷凝不凝气，主要污染物为邻二氯苯。噪声：主要为离心机、泵等高噪声设备产生的噪声。固废：本产品生产过程中产生的固废为邻二氯苯回收时的蒸馏残渣。生产工艺流程及产污环节示意图见</w:t>
      </w:r>
      <w:r>
        <w:rPr>
          <w:rFonts w:hint="eastAsia" w:ascii="宋体" w:hAnsi="宋体" w:eastAsia="宋体" w:cs="宋体"/>
          <w:caps w:val="0"/>
          <w:smallCaps w:val="0"/>
          <w:color w:val="auto"/>
          <w:spacing w:val="0"/>
          <w:sz w:val="28"/>
          <w:szCs w:val="28"/>
          <w:highlight w:val="none"/>
          <w:u w:val="none" w:color="auto"/>
          <w:lang w:val="en-US" w:eastAsia="zh-CN"/>
        </w:rPr>
        <w:t>下</w:t>
      </w:r>
      <w:r>
        <w:rPr>
          <w:rFonts w:hint="eastAsia" w:ascii="宋体" w:hAnsi="宋体" w:eastAsia="宋体" w:cs="宋体"/>
          <w:caps w:val="0"/>
          <w:smallCaps w:val="0"/>
          <w:color w:val="auto"/>
          <w:spacing w:val="0"/>
          <w:sz w:val="28"/>
          <w:szCs w:val="28"/>
          <w:highlight w:val="none"/>
          <w:u w:val="none" w:color="auto"/>
        </w:rPr>
        <w:t>图。</w:t>
      </w:r>
      <w:r>
        <w:rPr>
          <w:rFonts w:hint="eastAsia" w:ascii="宋体" w:hAnsi="宋体" w:eastAsia="宋体" w:cs="宋体"/>
          <w:caps w:val="0"/>
          <w:smallCaps w:val="0"/>
          <w:color w:val="auto"/>
          <w:spacing w:val="0"/>
          <w:sz w:val="28"/>
          <w:szCs w:val="28"/>
          <w:highlight w:val="none"/>
          <w:u w:val="none" w:color="auto"/>
          <w:lang w:val="en-US" w:eastAsia="zh-CN"/>
        </w:rPr>
        <w:t xml:space="preserve">      </w:t>
      </w:r>
    </w:p>
    <w:p>
      <w:pPr>
        <w:pStyle w:val="10"/>
        <w:spacing w:line="240" w:lineRule="auto"/>
        <w:ind w:left="0" w:leftChars="0" w:firstLine="0" w:firstLineChars="0"/>
        <w:jc w:val="center"/>
        <w:rPr>
          <w:rFonts w:hint="eastAsia" w:ascii="宋体" w:hAnsi="宋体" w:eastAsia="宋体" w:cs="宋体"/>
          <w:color w:val="auto"/>
          <w:highlight w:val="none"/>
        </w:rPr>
      </w:pPr>
      <w:r>
        <w:rPr>
          <w:rFonts w:hint="eastAsia" w:ascii="宋体" w:hAnsi="宋体" w:eastAsia="宋体" w:cs="宋体"/>
          <w:color w:val="auto"/>
          <w:highlight w:val="none"/>
        </w:rPr>
        <w:drawing>
          <wp:inline distT="0" distB="0" distL="114300" distR="114300">
            <wp:extent cx="5122545" cy="3939540"/>
            <wp:effectExtent l="0" t="0" r="8255" b="10160"/>
            <wp:docPr id="2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1"/>
                    <pic:cNvPicPr>
                      <a:picLocks noChangeAspect="1"/>
                    </pic:cNvPicPr>
                  </pic:nvPicPr>
                  <pic:blipFill>
                    <a:blip r:embed="rId11"/>
                    <a:stretch>
                      <a:fillRect/>
                    </a:stretch>
                  </pic:blipFill>
                  <pic:spPr>
                    <a:xfrm>
                      <a:off x="0" y="0"/>
                      <a:ext cx="5122545" cy="3939540"/>
                    </a:xfrm>
                    <a:prstGeom prst="rect">
                      <a:avLst/>
                    </a:prstGeom>
                    <a:noFill/>
                    <a:ln>
                      <a:noFill/>
                    </a:ln>
                  </pic:spPr>
                </pic:pic>
              </a:graphicData>
            </a:graphic>
          </wp:inline>
        </w:drawing>
      </w:r>
    </w:p>
    <w:p>
      <w:pPr>
        <w:pStyle w:val="10"/>
        <w:jc w:val="center"/>
        <w:rPr>
          <w:rFonts w:hint="eastAsia" w:ascii="宋体" w:hAnsi="宋体" w:eastAsia="宋体" w:cs="宋体"/>
          <w:b/>
          <w:bCs/>
          <w:color w:val="auto"/>
          <w:highlight w:val="none"/>
          <w:lang w:val="en-US" w:eastAsia="zh-CN"/>
        </w:rPr>
      </w:pPr>
      <w:r>
        <w:rPr>
          <w:rFonts w:hint="eastAsia" w:ascii="宋体" w:hAnsi="宋体" w:eastAsia="宋体" w:cs="宋体"/>
          <w:b/>
          <w:bCs/>
          <w:caps w:val="0"/>
          <w:smallCaps w:val="0"/>
          <w:color w:val="auto"/>
          <w:spacing w:val="0"/>
          <w:sz w:val="28"/>
          <w:szCs w:val="28"/>
          <w:highlight w:val="none"/>
          <w:u w:val="none" w:color="auto"/>
        </w:rPr>
        <w:t>1-4酸钠盐</w:t>
      </w:r>
      <w:r>
        <w:rPr>
          <w:rFonts w:hint="eastAsia" w:ascii="宋体" w:hAnsi="宋体" w:eastAsia="宋体" w:cs="宋体"/>
          <w:b/>
          <w:bCs/>
          <w:caps w:val="0"/>
          <w:smallCaps w:val="0"/>
          <w:color w:val="auto"/>
          <w:spacing w:val="0"/>
          <w:sz w:val="28"/>
          <w:szCs w:val="28"/>
          <w:highlight w:val="none"/>
          <w:u w:val="none" w:color="auto"/>
          <w:lang w:val="en-US" w:eastAsia="zh-CN"/>
        </w:rPr>
        <w:t>生产工艺及产污节点流程图</w:t>
      </w:r>
    </w:p>
    <w:p>
      <w:pPr>
        <w:pStyle w:val="9"/>
        <w:pageBreakBefore w:val="0"/>
        <w:numPr>
          <w:ilvl w:val="2"/>
          <w:numId w:val="0"/>
        </w:numPr>
        <w:kinsoku/>
        <w:wordWrap/>
        <w:bidi w:val="0"/>
        <w:spacing w:before="0" w:after="0" w:line="360" w:lineRule="auto"/>
        <w:ind w:right="0" w:rightChars="0"/>
        <w:jc w:val="left"/>
        <w:rPr>
          <w:rFonts w:hint="eastAsia" w:ascii="宋体" w:hAnsi="宋体" w:eastAsia="宋体" w:cs="宋体"/>
          <w:caps w:val="0"/>
          <w:smallCaps w:val="0"/>
          <w:color w:val="auto"/>
          <w:spacing w:val="0"/>
          <w:sz w:val="28"/>
          <w:szCs w:val="28"/>
          <w:highlight w:val="none"/>
          <w:u w:val="none" w:color="auto"/>
        </w:rPr>
      </w:pPr>
      <w:r>
        <w:rPr>
          <w:rFonts w:hint="eastAsia" w:ascii="宋体" w:hAnsi="宋体" w:eastAsia="宋体" w:cs="宋体"/>
          <w:caps w:val="0"/>
          <w:smallCaps w:val="0"/>
          <w:color w:val="auto"/>
          <w:spacing w:val="0"/>
          <w:sz w:val="28"/>
          <w:szCs w:val="28"/>
          <w:highlight w:val="none"/>
          <w:u w:val="none" w:color="auto"/>
          <w:lang w:val="en-US" w:eastAsia="zh-CN"/>
        </w:rPr>
        <w:t>4.2.</w:t>
      </w:r>
      <w:r>
        <w:rPr>
          <w:rFonts w:hint="eastAsia" w:ascii="宋体" w:hAnsi="宋体" w:eastAsia="宋体" w:cs="宋体"/>
          <w:caps w:val="0"/>
          <w:smallCaps w:val="0"/>
          <w:color w:val="auto"/>
          <w:spacing w:val="0"/>
          <w:sz w:val="28"/>
          <w:szCs w:val="28"/>
          <w:highlight w:val="none"/>
          <w:u w:val="none" w:color="auto"/>
        </w:rPr>
        <w:t>2尼文酸</w:t>
      </w:r>
    </w:p>
    <w:p>
      <w:pPr>
        <w:pageBreakBefore w:val="0"/>
        <w:kinsoku/>
        <w:wordWrap/>
        <w:bidi w:val="0"/>
        <w:spacing w:line="360" w:lineRule="auto"/>
        <w:ind w:left="0" w:leftChars="0" w:right="0" w:firstLine="480"/>
        <w:rPr>
          <w:rFonts w:hint="eastAsia" w:ascii="宋体" w:hAnsi="宋体" w:eastAsia="宋体" w:cs="宋体"/>
          <w:caps w:val="0"/>
          <w:smallCaps w:val="0"/>
          <w:color w:val="auto"/>
          <w:spacing w:val="0"/>
          <w:sz w:val="28"/>
          <w:szCs w:val="28"/>
          <w:highlight w:val="none"/>
          <w:u w:val="none" w:color="auto"/>
        </w:rPr>
      </w:pPr>
      <w:r>
        <w:rPr>
          <w:rFonts w:hint="eastAsia" w:ascii="宋体" w:hAnsi="宋体" w:eastAsia="宋体" w:cs="宋体"/>
          <w:caps w:val="0"/>
          <w:smallCaps w:val="0"/>
          <w:color w:val="auto"/>
          <w:spacing w:val="0"/>
          <w:sz w:val="28"/>
          <w:szCs w:val="28"/>
          <w:highlight w:val="none"/>
          <w:u w:val="none" w:color="auto"/>
        </w:rPr>
        <w:t>尼文酸生产过程主要包括加成（即：向反应釜内加入水，使1-4酸钠盐溶解，然后放入一定比例的焦亚硫酸钠，滴加盐酸进行反应）、水解驱氨（即：先向碱洗釜内加入一定量的水，然后加入33%的烧碱溶液发生水解驱氨反应至氨气驱完，在110℃下保温以使反应完全并浓缩釜内物料，反应生成1-萘酚-4-磺酸二钠盐、亚硫酸钠及氨气）、过滤（即：用真空泵将滤池抽成负压，经滤网过滤除去析出的亚硫酸钠及杂质，而后用管道泵将滤液泵入酸洗釜内）、酸化（即：将过滤后的滤液泵入酸洗釜内，滴加33%的盐酸至pH为4左右，常压状态下反应1h，最终生成尼文酸粗品）、压滤（即：尼文酸粗品经压滤后得成品包装入袋）等工序。</w:t>
      </w:r>
    </w:p>
    <w:p>
      <w:pPr>
        <w:pageBreakBefore w:val="0"/>
        <w:kinsoku/>
        <w:wordWrap/>
        <w:bidi w:val="0"/>
        <w:spacing w:line="360" w:lineRule="auto"/>
        <w:ind w:left="0" w:leftChars="0" w:right="0" w:firstLine="480"/>
        <w:rPr>
          <w:rFonts w:hint="eastAsia" w:ascii="宋体" w:hAnsi="宋体" w:eastAsia="宋体" w:cs="宋体"/>
          <w:caps w:val="0"/>
          <w:smallCaps w:val="0"/>
          <w:color w:val="auto"/>
          <w:spacing w:val="0"/>
          <w:sz w:val="28"/>
          <w:szCs w:val="28"/>
          <w:highlight w:val="none"/>
          <w:u w:val="none" w:color="auto"/>
        </w:rPr>
      </w:pPr>
      <w:r>
        <w:rPr>
          <w:rFonts w:hint="eastAsia" w:ascii="宋体" w:hAnsi="宋体" w:eastAsia="宋体" w:cs="宋体"/>
          <w:caps w:val="0"/>
          <w:smallCaps w:val="0"/>
          <w:color w:val="auto"/>
          <w:spacing w:val="0"/>
          <w:sz w:val="28"/>
          <w:szCs w:val="28"/>
          <w:highlight w:val="none"/>
          <w:u w:val="none" w:color="auto"/>
        </w:rPr>
        <w:t>生产过程产生的污染物为：废气：碱洗釜内加碱后发生水解驱氨反应生成的废气，主要污染物为氨气；反应釜及酸洗釜滴加盐酸时挥发废气，主要污染物为氯化氢；烘干废气，主要污染物为水蒸气和HCl。废水：压滤产生的废水，主要污染物为COD、Cl</w:t>
      </w:r>
      <w:r>
        <w:rPr>
          <w:rFonts w:hint="eastAsia" w:ascii="宋体" w:hAnsi="宋体" w:eastAsia="宋体" w:cs="宋体"/>
          <w:caps w:val="0"/>
          <w:smallCaps w:val="0"/>
          <w:color w:val="auto"/>
          <w:spacing w:val="0"/>
          <w:sz w:val="28"/>
          <w:szCs w:val="28"/>
          <w:highlight w:val="none"/>
          <w:u w:val="none" w:color="auto"/>
          <w:vertAlign w:val="superscript"/>
        </w:rPr>
        <w:t>-</w:t>
      </w:r>
      <w:r>
        <w:rPr>
          <w:rFonts w:hint="eastAsia" w:ascii="宋体" w:hAnsi="宋体" w:eastAsia="宋体" w:cs="宋体"/>
          <w:caps w:val="0"/>
          <w:smallCaps w:val="0"/>
          <w:color w:val="auto"/>
          <w:spacing w:val="0"/>
          <w:sz w:val="28"/>
          <w:szCs w:val="28"/>
          <w:highlight w:val="none"/>
          <w:u w:val="none" w:color="auto"/>
        </w:rPr>
        <w:t>、BOD</w:t>
      </w:r>
      <w:r>
        <w:rPr>
          <w:rFonts w:hint="eastAsia" w:ascii="宋体" w:hAnsi="宋体" w:eastAsia="宋体" w:cs="宋体"/>
          <w:caps w:val="0"/>
          <w:smallCaps w:val="0"/>
          <w:color w:val="auto"/>
          <w:spacing w:val="0"/>
          <w:sz w:val="28"/>
          <w:szCs w:val="28"/>
          <w:highlight w:val="none"/>
          <w:u w:val="none" w:color="auto"/>
          <w:vertAlign w:val="subscript"/>
        </w:rPr>
        <w:t>5</w:t>
      </w:r>
      <w:r>
        <w:rPr>
          <w:rFonts w:hint="eastAsia" w:ascii="宋体" w:hAnsi="宋体" w:eastAsia="宋体" w:cs="宋体"/>
          <w:caps w:val="0"/>
          <w:smallCaps w:val="0"/>
          <w:color w:val="auto"/>
          <w:spacing w:val="0"/>
          <w:sz w:val="28"/>
          <w:szCs w:val="28"/>
          <w:highlight w:val="none"/>
          <w:u w:val="none" w:color="auto"/>
        </w:rPr>
        <w:t>、SO</w:t>
      </w:r>
      <w:r>
        <w:rPr>
          <w:rFonts w:hint="eastAsia" w:ascii="宋体" w:hAnsi="宋体" w:eastAsia="宋体" w:cs="宋体"/>
          <w:caps w:val="0"/>
          <w:smallCaps w:val="0"/>
          <w:color w:val="auto"/>
          <w:spacing w:val="0"/>
          <w:sz w:val="28"/>
          <w:szCs w:val="28"/>
          <w:highlight w:val="none"/>
          <w:u w:val="none" w:color="auto"/>
          <w:vertAlign w:val="subscript"/>
        </w:rPr>
        <w:t>3</w:t>
      </w:r>
      <w:r>
        <w:rPr>
          <w:rFonts w:hint="eastAsia" w:ascii="宋体" w:hAnsi="宋体" w:eastAsia="宋体" w:cs="宋体"/>
          <w:caps w:val="0"/>
          <w:smallCaps w:val="0"/>
          <w:color w:val="auto"/>
          <w:spacing w:val="0"/>
          <w:sz w:val="28"/>
          <w:szCs w:val="28"/>
          <w:highlight w:val="none"/>
          <w:u w:val="none" w:color="auto"/>
          <w:vertAlign w:val="superscript"/>
        </w:rPr>
        <w:t>2-</w:t>
      </w:r>
      <w:r>
        <w:rPr>
          <w:rFonts w:hint="eastAsia" w:ascii="宋体" w:hAnsi="宋体" w:eastAsia="宋体" w:cs="宋体"/>
          <w:caps w:val="0"/>
          <w:smallCaps w:val="0"/>
          <w:color w:val="auto"/>
          <w:spacing w:val="0"/>
          <w:sz w:val="28"/>
          <w:szCs w:val="28"/>
          <w:highlight w:val="none"/>
          <w:u w:val="none" w:color="auto"/>
        </w:rPr>
        <w:t>、NH</w:t>
      </w:r>
      <w:r>
        <w:rPr>
          <w:rFonts w:hint="eastAsia" w:ascii="宋体" w:hAnsi="宋体" w:eastAsia="宋体" w:cs="宋体"/>
          <w:caps w:val="0"/>
          <w:smallCaps w:val="0"/>
          <w:color w:val="auto"/>
          <w:spacing w:val="0"/>
          <w:sz w:val="28"/>
          <w:szCs w:val="28"/>
          <w:highlight w:val="none"/>
          <w:u w:val="none" w:color="auto"/>
          <w:vertAlign w:val="subscript"/>
        </w:rPr>
        <w:t>3</w:t>
      </w:r>
      <w:r>
        <w:rPr>
          <w:rFonts w:hint="eastAsia" w:ascii="宋体" w:hAnsi="宋体" w:eastAsia="宋体" w:cs="宋体"/>
          <w:caps w:val="0"/>
          <w:smallCaps w:val="0"/>
          <w:color w:val="auto"/>
          <w:spacing w:val="0"/>
          <w:sz w:val="28"/>
          <w:szCs w:val="28"/>
          <w:highlight w:val="none"/>
          <w:u w:val="none" w:color="auto"/>
        </w:rPr>
        <w:t>-N、SS、色度等。噪声：主要为泵等高噪声设备产生的噪声。</w:t>
      </w:r>
    </w:p>
    <w:p>
      <w:pPr>
        <w:pageBreakBefore w:val="0"/>
        <w:kinsoku/>
        <w:wordWrap/>
        <w:bidi w:val="0"/>
        <w:spacing w:line="360" w:lineRule="auto"/>
        <w:ind w:left="0" w:leftChars="0" w:right="0" w:firstLine="0" w:firstLineChars="0"/>
        <w:rPr>
          <w:rFonts w:hint="eastAsia" w:ascii="宋体" w:hAnsi="宋体" w:eastAsia="宋体" w:cs="宋体"/>
          <w:b/>
          <w:bCs/>
          <w:caps w:val="0"/>
          <w:smallCaps w:val="0"/>
          <w:color w:val="auto"/>
          <w:spacing w:val="0"/>
          <w:sz w:val="28"/>
          <w:szCs w:val="28"/>
          <w:highlight w:val="none"/>
          <w:u w:val="none" w:color="auto"/>
        </w:rPr>
      </w:pPr>
      <w:r>
        <w:rPr>
          <w:rFonts w:hint="eastAsia" w:ascii="宋体" w:hAnsi="宋体" w:eastAsia="宋体" w:cs="宋体"/>
          <w:b/>
          <w:bCs/>
          <w:caps w:val="0"/>
          <w:smallCaps w:val="0"/>
          <w:color w:val="auto"/>
          <w:spacing w:val="0"/>
          <w:sz w:val="28"/>
          <w:szCs w:val="28"/>
          <w:highlight w:val="none"/>
          <w:u w:val="none" w:color="auto"/>
          <w:lang w:val="en-US" w:eastAsia="zh-CN"/>
        </w:rPr>
        <w:t>4.2.</w:t>
      </w:r>
      <w:r>
        <w:rPr>
          <w:rFonts w:hint="eastAsia" w:ascii="宋体" w:hAnsi="宋体" w:eastAsia="宋体" w:cs="宋体"/>
          <w:b/>
          <w:bCs/>
          <w:caps w:val="0"/>
          <w:smallCaps w:val="0"/>
          <w:color w:val="auto"/>
          <w:spacing w:val="0"/>
          <w:sz w:val="28"/>
          <w:szCs w:val="28"/>
          <w:highlight w:val="none"/>
          <w:u w:val="none" w:color="auto"/>
        </w:rPr>
        <w:t>3甲酸乙酯</w:t>
      </w:r>
    </w:p>
    <w:p>
      <w:pPr>
        <w:pageBreakBefore w:val="0"/>
        <w:kinsoku/>
        <w:wordWrap/>
        <w:bidi w:val="0"/>
        <w:spacing w:line="360" w:lineRule="auto"/>
        <w:ind w:left="0" w:leftChars="0" w:right="0" w:firstLine="480"/>
        <w:rPr>
          <w:rFonts w:hint="eastAsia" w:ascii="宋体" w:hAnsi="宋体" w:eastAsia="宋体" w:cs="宋体"/>
          <w:caps w:val="0"/>
          <w:smallCaps w:val="0"/>
          <w:color w:val="auto"/>
          <w:spacing w:val="0"/>
          <w:sz w:val="28"/>
          <w:szCs w:val="28"/>
          <w:highlight w:val="none"/>
          <w:u w:val="none" w:color="auto"/>
        </w:rPr>
      </w:pPr>
      <w:r>
        <w:rPr>
          <w:rFonts w:hint="eastAsia" w:ascii="宋体" w:hAnsi="宋体" w:eastAsia="宋体" w:cs="宋体"/>
          <w:caps w:val="0"/>
          <w:smallCaps w:val="0"/>
          <w:color w:val="auto"/>
          <w:spacing w:val="0"/>
          <w:sz w:val="28"/>
          <w:szCs w:val="28"/>
          <w:highlight w:val="none"/>
          <w:u w:val="none" w:color="auto"/>
        </w:rPr>
        <w:t>甲酸乙酯生产过程主要包括酯化、蒸馏、冷凝（即：将一定量的甲酸及98%H</w:t>
      </w:r>
      <w:r>
        <w:rPr>
          <w:rFonts w:hint="eastAsia" w:ascii="宋体" w:hAnsi="宋体" w:eastAsia="宋体" w:cs="宋体"/>
          <w:caps w:val="0"/>
          <w:smallCaps w:val="0"/>
          <w:color w:val="auto"/>
          <w:spacing w:val="0"/>
          <w:sz w:val="28"/>
          <w:szCs w:val="28"/>
          <w:highlight w:val="none"/>
          <w:u w:val="none" w:color="auto"/>
          <w:vertAlign w:val="subscript"/>
        </w:rPr>
        <w:t>2</w:t>
      </w:r>
      <w:r>
        <w:rPr>
          <w:rFonts w:hint="eastAsia" w:ascii="宋体" w:hAnsi="宋体" w:eastAsia="宋体" w:cs="宋体"/>
          <w:caps w:val="0"/>
          <w:smallCaps w:val="0"/>
          <w:color w:val="auto"/>
          <w:spacing w:val="0"/>
          <w:sz w:val="28"/>
          <w:szCs w:val="28"/>
          <w:highlight w:val="none"/>
          <w:u w:val="none" w:color="auto"/>
        </w:rPr>
        <w:t>SO</w:t>
      </w:r>
      <w:r>
        <w:rPr>
          <w:rFonts w:hint="eastAsia" w:ascii="宋体" w:hAnsi="宋体" w:eastAsia="宋体" w:cs="宋体"/>
          <w:caps w:val="0"/>
          <w:smallCaps w:val="0"/>
          <w:color w:val="auto"/>
          <w:spacing w:val="0"/>
          <w:sz w:val="28"/>
          <w:szCs w:val="28"/>
          <w:highlight w:val="none"/>
          <w:u w:val="none" w:color="auto"/>
          <w:vertAlign w:val="subscript"/>
        </w:rPr>
        <w:t>4</w:t>
      </w:r>
      <w:r>
        <w:rPr>
          <w:rFonts w:hint="eastAsia" w:ascii="宋体" w:hAnsi="宋体" w:eastAsia="宋体" w:cs="宋体"/>
          <w:caps w:val="0"/>
          <w:smallCaps w:val="0"/>
          <w:color w:val="auto"/>
          <w:spacing w:val="0"/>
          <w:sz w:val="28"/>
          <w:szCs w:val="28"/>
          <w:highlight w:val="none"/>
          <w:u w:val="none" w:color="auto"/>
        </w:rPr>
        <w:t>通过管道泵送入反应釜，然后泵入计量好的乙醇及水，通过蒸汽间接加热，在常压状态下发生酯化反应，生成的甲酸乙酯连续从蒸馏塔的塔顶蒸出，冷凝后成为液体甲酸乙酯，通过色谱检测当甲酸乙酯含量达99%时移出酯化反应系统进入脱水釜内，原料带入的水及酯化反应过程产生的水由酯化釜底部排放，进入厂内污水处理站），脱水（即：将脱水釜内物料静置2h，待分层后下部水层返回酯化釜内，然后向脱水釜内加入无水氯化钙进行脱水），水洗及精馏（即：向脱水釜内加入一定量清水进行水洗，搅拌1h，静置0.5h分层后放出废水进入污水处理站，上层甲酸乙酯进入精馏工序。脱水后的甲酸乙酯泵入精馏塔内进一步提纯，精馏结束后，经冷凝器采用循环冷却水进行降温15～30min，冷凝效率约为99%，最终成为含量不小于99%的成品，直接进入密闭成品罐，然后装桶出售）。</w:t>
      </w:r>
    </w:p>
    <w:p>
      <w:pPr>
        <w:pageBreakBefore w:val="0"/>
        <w:kinsoku/>
        <w:wordWrap/>
        <w:bidi w:val="0"/>
        <w:spacing w:line="360" w:lineRule="auto"/>
        <w:ind w:left="0" w:leftChars="0" w:right="0" w:firstLine="480"/>
        <w:rPr>
          <w:rFonts w:hint="eastAsia" w:ascii="宋体" w:hAnsi="宋体" w:eastAsia="宋体" w:cs="宋体"/>
          <w:caps w:val="0"/>
          <w:smallCaps w:val="0"/>
          <w:color w:val="auto"/>
          <w:spacing w:val="0"/>
          <w:sz w:val="28"/>
          <w:szCs w:val="28"/>
          <w:highlight w:val="none"/>
          <w:u w:val="none" w:color="auto"/>
        </w:rPr>
      </w:pPr>
      <w:r>
        <w:rPr>
          <w:rFonts w:hint="eastAsia" w:ascii="宋体" w:hAnsi="宋体" w:eastAsia="宋体" w:cs="宋体"/>
          <w:caps w:val="0"/>
          <w:smallCaps w:val="0"/>
          <w:color w:val="auto"/>
          <w:spacing w:val="0"/>
          <w:sz w:val="28"/>
          <w:szCs w:val="28"/>
          <w:highlight w:val="none"/>
          <w:u w:val="none" w:color="auto"/>
        </w:rPr>
        <w:t>生产过程中主要污染物为：废气：本项目甲酸乙酯生产过程全密闭，只在冷凝后缓冲罐处设排空管，且安装有呼吸阀，整个生产过程只有少量无组织废气产生。废水：酯化釜、脱水釜及精馏釜内排放的废水，主要为COD、BOD</w:t>
      </w:r>
      <w:r>
        <w:rPr>
          <w:rFonts w:hint="eastAsia" w:ascii="宋体" w:hAnsi="宋体" w:eastAsia="宋体" w:cs="宋体"/>
          <w:caps w:val="0"/>
          <w:smallCaps w:val="0"/>
          <w:color w:val="auto"/>
          <w:spacing w:val="0"/>
          <w:sz w:val="28"/>
          <w:szCs w:val="28"/>
          <w:highlight w:val="none"/>
          <w:u w:val="none" w:color="auto"/>
          <w:vertAlign w:val="subscript"/>
        </w:rPr>
        <w:t>5</w:t>
      </w:r>
      <w:r>
        <w:rPr>
          <w:rFonts w:hint="eastAsia" w:ascii="宋体" w:hAnsi="宋体" w:eastAsia="宋体" w:cs="宋体"/>
          <w:caps w:val="0"/>
          <w:smallCaps w:val="0"/>
          <w:color w:val="auto"/>
          <w:spacing w:val="0"/>
          <w:sz w:val="28"/>
          <w:szCs w:val="28"/>
          <w:highlight w:val="none"/>
          <w:u w:val="none" w:color="auto"/>
        </w:rPr>
        <w:t>、少量氯化钙等。噪声：主要为制冷机、泵等高噪声设备产生的噪声。固废：脱水釜底部吸水后的氯化钙，经脱水烘干后可继续使用，再使用时补充损失，约为总用量的4%，定期更新，更换掉的氯化钙可用作建筑防冻剂。</w:t>
      </w:r>
    </w:p>
    <w:p>
      <w:pPr>
        <w:pStyle w:val="10"/>
        <w:spacing w:line="240" w:lineRule="auto"/>
        <w:jc w:val="center"/>
        <w:rPr>
          <w:rFonts w:hint="eastAsia" w:ascii="宋体" w:hAnsi="宋体" w:eastAsia="宋体" w:cs="宋体"/>
          <w:color w:val="auto"/>
          <w:sz w:val="28"/>
          <w:szCs w:val="28"/>
          <w:highlight w:val="none"/>
          <w:lang w:eastAsia="zh-CN"/>
        </w:rPr>
      </w:pPr>
      <w:r>
        <w:rPr>
          <w:rFonts w:hint="eastAsia" w:ascii="宋体" w:hAnsi="宋体" w:eastAsia="宋体" w:cs="宋体"/>
          <w:color w:val="auto"/>
          <w:sz w:val="28"/>
          <w:szCs w:val="28"/>
          <w:highlight w:val="none"/>
          <w:lang w:eastAsia="zh-CN"/>
        </w:rPr>
        <w:drawing>
          <wp:inline distT="0" distB="0" distL="114300" distR="114300">
            <wp:extent cx="4175125" cy="4099560"/>
            <wp:effectExtent l="0" t="0" r="3175" b="2540"/>
            <wp:docPr id="4" name="图片 4"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图片1"/>
                    <pic:cNvPicPr>
                      <a:picLocks noChangeAspect="1"/>
                    </pic:cNvPicPr>
                  </pic:nvPicPr>
                  <pic:blipFill>
                    <a:blip r:embed="rId12"/>
                    <a:stretch>
                      <a:fillRect/>
                    </a:stretch>
                  </pic:blipFill>
                  <pic:spPr>
                    <a:xfrm>
                      <a:off x="0" y="0"/>
                      <a:ext cx="4175125" cy="4099560"/>
                    </a:xfrm>
                    <a:prstGeom prst="rect">
                      <a:avLst/>
                    </a:prstGeom>
                  </pic:spPr>
                </pic:pic>
              </a:graphicData>
            </a:graphic>
          </wp:inline>
        </w:drawing>
      </w:r>
    </w:p>
    <w:p>
      <w:pPr>
        <w:pStyle w:val="10"/>
        <w:jc w:val="center"/>
        <w:rPr>
          <w:rFonts w:hint="eastAsia" w:ascii="宋体" w:hAnsi="宋体" w:eastAsia="宋体" w:cs="宋体"/>
          <w:b/>
          <w:bCs/>
          <w:color w:val="auto"/>
          <w:highlight w:val="none"/>
          <w:lang w:val="en-US" w:eastAsia="zh-CN"/>
        </w:rPr>
      </w:pPr>
      <w:r>
        <w:rPr>
          <w:rFonts w:hint="eastAsia" w:ascii="宋体" w:hAnsi="宋体" w:eastAsia="宋体" w:cs="宋体"/>
          <w:b/>
          <w:bCs/>
          <w:caps w:val="0"/>
          <w:smallCaps w:val="0"/>
          <w:color w:val="auto"/>
          <w:spacing w:val="0"/>
          <w:sz w:val="28"/>
          <w:szCs w:val="28"/>
          <w:highlight w:val="none"/>
          <w:u w:val="none" w:color="auto"/>
          <w:lang w:val="en-US" w:eastAsia="zh-CN"/>
        </w:rPr>
        <w:t>尼文酸生产工艺及产污节点流程图</w:t>
      </w:r>
    </w:p>
    <w:p>
      <w:pPr>
        <w:pStyle w:val="14"/>
        <w:numPr>
          <w:ilvl w:val="0"/>
          <w:numId w:val="0"/>
        </w:numPr>
        <w:ind w:leftChars="200"/>
        <w:rPr>
          <w:rFonts w:hint="eastAsia" w:ascii="宋体" w:hAnsi="宋体" w:eastAsia="宋体" w:cs="宋体"/>
          <w:color w:val="auto"/>
          <w:highlight w:val="none"/>
          <w:lang w:eastAsia="zh-CN"/>
        </w:rPr>
      </w:pPr>
    </w:p>
    <w:p>
      <w:pPr>
        <w:pStyle w:val="3"/>
        <w:spacing w:line="360" w:lineRule="auto"/>
        <w:ind w:left="0" w:leftChars="0" w:firstLine="0" w:firstLineChars="0"/>
        <w:jc w:val="left"/>
        <w:rPr>
          <w:rFonts w:hint="eastAsia" w:ascii="宋体" w:hAnsi="宋体" w:eastAsia="宋体" w:cs="宋体"/>
          <w:b/>
          <w:bCs/>
          <w:caps w:val="0"/>
          <w:smallCaps w:val="0"/>
          <w:color w:val="auto"/>
          <w:spacing w:val="0"/>
          <w:kern w:val="2"/>
          <w:sz w:val="28"/>
          <w:szCs w:val="28"/>
          <w:highlight w:val="none"/>
          <w:u w:val="none" w:color="auto"/>
          <w:lang w:val="en-US" w:eastAsia="zh-CN" w:bidi="ar-SA"/>
        </w:rPr>
      </w:pPr>
      <w:r>
        <w:rPr>
          <w:rFonts w:hint="eastAsia" w:cs="宋体"/>
          <w:b/>
          <w:bCs/>
          <w:caps w:val="0"/>
          <w:smallCaps w:val="0"/>
          <w:color w:val="auto"/>
          <w:spacing w:val="0"/>
          <w:kern w:val="2"/>
          <w:sz w:val="28"/>
          <w:szCs w:val="28"/>
          <w:highlight w:val="none"/>
          <w:u w:val="none" w:color="auto"/>
          <w:lang w:val="en-US" w:eastAsia="zh-CN" w:bidi="ar-SA"/>
        </w:rPr>
        <w:t>4.2.</w:t>
      </w:r>
      <w:r>
        <w:rPr>
          <w:rFonts w:hint="eastAsia" w:ascii="宋体" w:hAnsi="宋体" w:eastAsia="宋体" w:cs="宋体"/>
          <w:b/>
          <w:bCs/>
          <w:caps w:val="0"/>
          <w:smallCaps w:val="0"/>
          <w:color w:val="auto"/>
          <w:spacing w:val="0"/>
          <w:kern w:val="2"/>
          <w:sz w:val="28"/>
          <w:szCs w:val="28"/>
          <w:highlight w:val="none"/>
          <w:u w:val="none" w:color="auto"/>
          <w:lang w:val="en-US" w:eastAsia="zh-CN" w:bidi="ar-SA"/>
        </w:rPr>
        <w:t>4丙酸乙酯</w:t>
      </w:r>
    </w:p>
    <w:p>
      <w:pPr>
        <w:pageBreakBefore w:val="0"/>
        <w:kinsoku/>
        <w:wordWrap/>
        <w:bidi w:val="0"/>
        <w:spacing w:line="360" w:lineRule="auto"/>
        <w:ind w:left="0" w:leftChars="0" w:right="0" w:firstLine="480"/>
        <w:rPr>
          <w:rFonts w:hint="eastAsia" w:ascii="宋体" w:hAnsi="宋体" w:eastAsia="宋体" w:cs="宋体"/>
          <w:caps w:val="0"/>
          <w:smallCaps w:val="0"/>
          <w:color w:val="auto"/>
          <w:spacing w:val="0"/>
          <w:sz w:val="28"/>
          <w:szCs w:val="28"/>
          <w:highlight w:val="none"/>
          <w:u w:val="none" w:color="auto"/>
        </w:rPr>
      </w:pPr>
      <w:r>
        <w:rPr>
          <w:rFonts w:hint="eastAsia" w:ascii="宋体" w:hAnsi="宋体" w:eastAsia="宋体" w:cs="宋体"/>
          <w:caps w:val="0"/>
          <w:smallCaps w:val="0"/>
          <w:color w:val="auto"/>
          <w:spacing w:val="0"/>
          <w:sz w:val="28"/>
          <w:szCs w:val="28"/>
          <w:highlight w:val="none"/>
          <w:u w:val="none" w:color="auto"/>
        </w:rPr>
        <w:t>丙酸乙酯生产过程主要包括酯化、蒸馏、脱水、水洗及精馏，具体工艺如下：将一定量的丙酸及98%H</w:t>
      </w:r>
      <w:r>
        <w:rPr>
          <w:rFonts w:hint="eastAsia" w:ascii="宋体" w:hAnsi="宋体" w:eastAsia="宋体" w:cs="宋体"/>
          <w:caps w:val="0"/>
          <w:smallCaps w:val="0"/>
          <w:color w:val="auto"/>
          <w:spacing w:val="0"/>
          <w:sz w:val="28"/>
          <w:szCs w:val="28"/>
          <w:highlight w:val="none"/>
          <w:u w:val="none" w:color="auto"/>
          <w:vertAlign w:val="subscript"/>
        </w:rPr>
        <w:t>2</w:t>
      </w:r>
      <w:r>
        <w:rPr>
          <w:rFonts w:hint="eastAsia" w:ascii="宋体" w:hAnsi="宋体" w:eastAsia="宋体" w:cs="宋体"/>
          <w:caps w:val="0"/>
          <w:smallCaps w:val="0"/>
          <w:color w:val="auto"/>
          <w:spacing w:val="0"/>
          <w:sz w:val="28"/>
          <w:szCs w:val="28"/>
          <w:highlight w:val="none"/>
          <w:u w:val="none" w:color="auto"/>
        </w:rPr>
        <w:t>SO</w:t>
      </w:r>
      <w:r>
        <w:rPr>
          <w:rFonts w:hint="eastAsia" w:ascii="宋体" w:hAnsi="宋体" w:eastAsia="宋体" w:cs="宋体"/>
          <w:caps w:val="0"/>
          <w:smallCaps w:val="0"/>
          <w:color w:val="auto"/>
          <w:spacing w:val="0"/>
          <w:sz w:val="28"/>
          <w:szCs w:val="28"/>
          <w:highlight w:val="none"/>
          <w:u w:val="none" w:color="auto"/>
          <w:vertAlign w:val="subscript"/>
        </w:rPr>
        <w:t>4</w:t>
      </w:r>
      <w:r>
        <w:rPr>
          <w:rFonts w:hint="eastAsia" w:ascii="宋体" w:hAnsi="宋体" w:eastAsia="宋体" w:cs="宋体"/>
          <w:caps w:val="0"/>
          <w:smallCaps w:val="0"/>
          <w:color w:val="auto"/>
          <w:spacing w:val="0"/>
          <w:sz w:val="28"/>
          <w:szCs w:val="28"/>
          <w:highlight w:val="none"/>
          <w:u w:val="none" w:color="auto"/>
        </w:rPr>
        <w:t>通过管道泵送入反应釜，然后泵入乙醇及水，通过蒸汽间接加热至99℃左右，在常压状态下发生酯化反应，生成的丙酸乙酯和水以二元共沸物的形式连续从蒸馏塔的塔顶蒸出，同时一部分回流提纯，冷凝后液体进入脱水釜内，酯化釜内釜底液回用于下一次生产。将脱水釜内物料静置，待分层后下部水层排出釜外，然后向脱水釜内加入无水氯化钙干燥有机层，升温、搅拌，此后静置，再采用制冷机对脱水釜降温同时搅拌，温度维持在30℃左右，静置1.5h后，从釜底阀门放出CaCl</w:t>
      </w:r>
      <w:r>
        <w:rPr>
          <w:rFonts w:hint="eastAsia" w:ascii="宋体" w:hAnsi="宋体" w:eastAsia="宋体" w:cs="宋体"/>
          <w:caps w:val="0"/>
          <w:smallCaps w:val="0"/>
          <w:color w:val="auto"/>
          <w:spacing w:val="0"/>
          <w:sz w:val="28"/>
          <w:szCs w:val="28"/>
          <w:highlight w:val="none"/>
          <w:u w:val="none" w:color="auto"/>
          <w:vertAlign w:val="subscript"/>
        </w:rPr>
        <w:t>2</w:t>
      </w:r>
      <w:r>
        <w:rPr>
          <w:rFonts w:hint="eastAsia" w:ascii="宋体" w:hAnsi="宋体" w:eastAsia="宋体" w:cs="宋体"/>
          <w:caps w:val="0"/>
          <w:smallCaps w:val="0"/>
          <w:color w:val="auto"/>
          <w:spacing w:val="0"/>
          <w:sz w:val="28"/>
          <w:szCs w:val="28"/>
          <w:highlight w:val="none"/>
          <w:u w:val="none" w:color="auto"/>
        </w:rPr>
        <w:t>，自然冷却后进入吊带式离心机脱水。向脱水釜内加入一定量清水进行水洗，搅拌1h，静置0.5h分层后放出废水，上层丙酸乙酯进入精馏工序。脱水后的丙酸乙酯泵入精馏塔内进一步提纯，保持温度为99℃左右，精馏结束后，经冷凝器采用循环冷却水进行降温15～30min，最终成为含量不小于99%的成品，装桶出售。</w:t>
      </w:r>
    </w:p>
    <w:p>
      <w:pPr>
        <w:pageBreakBefore w:val="0"/>
        <w:kinsoku/>
        <w:wordWrap/>
        <w:bidi w:val="0"/>
        <w:spacing w:line="360" w:lineRule="auto"/>
        <w:ind w:left="0" w:leftChars="0" w:right="0" w:firstLine="480"/>
        <w:jc w:val="left"/>
        <w:rPr>
          <w:rFonts w:hint="eastAsia" w:ascii="宋体" w:hAnsi="宋体" w:eastAsia="宋体" w:cs="宋体"/>
          <w:caps w:val="0"/>
          <w:smallCaps w:val="0"/>
          <w:color w:val="auto"/>
          <w:spacing w:val="0"/>
          <w:sz w:val="28"/>
          <w:szCs w:val="28"/>
          <w:highlight w:val="none"/>
          <w:u w:val="none" w:color="auto"/>
        </w:rPr>
      </w:pPr>
      <w:r>
        <w:rPr>
          <w:rFonts w:hint="eastAsia" w:ascii="宋体" w:hAnsi="宋体" w:eastAsia="宋体" w:cs="宋体"/>
          <w:caps w:val="0"/>
          <w:smallCaps w:val="0"/>
          <w:color w:val="auto"/>
          <w:spacing w:val="0"/>
          <w:sz w:val="28"/>
          <w:szCs w:val="28"/>
          <w:highlight w:val="none"/>
          <w:u w:val="none" w:color="auto"/>
        </w:rPr>
        <w:t>生产过程中主要污染物为：废气：本项目丙酸乙酯生产过程全密闭，只在冷凝后缓冲罐处设排空管，且安装有呼吸阀，整个生产过程只有少量无组织废气产生。废水：脱水釜及精馏釜内排放的废水，主要为COD、BOD</w:t>
      </w:r>
      <w:r>
        <w:rPr>
          <w:rFonts w:hint="eastAsia" w:ascii="宋体" w:hAnsi="宋体" w:eastAsia="宋体" w:cs="宋体"/>
          <w:caps w:val="0"/>
          <w:smallCaps w:val="0"/>
          <w:color w:val="auto"/>
          <w:spacing w:val="0"/>
          <w:sz w:val="28"/>
          <w:szCs w:val="28"/>
          <w:highlight w:val="none"/>
          <w:u w:val="none" w:color="auto"/>
          <w:vertAlign w:val="subscript"/>
        </w:rPr>
        <w:t>5</w:t>
      </w:r>
      <w:r>
        <w:rPr>
          <w:rFonts w:hint="eastAsia" w:ascii="宋体" w:hAnsi="宋体" w:eastAsia="宋体" w:cs="宋体"/>
          <w:caps w:val="0"/>
          <w:smallCaps w:val="0"/>
          <w:color w:val="auto"/>
          <w:spacing w:val="0"/>
          <w:sz w:val="28"/>
          <w:szCs w:val="28"/>
          <w:highlight w:val="none"/>
          <w:u w:val="none" w:color="auto"/>
        </w:rPr>
        <w:t>、少量氯化钙等。噪声：主要为制冷机、泵等高噪声设备产生的噪声。固废：脱水釜底部吸水后的氯化钙，经脱水烘干后可继续使用，再使用时补充损失，约为总用量的4%，定期更新，更换掉的氯化钙可用作建筑防冻剂。</w:t>
      </w:r>
    </w:p>
    <w:p>
      <w:pPr>
        <w:pageBreakBefore w:val="0"/>
        <w:kinsoku/>
        <w:wordWrap/>
        <w:bidi w:val="0"/>
        <w:spacing w:line="360" w:lineRule="auto"/>
        <w:ind w:left="0" w:leftChars="0" w:right="0" w:firstLine="480"/>
        <w:jc w:val="center"/>
        <w:rPr>
          <w:rFonts w:hint="eastAsia" w:ascii="宋体" w:hAnsi="宋体" w:eastAsia="宋体" w:cs="宋体"/>
          <w:caps w:val="0"/>
          <w:smallCaps w:val="0"/>
          <w:color w:val="auto"/>
          <w:spacing w:val="0"/>
          <w:sz w:val="28"/>
          <w:szCs w:val="28"/>
          <w:highlight w:val="none"/>
          <w:u w:val="none" w:color="auto"/>
          <w:lang w:eastAsia="zh-CN"/>
        </w:rPr>
      </w:pPr>
      <w:r>
        <w:rPr>
          <w:rFonts w:hint="eastAsia" w:ascii="宋体" w:hAnsi="宋体" w:eastAsia="宋体" w:cs="宋体"/>
          <w:color w:val="auto"/>
          <w:highlight w:val="none"/>
        </w:rPr>
        <w:drawing>
          <wp:inline distT="0" distB="0" distL="114300" distR="114300">
            <wp:extent cx="4465320" cy="4391025"/>
            <wp:effectExtent l="0" t="0" r="5080" b="3175"/>
            <wp:docPr id="22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
                    <pic:cNvPicPr>
                      <a:picLocks noChangeAspect="1"/>
                    </pic:cNvPicPr>
                  </pic:nvPicPr>
                  <pic:blipFill>
                    <a:blip r:embed="rId13"/>
                    <a:stretch>
                      <a:fillRect/>
                    </a:stretch>
                  </pic:blipFill>
                  <pic:spPr>
                    <a:xfrm>
                      <a:off x="0" y="0"/>
                      <a:ext cx="4465320" cy="4391025"/>
                    </a:xfrm>
                    <a:prstGeom prst="rect">
                      <a:avLst/>
                    </a:prstGeom>
                    <a:noFill/>
                    <a:ln>
                      <a:noFill/>
                    </a:ln>
                  </pic:spPr>
                </pic:pic>
              </a:graphicData>
            </a:graphic>
          </wp:inline>
        </w:drawing>
      </w:r>
    </w:p>
    <w:p>
      <w:pPr>
        <w:pStyle w:val="45"/>
        <w:pageBreakBefore w:val="0"/>
        <w:kinsoku/>
        <w:wordWrap/>
        <w:bidi w:val="0"/>
        <w:spacing w:line="360" w:lineRule="auto"/>
        <w:ind w:left="0" w:leftChars="0" w:right="0"/>
        <w:jc w:val="center"/>
        <w:rPr>
          <w:rFonts w:hint="eastAsia" w:ascii="宋体" w:hAnsi="宋体" w:eastAsia="宋体" w:cs="宋体"/>
          <w:b/>
          <w:caps w:val="0"/>
          <w:smallCaps w:val="0"/>
          <w:color w:val="auto"/>
          <w:spacing w:val="0"/>
          <w:sz w:val="28"/>
          <w:szCs w:val="28"/>
          <w:highlight w:val="none"/>
          <w:u w:val="none" w:color="auto"/>
          <w:lang w:val="en-US" w:eastAsia="zh-CN"/>
        </w:rPr>
      </w:pPr>
      <w:r>
        <w:rPr>
          <w:rFonts w:hint="eastAsia" w:ascii="宋体" w:hAnsi="宋体" w:eastAsia="宋体" w:cs="宋体"/>
          <w:b/>
          <w:bCs/>
          <w:caps w:val="0"/>
          <w:smallCaps w:val="0"/>
          <w:color w:val="auto"/>
          <w:spacing w:val="0"/>
          <w:kern w:val="2"/>
          <w:sz w:val="28"/>
          <w:szCs w:val="28"/>
          <w:highlight w:val="none"/>
          <w:u w:val="none" w:color="auto"/>
          <w:lang w:val="en-US" w:eastAsia="zh-CN" w:bidi="ar-SA"/>
        </w:rPr>
        <w:t>丙酸乙酯生产工艺流程及产污节点示意图</w:t>
      </w:r>
    </w:p>
    <w:p>
      <w:pPr>
        <w:pStyle w:val="9"/>
        <w:pageBreakBefore w:val="0"/>
        <w:numPr>
          <w:ilvl w:val="2"/>
          <w:numId w:val="0"/>
        </w:numPr>
        <w:kinsoku/>
        <w:wordWrap/>
        <w:bidi w:val="0"/>
        <w:spacing w:before="0" w:after="0" w:line="360" w:lineRule="auto"/>
        <w:ind w:right="0" w:rightChars="0"/>
        <w:rPr>
          <w:rFonts w:hint="eastAsia" w:ascii="宋体" w:hAnsi="宋体" w:eastAsia="宋体" w:cs="宋体"/>
          <w:b/>
          <w:caps w:val="0"/>
          <w:smallCaps w:val="0"/>
          <w:color w:val="auto"/>
          <w:spacing w:val="0"/>
          <w:sz w:val="28"/>
          <w:szCs w:val="28"/>
          <w:highlight w:val="none"/>
          <w:u w:val="none" w:color="auto"/>
        </w:rPr>
      </w:pPr>
      <w:r>
        <w:rPr>
          <w:rFonts w:hint="eastAsia" w:ascii="宋体" w:hAnsi="宋体" w:eastAsia="宋体" w:cs="宋体"/>
          <w:b/>
          <w:caps w:val="0"/>
          <w:smallCaps w:val="0"/>
          <w:color w:val="auto"/>
          <w:spacing w:val="0"/>
          <w:sz w:val="28"/>
          <w:szCs w:val="28"/>
          <w:highlight w:val="none"/>
          <w:u w:val="none" w:color="auto"/>
          <w:lang w:val="en-US" w:eastAsia="zh-CN"/>
        </w:rPr>
        <w:t>4.2.5</w:t>
      </w:r>
      <w:r>
        <w:rPr>
          <w:rFonts w:hint="eastAsia" w:ascii="宋体" w:hAnsi="宋体" w:eastAsia="宋体" w:cs="宋体"/>
          <w:b/>
          <w:caps w:val="0"/>
          <w:smallCaps w:val="0"/>
          <w:color w:val="auto"/>
          <w:spacing w:val="0"/>
          <w:sz w:val="28"/>
          <w:szCs w:val="28"/>
          <w:highlight w:val="none"/>
          <w:u w:val="none" w:color="auto"/>
        </w:rPr>
        <w:t>溴化氢乙酸溶液及溴化氢生产工艺介绍</w:t>
      </w:r>
    </w:p>
    <w:p>
      <w:pPr>
        <w:pStyle w:val="10"/>
        <w:pageBreakBefore w:val="0"/>
        <w:kinsoku/>
        <w:wordWrap/>
        <w:bidi w:val="0"/>
        <w:spacing w:line="360" w:lineRule="auto"/>
        <w:ind w:left="0" w:leftChars="0" w:right="0" w:firstLine="560" w:firstLineChars="200"/>
        <w:rPr>
          <w:rFonts w:hint="eastAsia" w:ascii="宋体" w:hAnsi="宋体" w:eastAsia="宋体" w:cs="宋体"/>
          <w:caps w:val="0"/>
          <w:smallCaps w:val="0"/>
          <w:color w:val="auto"/>
          <w:spacing w:val="0"/>
          <w:sz w:val="28"/>
          <w:szCs w:val="28"/>
          <w:highlight w:val="none"/>
          <w:u w:val="none" w:color="auto"/>
        </w:rPr>
      </w:pPr>
      <w:r>
        <w:rPr>
          <w:rFonts w:hint="eastAsia" w:ascii="宋体" w:hAnsi="宋体" w:eastAsia="宋体" w:cs="宋体"/>
          <w:caps w:val="0"/>
          <w:smallCaps w:val="0"/>
          <w:color w:val="auto"/>
          <w:spacing w:val="0"/>
          <w:sz w:val="28"/>
          <w:szCs w:val="28"/>
          <w:highlight w:val="none"/>
          <w:u w:val="none" w:color="auto"/>
        </w:rPr>
        <w:t>本次扩建工程采用外购的溴素和氢气合成溴化氢，一部分通过管道送往三溴新戊醇和二溴新戊二醇生产装置用于三溴新戊醇和二溴新戊二醇的生产，一部分由外购的乙酸进行吸收，生成溴化氢乙酸溶液，生产工段为连续式生产，生产时间为200d。</w:t>
      </w:r>
    </w:p>
    <w:p>
      <w:pPr>
        <w:pStyle w:val="10"/>
        <w:pageBreakBefore w:val="0"/>
        <w:kinsoku/>
        <w:wordWrap/>
        <w:bidi w:val="0"/>
        <w:spacing w:line="360" w:lineRule="auto"/>
        <w:ind w:left="0" w:leftChars="0" w:right="0" w:firstLine="560" w:firstLineChars="200"/>
        <w:rPr>
          <w:rFonts w:hint="eastAsia" w:ascii="宋体" w:hAnsi="宋体" w:eastAsia="宋体" w:cs="宋体"/>
          <w:caps w:val="0"/>
          <w:smallCaps w:val="0"/>
          <w:color w:val="auto"/>
          <w:spacing w:val="0"/>
          <w:sz w:val="28"/>
          <w:szCs w:val="28"/>
          <w:highlight w:val="none"/>
          <w:u w:val="none" w:color="auto"/>
        </w:rPr>
      </w:pPr>
      <w:r>
        <w:rPr>
          <w:rFonts w:hint="eastAsia" w:ascii="宋体" w:hAnsi="宋体" w:eastAsia="宋体" w:cs="宋体"/>
          <w:caps w:val="0"/>
          <w:smallCaps w:val="0"/>
          <w:color w:val="auto"/>
          <w:spacing w:val="0"/>
          <w:sz w:val="28"/>
          <w:szCs w:val="28"/>
          <w:highlight w:val="none"/>
          <w:u w:val="none" w:color="auto"/>
        </w:rPr>
        <w:t>通气工段：将系统管道用氮气置换尽空气，置换时间2小时，然后用氢气置换，置换时间1小时。在置换时将两组电子恒温箱开始升温。第一组升至390℃，第二组升至500℃左右，打开气化管道，压力为0.04Mp。</w:t>
      </w:r>
    </w:p>
    <w:p>
      <w:pPr>
        <w:pStyle w:val="10"/>
        <w:pageBreakBefore w:val="0"/>
        <w:kinsoku/>
        <w:wordWrap/>
        <w:bidi w:val="0"/>
        <w:spacing w:line="360" w:lineRule="auto"/>
        <w:ind w:left="0" w:leftChars="0" w:right="0" w:firstLine="560" w:firstLineChars="200"/>
        <w:rPr>
          <w:rFonts w:hint="eastAsia" w:ascii="宋体" w:hAnsi="宋体" w:eastAsia="宋体" w:cs="宋体"/>
          <w:caps w:val="0"/>
          <w:smallCaps w:val="0"/>
          <w:color w:val="auto"/>
          <w:spacing w:val="0"/>
          <w:sz w:val="28"/>
          <w:szCs w:val="28"/>
          <w:highlight w:val="none"/>
          <w:u w:val="none" w:color="auto"/>
        </w:rPr>
      </w:pPr>
      <w:r>
        <w:rPr>
          <w:rFonts w:hint="eastAsia" w:ascii="宋体" w:hAnsi="宋体" w:eastAsia="宋体" w:cs="宋体"/>
          <w:caps w:val="0"/>
          <w:smallCaps w:val="0"/>
          <w:color w:val="auto"/>
          <w:spacing w:val="0"/>
          <w:sz w:val="28"/>
          <w:szCs w:val="28"/>
          <w:highlight w:val="none"/>
          <w:u w:val="none" w:color="auto"/>
        </w:rPr>
        <w:t>点火工段：通入蒸汽加热通溴筒，开动溴素计量泵送入溴素300g，关掉计量泵，待溴蒸气产生后在石英炉遇氢气点燃后，再开启计量泵，缓慢调节计量泵流量至50-55kg每小时。溴素在氢气中燃烧，进行化合反应，生成溴化氢。</w:t>
      </w:r>
    </w:p>
    <w:p>
      <w:pPr>
        <w:pStyle w:val="10"/>
        <w:pageBreakBefore w:val="0"/>
        <w:kinsoku/>
        <w:wordWrap/>
        <w:bidi w:val="0"/>
        <w:spacing w:line="360" w:lineRule="auto"/>
        <w:ind w:left="0" w:leftChars="0" w:right="0"/>
        <w:rPr>
          <w:rFonts w:hint="eastAsia" w:ascii="宋体" w:hAnsi="宋体" w:eastAsia="宋体" w:cs="宋体"/>
          <w:caps w:val="0"/>
          <w:smallCaps w:val="0"/>
          <w:color w:val="auto"/>
          <w:spacing w:val="0"/>
          <w:sz w:val="28"/>
          <w:szCs w:val="28"/>
          <w:highlight w:val="none"/>
          <w:u w:val="none" w:color="auto"/>
        </w:rPr>
      </w:pPr>
      <w:r>
        <w:rPr>
          <w:rFonts w:hint="eastAsia" w:ascii="宋体" w:hAnsi="宋体" w:eastAsia="宋体" w:cs="宋体"/>
          <w:caps w:val="0"/>
          <w:smallCaps w:val="0"/>
          <w:color w:val="auto"/>
          <w:spacing w:val="0"/>
          <w:sz w:val="28"/>
          <w:szCs w:val="28"/>
          <w:highlight w:val="none"/>
          <w:u w:val="none" w:color="auto"/>
        </w:rPr>
        <w:t>除溴工段：将产生的溴化氢气体由两级循环水冷却器进行冷却至30-35℃，冷却后的气体通入赤磷除溴装置，除去溴化氢气体中含有的少量的溴。此工段结束后可得到中间产物溴化氢，可通过管道引至本项目其他产品的溴化氢需求点。赤磷除溴装置赤磷投加量每次100公斤，每10天更换一次。</w:t>
      </w:r>
    </w:p>
    <w:p>
      <w:pPr>
        <w:pStyle w:val="10"/>
        <w:pageBreakBefore w:val="0"/>
        <w:kinsoku/>
        <w:wordWrap/>
        <w:bidi w:val="0"/>
        <w:spacing w:line="360" w:lineRule="auto"/>
        <w:ind w:left="0" w:leftChars="0" w:right="0" w:firstLine="560" w:firstLineChars="200"/>
        <w:rPr>
          <w:rFonts w:hint="eastAsia" w:ascii="宋体" w:hAnsi="宋体" w:eastAsia="宋体" w:cs="宋体"/>
          <w:caps w:val="0"/>
          <w:smallCaps w:val="0"/>
          <w:color w:val="auto"/>
          <w:spacing w:val="0"/>
          <w:sz w:val="28"/>
          <w:szCs w:val="28"/>
          <w:highlight w:val="none"/>
          <w:u w:val="none" w:color="auto"/>
        </w:rPr>
      </w:pPr>
      <w:r>
        <w:rPr>
          <w:rFonts w:hint="eastAsia" w:ascii="宋体" w:hAnsi="宋体" w:eastAsia="宋体" w:cs="宋体"/>
          <w:caps w:val="0"/>
          <w:smallCaps w:val="0"/>
          <w:color w:val="auto"/>
          <w:spacing w:val="0"/>
          <w:sz w:val="28"/>
          <w:szCs w:val="28"/>
          <w:highlight w:val="none"/>
          <w:u w:val="none" w:color="auto"/>
        </w:rPr>
        <w:t>吸收工段：将除溴后的溴化氢气体再进一步冷却，冷却至5-10℃,冷却介质为冷冻盐水，随后通入装有冰醋酸的吸收釜（吸收釜夹套通入冷冻盐水进行冷却）进行三级鼓泡吸收即得到溴化氢乙酸溶液产品，取样检测（比重）得合格产品。</w:t>
      </w:r>
    </w:p>
    <w:p>
      <w:pPr>
        <w:pStyle w:val="10"/>
        <w:pageBreakBefore w:val="0"/>
        <w:kinsoku/>
        <w:wordWrap/>
        <w:bidi w:val="0"/>
        <w:spacing w:line="360" w:lineRule="auto"/>
        <w:ind w:left="0" w:leftChars="0" w:right="0" w:firstLine="560" w:firstLineChars="200"/>
        <w:rPr>
          <w:rFonts w:hint="eastAsia" w:ascii="宋体" w:hAnsi="宋体" w:eastAsia="宋体" w:cs="宋体"/>
          <w:caps w:val="0"/>
          <w:smallCaps w:val="0"/>
          <w:color w:val="auto"/>
          <w:spacing w:val="0"/>
          <w:sz w:val="28"/>
          <w:szCs w:val="28"/>
          <w:highlight w:val="none"/>
          <w:u w:val="none" w:color="auto"/>
        </w:rPr>
      </w:pPr>
      <w:r>
        <w:rPr>
          <w:rFonts w:hint="eastAsia" w:ascii="宋体" w:hAnsi="宋体" w:eastAsia="宋体" w:cs="宋体"/>
          <w:caps w:val="0"/>
          <w:smallCaps w:val="0"/>
          <w:color w:val="auto"/>
          <w:spacing w:val="0"/>
          <w:sz w:val="28"/>
          <w:szCs w:val="28"/>
          <w:highlight w:val="none"/>
          <w:u w:val="none" w:color="auto"/>
        </w:rPr>
        <w:t>包装：检测合格后，将溴化氢气体切换至第二级吸收釜中，打开吸收釜排气，直接釜底放料灌装，250kg/桶（衬塑桶），罐装过程产生的废气引入碱喷淋装置处理。</w:t>
      </w:r>
    </w:p>
    <w:p>
      <w:pPr>
        <w:pageBreakBefore w:val="0"/>
        <w:kinsoku/>
        <w:wordWrap/>
        <w:bidi w:val="0"/>
        <w:adjustRightInd w:val="0"/>
        <w:snapToGrid w:val="0"/>
        <w:spacing w:line="360" w:lineRule="auto"/>
        <w:ind w:left="0" w:leftChars="0" w:right="0" w:firstLine="560" w:firstLineChars="200"/>
        <w:rPr>
          <w:rFonts w:hint="eastAsia" w:ascii="宋体" w:hAnsi="宋体" w:eastAsia="宋体" w:cs="宋体"/>
          <w:caps w:val="0"/>
          <w:smallCaps w:val="0"/>
          <w:color w:val="auto"/>
          <w:spacing w:val="0"/>
          <w:sz w:val="28"/>
          <w:szCs w:val="28"/>
          <w:highlight w:val="none"/>
          <w:u w:val="none" w:color="auto"/>
        </w:rPr>
      </w:pPr>
      <w:r>
        <w:rPr>
          <w:rFonts w:hint="eastAsia" w:ascii="宋体" w:hAnsi="宋体" w:eastAsia="宋体" w:cs="宋体"/>
          <w:caps w:val="0"/>
          <w:smallCaps w:val="0"/>
          <w:color w:val="auto"/>
          <w:spacing w:val="0"/>
          <w:sz w:val="28"/>
          <w:szCs w:val="28"/>
          <w:highlight w:val="none"/>
          <w:u w:val="none" w:color="auto"/>
        </w:rPr>
        <w:t>生产过程产生的污染物为：</w:t>
      </w:r>
    </w:p>
    <w:p>
      <w:pPr>
        <w:pageBreakBefore w:val="0"/>
        <w:kinsoku/>
        <w:wordWrap/>
        <w:bidi w:val="0"/>
        <w:adjustRightInd w:val="0"/>
        <w:snapToGrid w:val="0"/>
        <w:spacing w:line="360" w:lineRule="auto"/>
        <w:ind w:left="0" w:leftChars="0" w:right="0" w:firstLine="560" w:firstLineChars="200"/>
        <w:rPr>
          <w:rFonts w:hint="eastAsia" w:ascii="宋体" w:hAnsi="宋体" w:eastAsia="宋体" w:cs="宋体"/>
          <w:b w:val="0"/>
          <w:bCs/>
          <w:caps w:val="0"/>
          <w:smallCaps w:val="0"/>
          <w:color w:val="auto"/>
          <w:spacing w:val="0"/>
          <w:sz w:val="28"/>
          <w:szCs w:val="28"/>
          <w:highlight w:val="none"/>
          <w:u w:val="none" w:color="auto"/>
        </w:rPr>
      </w:pPr>
      <w:r>
        <w:rPr>
          <w:rFonts w:hint="eastAsia" w:ascii="宋体" w:hAnsi="宋体" w:eastAsia="宋体" w:cs="宋体"/>
          <w:b w:val="0"/>
          <w:bCs/>
          <w:caps w:val="0"/>
          <w:smallCaps w:val="0"/>
          <w:color w:val="auto"/>
          <w:spacing w:val="0"/>
          <w:sz w:val="28"/>
          <w:szCs w:val="28"/>
          <w:highlight w:val="none"/>
          <w:u w:val="none" w:color="auto"/>
        </w:rPr>
        <w:t>废气：乙酸吸收釜吸收尾气G</w:t>
      </w:r>
      <w:r>
        <w:rPr>
          <w:rFonts w:hint="eastAsia" w:ascii="宋体" w:hAnsi="宋体" w:eastAsia="宋体" w:cs="宋体"/>
          <w:b w:val="0"/>
          <w:bCs/>
          <w:caps w:val="0"/>
          <w:smallCaps w:val="0"/>
          <w:color w:val="auto"/>
          <w:spacing w:val="0"/>
          <w:sz w:val="28"/>
          <w:szCs w:val="28"/>
          <w:highlight w:val="none"/>
          <w:u w:val="none" w:color="auto"/>
          <w:vertAlign w:val="subscript"/>
        </w:rPr>
        <w:t>1-1</w:t>
      </w:r>
      <w:r>
        <w:rPr>
          <w:rFonts w:hint="eastAsia" w:ascii="宋体" w:hAnsi="宋体" w:eastAsia="宋体" w:cs="宋体"/>
          <w:b w:val="0"/>
          <w:bCs/>
          <w:caps w:val="0"/>
          <w:smallCaps w:val="0"/>
          <w:color w:val="auto"/>
          <w:spacing w:val="0"/>
          <w:sz w:val="28"/>
          <w:szCs w:val="28"/>
          <w:highlight w:val="none"/>
          <w:u w:val="none" w:color="auto"/>
        </w:rPr>
        <w:t>，主要污染物为少量的溴化氢、氢气和乙酸；</w:t>
      </w:r>
    </w:p>
    <w:p>
      <w:pPr>
        <w:pageBreakBefore w:val="0"/>
        <w:kinsoku/>
        <w:wordWrap/>
        <w:bidi w:val="0"/>
        <w:adjustRightInd w:val="0"/>
        <w:snapToGrid w:val="0"/>
        <w:spacing w:line="360" w:lineRule="auto"/>
        <w:ind w:left="0" w:leftChars="0" w:right="0" w:firstLine="560" w:firstLineChars="200"/>
        <w:rPr>
          <w:rFonts w:hint="eastAsia" w:ascii="宋体" w:hAnsi="宋体" w:eastAsia="宋体" w:cs="宋体"/>
          <w:caps w:val="0"/>
          <w:smallCaps w:val="0"/>
          <w:color w:val="auto"/>
          <w:spacing w:val="0"/>
          <w:sz w:val="28"/>
          <w:szCs w:val="28"/>
          <w:highlight w:val="none"/>
          <w:u w:val="none" w:color="auto"/>
        </w:rPr>
      </w:pPr>
      <w:r>
        <w:rPr>
          <w:rFonts w:hint="eastAsia" w:ascii="宋体" w:hAnsi="宋体" w:eastAsia="宋体" w:cs="宋体"/>
          <w:caps w:val="0"/>
          <w:smallCaps w:val="0"/>
          <w:color w:val="auto"/>
          <w:spacing w:val="0"/>
          <w:sz w:val="28"/>
          <w:szCs w:val="28"/>
          <w:highlight w:val="none"/>
          <w:u w:val="none" w:color="auto"/>
        </w:rPr>
        <w:t>固废：除溴过程产生的三溴化磷S</w:t>
      </w:r>
      <w:r>
        <w:rPr>
          <w:rFonts w:hint="eastAsia" w:ascii="宋体" w:hAnsi="宋体" w:eastAsia="宋体" w:cs="宋体"/>
          <w:caps w:val="0"/>
          <w:smallCaps w:val="0"/>
          <w:color w:val="auto"/>
          <w:spacing w:val="0"/>
          <w:sz w:val="28"/>
          <w:szCs w:val="28"/>
          <w:highlight w:val="none"/>
          <w:u w:val="none" w:color="auto"/>
          <w:vertAlign w:val="subscript"/>
        </w:rPr>
        <w:t>1-1</w:t>
      </w:r>
      <w:r>
        <w:rPr>
          <w:rFonts w:hint="eastAsia" w:ascii="宋体" w:hAnsi="宋体" w:eastAsia="宋体" w:cs="宋体"/>
          <w:caps w:val="0"/>
          <w:smallCaps w:val="0"/>
          <w:color w:val="auto"/>
          <w:spacing w:val="0"/>
          <w:sz w:val="28"/>
          <w:szCs w:val="28"/>
          <w:highlight w:val="none"/>
          <w:u w:val="none" w:color="auto"/>
        </w:rPr>
        <w:t>。</w:t>
      </w:r>
    </w:p>
    <w:p>
      <w:pPr>
        <w:pStyle w:val="10"/>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0" w:firstLineChars="0"/>
        <w:textAlignment w:val="auto"/>
        <w:rPr>
          <w:rFonts w:hint="eastAsia" w:ascii="宋体" w:hAnsi="宋体" w:eastAsia="宋体" w:cs="宋体"/>
          <w:caps w:val="0"/>
          <w:smallCaps w:val="0"/>
          <w:color w:val="auto"/>
          <w:spacing w:val="0"/>
          <w:sz w:val="28"/>
          <w:szCs w:val="28"/>
          <w:highlight w:val="none"/>
          <w:u w:val="none" w:color="auto"/>
          <w:lang w:eastAsia="zh-CN"/>
        </w:rPr>
      </w:pPr>
      <w:r>
        <w:rPr>
          <w:rFonts w:hint="eastAsia" w:ascii="宋体" w:hAnsi="宋体" w:eastAsia="宋体" w:cs="宋体"/>
          <w:caps w:val="0"/>
          <w:smallCaps w:val="0"/>
          <w:color w:val="auto"/>
          <w:spacing w:val="0"/>
          <w:sz w:val="28"/>
          <w:szCs w:val="28"/>
          <w:highlight w:val="none"/>
          <w:u w:val="none" w:color="auto"/>
        </w:rPr>
        <w:t>溴化氢乙酸溶液工艺流程和产污环节见</w:t>
      </w:r>
      <w:r>
        <w:rPr>
          <w:rFonts w:hint="eastAsia" w:ascii="宋体" w:hAnsi="宋体" w:eastAsia="宋体" w:cs="宋体"/>
          <w:caps w:val="0"/>
          <w:smallCaps w:val="0"/>
          <w:color w:val="auto"/>
          <w:spacing w:val="0"/>
          <w:sz w:val="28"/>
          <w:szCs w:val="28"/>
          <w:highlight w:val="none"/>
          <w:u w:val="none" w:color="auto"/>
          <w:lang w:val="en-US" w:eastAsia="zh-CN"/>
        </w:rPr>
        <w:t>下图：</w:t>
      </w:r>
    </w:p>
    <w:p>
      <w:pPr>
        <w:pStyle w:val="10"/>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0" w:firstLineChars="0"/>
        <w:textAlignment w:val="auto"/>
        <w:rPr>
          <w:rFonts w:hint="eastAsia" w:ascii="宋体" w:hAnsi="宋体" w:eastAsia="宋体" w:cs="宋体"/>
          <w:caps w:val="0"/>
          <w:smallCaps w:val="0"/>
          <w:color w:val="auto"/>
          <w:spacing w:val="0"/>
          <w:sz w:val="28"/>
          <w:szCs w:val="28"/>
          <w:highlight w:val="none"/>
          <w:u w:val="none" w:color="auto"/>
        </w:rPr>
      </w:pPr>
      <w:r>
        <w:rPr>
          <w:rFonts w:hint="eastAsia" w:ascii="宋体" w:hAnsi="宋体" w:eastAsia="宋体" w:cs="宋体"/>
          <w:caps w:val="0"/>
          <w:smallCaps w:val="0"/>
          <w:color w:val="auto"/>
          <w:spacing w:val="0"/>
          <w:sz w:val="28"/>
          <w:szCs w:val="28"/>
          <w:highlight w:val="none"/>
          <w:u w:val="none" w:color="auto"/>
        </w:rPr>
        <mc:AlternateContent>
          <mc:Choice Requires="wpg">
            <w:drawing>
              <wp:anchor distT="0" distB="0" distL="114300" distR="114300" simplePos="0" relativeHeight="251666432" behindDoc="0" locked="0" layoutInCell="1" allowOverlap="1">
                <wp:simplePos x="0" y="0"/>
                <wp:positionH relativeFrom="column">
                  <wp:posOffset>-417195</wp:posOffset>
                </wp:positionH>
                <wp:positionV relativeFrom="paragraph">
                  <wp:posOffset>163195</wp:posOffset>
                </wp:positionV>
                <wp:extent cx="5867400" cy="2240280"/>
                <wp:effectExtent l="0" t="0" r="12700" b="7620"/>
                <wp:wrapTopAndBottom/>
                <wp:docPr id="219" name="组合 219"/>
                <wp:cNvGraphicFramePr/>
                <a:graphic xmlns:a="http://schemas.openxmlformats.org/drawingml/2006/main">
                  <a:graphicData uri="http://schemas.microsoft.com/office/word/2010/wordprocessingGroup">
                    <wpg:wgp>
                      <wpg:cNvGrpSpPr/>
                      <wpg:grpSpPr>
                        <a:xfrm>
                          <a:off x="0" y="0"/>
                          <a:ext cx="5867400" cy="2240280"/>
                          <a:chOff x="3556" y="586034"/>
                          <a:chExt cx="9240" cy="3528"/>
                        </a:xfrm>
                      </wpg:grpSpPr>
                      <wps:wsp>
                        <wps:cNvPr id="178" name="矩形 178"/>
                        <wps:cNvSpPr/>
                        <wps:spPr>
                          <a:xfrm>
                            <a:off x="4942" y="586395"/>
                            <a:ext cx="502" cy="525"/>
                          </a:xfrm>
                          <a:prstGeom prst="rect">
                            <a:avLst/>
                          </a:prstGeom>
                          <a:gradFill rotWithShape="0">
                            <a:gsLst>
                              <a:gs pos="0">
                                <a:srgbClr val="FFFFFF">
                                  <a:alpha val="0"/>
                                </a:srgbClr>
                              </a:gs>
                              <a:gs pos="100000">
                                <a:srgbClr val="FFFFFF">
                                  <a:gamma/>
                                  <a:tint val="0"/>
                                  <a:invGamma/>
                                </a:srgbClr>
                              </a:gs>
                            </a:gsLst>
                            <a:lin ang="5400000" scaled="1"/>
                            <a:tileRect/>
                          </a:gradFill>
                          <a:ln w="15875">
                            <a:noFill/>
                          </a:ln>
                        </wps:spPr>
                        <wps:txbx>
                          <w:txbxContent>
                            <w:p>
                              <w:pPr>
                                <w:ind w:left="0" w:leftChars="0" w:firstLine="0" w:firstLineChars="0"/>
                                <w:jc w:val="both"/>
                                <w:rPr>
                                  <w:sz w:val="21"/>
                                  <w:szCs w:val="21"/>
                                </w:rPr>
                              </w:pPr>
                              <w:r>
                                <w:rPr>
                                  <w:rFonts w:hint="eastAsia"/>
                                  <w:sz w:val="21"/>
                                  <w:szCs w:val="21"/>
                                </w:rPr>
                                <w:t>蒸汽</w:t>
                              </w:r>
                            </w:p>
                          </w:txbxContent>
                        </wps:txbx>
                        <wps:bodyPr lIns="0" tIns="10800" rIns="0" bIns="0" upright="1"/>
                      </wps:wsp>
                      <wpg:grpSp>
                        <wpg:cNvPr id="218" name="组合 218"/>
                        <wpg:cNvGrpSpPr/>
                        <wpg:grpSpPr>
                          <a:xfrm>
                            <a:off x="3556" y="586034"/>
                            <a:ext cx="9240" cy="3528"/>
                            <a:chOff x="3556" y="586034"/>
                            <a:chExt cx="9240" cy="3528"/>
                          </a:xfrm>
                        </wpg:grpSpPr>
                        <wpg:grpSp>
                          <wpg:cNvPr id="209" name="组合 209"/>
                          <wpg:cNvGrpSpPr/>
                          <wpg:grpSpPr>
                            <a:xfrm>
                              <a:off x="3556" y="586034"/>
                              <a:ext cx="9240" cy="3528"/>
                              <a:chOff x="3556" y="586034"/>
                              <a:chExt cx="9240" cy="3528"/>
                            </a:xfrm>
                          </wpg:grpSpPr>
                          <wpg:grpSp>
                            <wpg:cNvPr id="188" name="组合 188"/>
                            <wpg:cNvGrpSpPr/>
                            <wpg:grpSpPr>
                              <a:xfrm>
                                <a:off x="4058" y="586065"/>
                                <a:ext cx="8602" cy="3067"/>
                                <a:chOff x="4058" y="586065"/>
                                <a:chExt cx="8602" cy="3067"/>
                              </a:xfrm>
                            </wpg:grpSpPr>
                            <wps:wsp>
                              <wps:cNvPr id="179" name="矩形 179"/>
                              <wps:cNvSpPr/>
                              <wps:spPr>
                                <a:xfrm>
                                  <a:off x="6065" y="586355"/>
                                  <a:ext cx="601" cy="525"/>
                                </a:xfrm>
                                <a:prstGeom prst="rect">
                                  <a:avLst/>
                                </a:prstGeom>
                                <a:gradFill rotWithShape="0">
                                  <a:gsLst>
                                    <a:gs pos="0">
                                      <a:srgbClr val="FFFFFF">
                                        <a:alpha val="0"/>
                                      </a:srgbClr>
                                    </a:gs>
                                    <a:gs pos="100000">
                                      <a:srgbClr val="FFFFFF">
                                        <a:gamma/>
                                        <a:tint val="0"/>
                                        <a:invGamma/>
                                      </a:srgbClr>
                                    </a:gs>
                                  </a:gsLst>
                                  <a:lin ang="5400000" scaled="1"/>
                                  <a:tileRect/>
                                </a:gradFill>
                                <a:ln w="15875">
                                  <a:noFill/>
                                </a:ln>
                              </wps:spPr>
                              <wps:txbx>
                                <w:txbxContent>
                                  <w:p>
                                    <w:pPr>
                                      <w:ind w:left="0" w:leftChars="0" w:firstLine="0" w:firstLineChars="0"/>
                                      <w:jc w:val="both"/>
                                      <w:rPr>
                                        <w:sz w:val="21"/>
                                        <w:szCs w:val="21"/>
                                      </w:rPr>
                                    </w:pPr>
                                    <w:r>
                                      <w:rPr>
                                        <w:rFonts w:hint="eastAsia"/>
                                        <w:sz w:val="21"/>
                                        <w:szCs w:val="21"/>
                                      </w:rPr>
                                      <w:t>氢气</w:t>
                                    </w:r>
                                  </w:p>
                                </w:txbxContent>
                              </wps:txbx>
                              <wps:bodyPr lIns="18000" tIns="45720" rIns="18000" bIns="45720" upright="1"/>
                            </wps:wsp>
                            <wps:wsp>
                              <wps:cNvPr id="180" name="曲线连接符 180"/>
                              <wps:cNvCnPr/>
                              <wps:spPr>
                                <a:xfrm rot="5400000">
                                  <a:off x="10892" y="588756"/>
                                  <a:ext cx="482" cy="271"/>
                                </a:xfrm>
                                <a:prstGeom prst="curvedConnector3">
                                  <a:avLst>
                                    <a:gd name="adj1" fmla="val 50000"/>
                                  </a:avLst>
                                </a:prstGeom>
                                <a:ln w="9525" cap="flat" cmpd="sng">
                                  <a:solidFill>
                                    <a:srgbClr val="000000"/>
                                  </a:solidFill>
                                  <a:prstDash val="solid"/>
                                  <a:headEnd type="none" w="med" len="med"/>
                                  <a:tailEnd type="triangle" w="med" len="med"/>
                                </a:ln>
                              </wps:spPr>
                              <wps:bodyPr/>
                            </wps:wsp>
                            <wps:wsp>
                              <wps:cNvPr id="181" name="矩形 181"/>
                              <wps:cNvSpPr/>
                              <wps:spPr>
                                <a:xfrm>
                                  <a:off x="5362" y="586774"/>
                                  <a:ext cx="703" cy="525"/>
                                </a:xfrm>
                                <a:prstGeom prst="rect">
                                  <a:avLst/>
                                </a:prstGeom>
                                <a:gradFill rotWithShape="0">
                                  <a:gsLst>
                                    <a:gs pos="0">
                                      <a:srgbClr val="FFFFFF">
                                        <a:alpha val="0"/>
                                      </a:srgbClr>
                                    </a:gs>
                                    <a:gs pos="100000">
                                      <a:srgbClr val="FFFFFF">
                                        <a:gamma/>
                                        <a:tint val="0"/>
                                        <a:invGamma/>
                                      </a:srgbClr>
                                    </a:gs>
                                  </a:gsLst>
                                  <a:lin ang="5400000" scaled="1"/>
                                  <a:tileRect/>
                                </a:gradFill>
                                <a:ln w="15875">
                                  <a:noFill/>
                                </a:ln>
                              </wps:spPr>
                              <wps:txbx>
                                <w:txbxContent>
                                  <w:p>
                                    <w:pPr>
                                      <w:ind w:left="0" w:leftChars="0" w:firstLine="0" w:firstLineChars="0"/>
                                      <w:jc w:val="both"/>
                                      <w:rPr>
                                        <w:rFonts w:hint="eastAsia" w:eastAsia="宋体"/>
                                        <w:sz w:val="21"/>
                                        <w:szCs w:val="21"/>
                                        <w:lang w:eastAsia="zh-CN"/>
                                      </w:rPr>
                                    </w:pPr>
                                    <w:r>
                                      <w:rPr>
                                        <w:rFonts w:hint="eastAsia"/>
                                        <w:sz w:val="21"/>
                                        <w:szCs w:val="21"/>
                                      </w:rPr>
                                      <w:t>溴蒸气</w:t>
                                    </w:r>
                                  </w:p>
                                </w:txbxContent>
                              </wps:txbx>
                              <wps:bodyPr lIns="0" tIns="45720" rIns="0" bIns="45720" upright="1"/>
                            </wps:wsp>
                            <wps:wsp>
                              <wps:cNvPr id="182" name="直接连接符 182"/>
                              <wps:cNvCnPr/>
                              <wps:spPr>
                                <a:xfrm>
                                  <a:off x="4058" y="587232"/>
                                  <a:ext cx="479" cy="1"/>
                                </a:xfrm>
                                <a:prstGeom prst="line">
                                  <a:avLst/>
                                </a:prstGeom>
                                <a:ln w="15875" cap="flat" cmpd="sng">
                                  <a:solidFill>
                                    <a:srgbClr val="000000"/>
                                  </a:solidFill>
                                  <a:prstDash val="solid"/>
                                  <a:headEnd type="none" w="med" len="med"/>
                                  <a:tailEnd type="triangle" w="med" len="med"/>
                                </a:ln>
                              </wps:spPr>
                              <wps:bodyPr upright="1"/>
                            </wps:wsp>
                            <wps:wsp>
                              <wps:cNvPr id="183" name="曲线连接符 183"/>
                              <wps:cNvCnPr/>
                              <wps:spPr>
                                <a:xfrm rot="-5400000">
                                  <a:off x="9621" y="586584"/>
                                  <a:ext cx="479" cy="339"/>
                                </a:xfrm>
                                <a:prstGeom prst="curvedConnector3">
                                  <a:avLst>
                                    <a:gd name="adj1" fmla="val 49894"/>
                                  </a:avLst>
                                </a:prstGeom>
                                <a:ln w="9525" cap="flat" cmpd="sng">
                                  <a:solidFill>
                                    <a:srgbClr val="000000"/>
                                  </a:solidFill>
                                  <a:prstDash val="solid"/>
                                  <a:headEnd type="none" w="med" len="med"/>
                                  <a:tailEnd type="triangle" w="med" len="med"/>
                                </a:ln>
                              </wps:spPr>
                              <wps:bodyPr/>
                            </wps:wsp>
                            <wps:wsp>
                              <wps:cNvPr id="184" name="矩形 184"/>
                              <wps:cNvSpPr/>
                              <wps:spPr>
                                <a:xfrm>
                                  <a:off x="4385" y="588037"/>
                                  <a:ext cx="1059" cy="525"/>
                                </a:xfrm>
                                <a:prstGeom prst="rect">
                                  <a:avLst/>
                                </a:prstGeom>
                                <a:gradFill rotWithShape="0">
                                  <a:gsLst>
                                    <a:gs pos="0">
                                      <a:srgbClr val="FFFFFF">
                                        <a:alpha val="0"/>
                                      </a:srgbClr>
                                    </a:gs>
                                    <a:gs pos="100000">
                                      <a:srgbClr val="FFFFFF">
                                        <a:gamma/>
                                        <a:tint val="0"/>
                                        <a:invGamma/>
                                      </a:srgbClr>
                                    </a:gs>
                                  </a:gsLst>
                                  <a:lin ang="5400000" scaled="1"/>
                                  <a:tileRect/>
                                </a:gradFill>
                                <a:ln w="15875">
                                  <a:noFill/>
                                </a:ln>
                              </wps:spPr>
                              <wps:txbx>
                                <w:txbxContent>
                                  <w:p>
                                    <w:pPr>
                                      <w:ind w:left="0" w:leftChars="0" w:firstLine="0" w:firstLineChars="0"/>
                                      <w:jc w:val="both"/>
                                      <w:rPr>
                                        <w:sz w:val="21"/>
                                        <w:szCs w:val="21"/>
                                      </w:rPr>
                                    </w:pPr>
                                    <w:r>
                                      <w:rPr>
                                        <w:rFonts w:hint="eastAsia"/>
                                        <w:sz w:val="21"/>
                                        <w:szCs w:val="21"/>
                                      </w:rPr>
                                      <w:t>蒸汽冷凝水</w:t>
                                    </w:r>
                                  </w:p>
                                </w:txbxContent>
                              </wps:txbx>
                              <wps:bodyPr lIns="0" tIns="10800" rIns="0" bIns="0" upright="1"/>
                            </wps:wsp>
                            <wps:wsp>
                              <wps:cNvPr id="185" name="直接连接符 185"/>
                              <wps:cNvCnPr/>
                              <wps:spPr>
                                <a:xfrm>
                                  <a:off x="11268" y="586388"/>
                                  <a:ext cx="0" cy="584"/>
                                </a:xfrm>
                                <a:prstGeom prst="line">
                                  <a:avLst/>
                                </a:prstGeom>
                                <a:ln w="15875" cap="flat" cmpd="sng">
                                  <a:solidFill>
                                    <a:srgbClr val="000000"/>
                                  </a:solidFill>
                                  <a:prstDash val="solid"/>
                                  <a:headEnd type="none" w="med" len="med"/>
                                  <a:tailEnd type="triangle" w="med" len="med"/>
                                </a:ln>
                              </wps:spPr>
                              <wps:bodyPr upright="1"/>
                            </wps:wsp>
                            <wps:wsp>
                              <wps:cNvPr id="186" name="矩形 186"/>
                              <wps:cNvSpPr/>
                              <wps:spPr>
                                <a:xfrm>
                                  <a:off x="8629" y="586065"/>
                                  <a:ext cx="601" cy="525"/>
                                </a:xfrm>
                                <a:prstGeom prst="rect">
                                  <a:avLst/>
                                </a:prstGeom>
                                <a:gradFill rotWithShape="0">
                                  <a:gsLst>
                                    <a:gs pos="0">
                                      <a:srgbClr val="FFFFFF">
                                        <a:alpha val="0"/>
                                      </a:srgbClr>
                                    </a:gs>
                                    <a:gs pos="100000">
                                      <a:srgbClr val="FFFFFF">
                                        <a:gamma/>
                                        <a:tint val="0"/>
                                        <a:invGamma/>
                                      </a:srgbClr>
                                    </a:gs>
                                  </a:gsLst>
                                  <a:lin ang="5400000" scaled="1"/>
                                  <a:tileRect/>
                                </a:gradFill>
                                <a:ln w="15875">
                                  <a:noFill/>
                                </a:ln>
                              </wps:spPr>
                              <wps:txbx>
                                <w:txbxContent>
                                  <w:p>
                                    <w:pPr>
                                      <w:ind w:left="0" w:leftChars="0" w:firstLine="0" w:firstLineChars="0"/>
                                      <w:jc w:val="both"/>
                                      <w:rPr>
                                        <w:sz w:val="21"/>
                                        <w:szCs w:val="21"/>
                                      </w:rPr>
                                    </w:pPr>
                                    <w:r>
                                      <w:rPr>
                                        <w:rFonts w:hint="eastAsia"/>
                                        <w:sz w:val="21"/>
                                        <w:szCs w:val="21"/>
                                      </w:rPr>
                                      <w:t>赤磷</w:t>
                                    </w:r>
                                  </w:p>
                                </w:txbxContent>
                              </wps:txbx>
                              <wps:bodyPr lIns="18000" tIns="45720" rIns="18000" bIns="45720" upright="1"/>
                            </wps:wsp>
                            <wps:wsp>
                              <wps:cNvPr id="187" name="矩形 187"/>
                              <wps:cNvSpPr/>
                              <wps:spPr>
                                <a:xfrm>
                                  <a:off x="12060" y="587692"/>
                                  <a:ext cx="601" cy="525"/>
                                </a:xfrm>
                                <a:prstGeom prst="rect">
                                  <a:avLst/>
                                </a:prstGeom>
                                <a:gradFill rotWithShape="0">
                                  <a:gsLst>
                                    <a:gs pos="0">
                                      <a:srgbClr val="FFFFFF">
                                        <a:alpha val="0"/>
                                      </a:srgbClr>
                                    </a:gs>
                                    <a:gs pos="100000">
                                      <a:srgbClr val="FFFFFF">
                                        <a:gamma/>
                                        <a:tint val="0"/>
                                        <a:invGamma/>
                                      </a:srgbClr>
                                    </a:gs>
                                  </a:gsLst>
                                  <a:lin ang="5400000" scaled="1"/>
                                  <a:tileRect/>
                                </a:gradFill>
                                <a:ln w="15875">
                                  <a:noFill/>
                                </a:ln>
                              </wps:spPr>
                              <wps:txbx>
                                <w:txbxContent>
                                  <w:p>
                                    <w:pPr>
                                      <w:ind w:left="0" w:leftChars="0" w:firstLine="0" w:firstLineChars="0"/>
                                      <w:jc w:val="both"/>
                                      <w:rPr>
                                        <w:sz w:val="21"/>
                                        <w:szCs w:val="21"/>
                                      </w:rPr>
                                    </w:pPr>
                                    <w:r>
                                      <w:rPr>
                                        <w:rFonts w:hint="eastAsia"/>
                                        <w:sz w:val="21"/>
                                        <w:szCs w:val="21"/>
                                      </w:rPr>
                                      <w:t>乙酸</w:t>
                                    </w:r>
                                  </w:p>
                                </w:txbxContent>
                              </wps:txbx>
                              <wps:bodyPr lIns="18000" tIns="45720" rIns="18000" bIns="45720" upright="1"/>
                            </wps:wsp>
                          </wpg:grpSp>
                          <wpg:grpSp>
                            <wpg:cNvPr id="208" name="组合 208"/>
                            <wpg:cNvGrpSpPr/>
                            <wpg:grpSpPr>
                              <a:xfrm>
                                <a:off x="3556" y="586034"/>
                                <a:ext cx="9240" cy="3528"/>
                                <a:chOff x="3556" y="586034"/>
                                <a:chExt cx="9240" cy="3528"/>
                              </a:xfrm>
                            </wpg:grpSpPr>
                            <wps:wsp>
                              <wps:cNvPr id="189" name="矩形 189"/>
                              <wps:cNvSpPr/>
                              <wps:spPr>
                                <a:xfrm>
                                  <a:off x="9282" y="587006"/>
                                  <a:ext cx="997" cy="561"/>
                                </a:xfrm>
                                <a:prstGeom prst="rect">
                                  <a:avLst/>
                                </a:prstGeom>
                                <a:gradFill rotWithShape="0">
                                  <a:gsLst>
                                    <a:gs pos="0">
                                      <a:srgbClr val="BBD5F0"/>
                                    </a:gs>
                                    <a:gs pos="100000">
                                      <a:srgbClr val="9CBEE0"/>
                                    </a:gs>
                                  </a:gsLst>
                                  <a:lin ang="5400000"/>
                                  <a:tileRect/>
                                </a:gradFill>
                                <a:ln w="15875" cap="flat" cmpd="sng">
                                  <a:solidFill>
                                    <a:srgbClr val="739CC3"/>
                                  </a:solidFill>
                                  <a:prstDash val="solid"/>
                                  <a:miter/>
                                  <a:headEnd type="none" w="med" len="med"/>
                                  <a:tailEnd type="none" w="med" len="med"/>
                                </a:ln>
                              </wps:spPr>
                              <wps:txbx>
                                <w:txbxContent>
                                  <w:p>
                                    <w:pPr>
                                      <w:ind w:left="0" w:leftChars="0" w:firstLine="0" w:firstLineChars="0"/>
                                      <w:jc w:val="both"/>
                                    </w:pPr>
                                    <w:r>
                                      <w:rPr>
                                        <w:rFonts w:hint="eastAsia"/>
                                      </w:rPr>
                                      <w:t>除溴</w:t>
                                    </w:r>
                                  </w:p>
                                </w:txbxContent>
                              </wps:txbx>
                              <wps:bodyPr lIns="18000" tIns="10800" rIns="18000" bIns="10800" upright="1"/>
                            </wps:wsp>
                            <wps:wsp>
                              <wps:cNvPr id="190" name="矩形 190"/>
                              <wps:cNvSpPr/>
                              <wps:spPr>
                                <a:xfrm>
                                  <a:off x="7803" y="586972"/>
                                  <a:ext cx="826" cy="550"/>
                                </a:xfrm>
                                <a:prstGeom prst="rect">
                                  <a:avLst/>
                                </a:prstGeom>
                                <a:gradFill rotWithShape="0">
                                  <a:gsLst>
                                    <a:gs pos="0">
                                      <a:srgbClr val="BBD5F0"/>
                                    </a:gs>
                                    <a:gs pos="100000">
                                      <a:srgbClr val="9CBEE0"/>
                                    </a:gs>
                                  </a:gsLst>
                                  <a:lin ang="5400000"/>
                                  <a:tileRect/>
                                </a:gradFill>
                                <a:ln w="15875" cap="flat" cmpd="sng">
                                  <a:solidFill>
                                    <a:srgbClr val="739CC3"/>
                                  </a:solidFill>
                                  <a:prstDash val="solid"/>
                                  <a:miter/>
                                  <a:headEnd type="none" w="med" len="med"/>
                                  <a:tailEnd type="none" w="med" len="med"/>
                                </a:ln>
                              </wps:spPr>
                              <wps:txbx>
                                <w:txbxContent>
                                  <w:p>
                                    <w:pPr>
                                      <w:ind w:left="0" w:leftChars="0" w:firstLine="0" w:firstLineChars="0"/>
                                      <w:jc w:val="both"/>
                                    </w:pPr>
                                    <w:r>
                                      <w:rPr>
                                        <w:rFonts w:hint="eastAsia"/>
                                      </w:rPr>
                                      <w:t>冷却</w:t>
                                    </w:r>
                                  </w:p>
                                </w:txbxContent>
                              </wps:txbx>
                              <wps:bodyPr lIns="18000" tIns="10800" rIns="18000" bIns="10800" upright="1"/>
                            </wps:wsp>
                            <wpg:grpSp>
                              <wpg:cNvPr id="207" name="组合 207"/>
                              <wpg:cNvGrpSpPr/>
                              <wpg:grpSpPr>
                                <a:xfrm>
                                  <a:off x="3556" y="586034"/>
                                  <a:ext cx="9241" cy="3528"/>
                                  <a:chOff x="3556" y="586034"/>
                                  <a:chExt cx="9241" cy="3528"/>
                                </a:xfrm>
                              </wpg:grpSpPr>
                              <wps:wsp>
                                <wps:cNvPr id="191" name="矩形 191"/>
                                <wps:cNvSpPr/>
                                <wps:spPr>
                                  <a:xfrm>
                                    <a:off x="6071" y="587007"/>
                                    <a:ext cx="1065" cy="534"/>
                                  </a:xfrm>
                                  <a:prstGeom prst="rect">
                                    <a:avLst/>
                                  </a:prstGeom>
                                  <a:gradFill rotWithShape="0">
                                    <a:gsLst>
                                      <a:gs pos="0">
                                        <a:srgbClr val="BBD5F0"/>
                                      </a:gs>
                                      <a:gs pos="100000">
                                        <a:srgbClr val="9CBEE0"/>
                                      </a:gs>
                                    </a:gsLst>
                                    <a:lin ang="5400000"/>
                                    <a:tileRect/>
                                  </a:gradFill>
                                  <a:ln w="15875" cap="flat" cmpd="sng">
                                    <a:solidFill>
                                      <a:srgbClr val="739CC3"/>
                                    </a:solidFill>
                                    <a:prstDash val="solid"/>
                                    <a:miter/>
                                    <a:headEnd type="none" w="med" len="med"/>
                                    <a:tailEnd type="none" w="med" len="med"/>
                                  </a:ln>
                                </wps:spPr>
                                <wps:txbx>
                                  <w:txbxContent>
                                    <w:p>
                                      <w:pPr>
                                        <w:ind w:left="0" w:leftChars="0" w:firstLine="0" w:firstLineChars="0"/>
                                        <w:jc w:val="both"/>
                                      </w:pPr>
                                      <w:r>
                                        <w:rPr>
                                          <w:rFonts w:hint="eastAsia"/>
                                        </w:rPr>
                                        <w:t>石英炉</w:t>
                                      </w:r>
                                    </w:p>
                                  </w:txbxContent>
                                </wps:txbx>
                                <wps:bodyPr lIns="18000" tIns="10800" rIns="18000" bIns="10800" upright="1"/>
                              </wps:wsp>
                              <wps:wsp>
                                <wps:cNvPr id="192" name="直接连接符 192"/>
                                <wps:cNvCnPr/>
                                <wps:spPr>
                                  <a:xfrm>
                                    <a:off x="7151" y="587261"/>
                                    <a:ext cx="652" cy="0"/>
                                  </a:xfrm>
                                  <a:prstGeom prst="line">
                                    <a:avLst/>
                                  </a:prstGeom>
                                  <a:ln w="15875" cap="flat" cmpd="sng">
                                    <a:solidFill>
                                      <a:srgbClr val="000000"/>
                                    </a:solidFill>
                                    <a:prstDash val="solid"/>
                                    <a:headEnd type="none" w="med" len="med"/>
                                    <a:tailEnd type="triangle" w="med" len="med"/>
                                  </a:ln>
                                </wps:spPr>
                                <wps:bodyPr upright="1"/>
                              </wps:wsp>
                              <wps:wsp>
                                <wps:cNvPr id="193" name="直接连接符 193"/>
                                <wps:cNvCnPr/>
                                <wps:spPr>
                                  <a:xfrm flipV="1">
                                    <a:off x="10283" y="587299"/>
                                    <a:ext cx="627" cy="0"/>
                                  </a:xfrm>
                                  <a:prstGeom prst="line">
                                    <a:avLst/>
                                  </a:prstGeom>
                                  <a:ln w="15875" cap="flat" cmpd="sng">
                                    <a:solidFill>
                                      <a:srgbClr val="000000"/>
                                    </a:solidFill>
                                    <a:prstDash val="solid"/>
                                    <a:headEnd type="none" w="med" len="med"/>
                                    <a:tailEnd type="triangle" w="med" len="med"/>
                                  </a:ln>
                                </wps:spPr>
                                <wps:bodyPr upright="1"/>
                              </wps:wsp>
                              <wps:wsp>
                                <wps:cNvPr id="194" name="矩形 194"/>
                                <wps:cNvSpPr/>
                                <wps:spPr>
                                  <a:xfrm>
                                    <a:off x="10529" y="588091"/>
                                    <a:ext cx="1531" cy="560"/>
                                  </a:xfrm>
                                  <a:prstGeom prst="rect">
                                    <a:avLst/>
                                  </a:prstGeom>
                                  <a:gradFill rotWithShape="0">
                                    <a:gsLst>
                                      <a:gs pos="0">
                                        <a:srgbClr val="BBD5F0"/>
                                      </a:gs>
                                      <a:gs pos="100000">
                                        <a:srgbClr val="9CBEE0"/>
                                      </a:gs>
                                    </a:gsLst>
                                    <a:lin ang="5400000"/>
                                    <a:tileRect/>
                                  </a:gradFill>
                                  <a:ln w="15875" cap="flat" cmpd="sng">
                                    <a:solidFill>
                                      <a:srgbClr val="739CC3"/>
                                    </a:solidFill>
                                    <a:prstDash val="solid"/>
                                    <a:miter/>
                                    <a:headEnd type="none" w="med" len="med"/>
                                    <a:tailEnd type="none" w="med" len="med"/>
                                  </a:ln>
                                </wps:spPr>
                                <wps:txbx>
                                  <w:txbxContent>
                                    <w:p>
                                      <w:pPr>
                                        <w:ind w:left="0" w:leftChars="0" w:firstLine="0" w:firstLineChars="0"/>
                                        <w:jc w:val="both"/>
                                      </w:pPr>
                                      <w:r>
                                        <w:rPr>
                                          <w:rFonts w:hint="eastAsia"/>
                                        </w:rPr>
                                        <w:t>三级乙酸吸收</w:t>
                                      </w:r>
                                    </w:p>
                                    <w:p/>
                                  </w:txbxContent>
                                </wps:txbx>
                                <wps:bodyPr lIns="18000" tIns="10800" rIns="18000" bIns="10800" upright="1"/>
                              </wps:wsp>
                              <wps:wsp>
                                <wps:cNvPr id="195" name="直接连接符 195"/>
                                <wps:cNvCnPr/>
                                <wps:spPr>
                                  <a:xfrm>
                                    <a:off x="6603" y="586034"/>
                                    <a:ext cx="0" cy="972"/>
                                  </a:xfrm>
                                  <a:prstGeom prst="line">
                                    <a:avLst/>
                                  </a:prstGeom>
                                  <a:ln w="15875" cap="flat" cmpd="sng">
                                    <a:solidFill>
                                      <a:srgbClr val="000000"/>
                                    </a:solidFill>
                                    <a:prstDash val="solid"/>
                                    <a:headEnd type="none" w="med" len="med"/>
                                    <a:tailEnd type="triangle" w="med" len="med"/>
                                  </a:ln>
                                </wps:spPr>
                                <wps:bodyPr upright="1"/>
                              </wps:wsp>
                              <wps:wsp>
                                <wps:cNvPr id="196" name="文本框 196"/>
                                <wps:cNvSpPr txBox="1"/>
                                <wps:spPr>
                                  <a:xfrm>
                                    <a:off x="9281" y="586100"/>
                                    <a:ext cx="1542" cy="414"/>
                                  </a:xfrm>
                                  <a:prstGeom prst="rect">
                                    <a:avLst/>
                                  </a:prstGeom>
                                  <a:noFill/>
                                  <a:ln w="9525" cap="flat" cmpd="sng">
                                    <a:solidFill>
                                      <a:srgbClr val="000000"/>
                                    </a:solidFill>
                                    <a:prstDash val="dash"/>
                                    <a:miter/>
                                    <a:headEnd type="none" w="med" len="med"/>
                                    <a:tailEnd type="none" w="med" len="med"/>
                                  </a:ln>
                                </wps:spPr>
                                <wps:txbx>
                                  <w:txbxContent>
                                    <w:p>
                                      <w:pPr>
                                        <w:spacing w:line="240" w:lineRule="exact"/>
                                        <w:ind w:left="0" w:leftChars="0" w:firstLine="0" w:firstLineChars="0"/>
                                        <w:rPr>
                                          <w:sz w:val="21"/>
                                          <w:szCs w:val="21"/>
                                        </w:rPr>
                                      </w:pPr>
                                      <w:r>
                                        <w:rPr>
                                          <w:rFonts w:hint="eastAsia"/>
                                          <w:sz w:val="21"/>
                                          <w:szCs w:val="21"/>
                                        </w:rPr>
                                        <w:t>S</w:t>
                                      </w:r>
                                      <w:r>
                                        <w:rPr>
                                          <w:rFonts w:hint="eastAsia"/>
                                          <w:sz w:val="21"/>
                                          <w:szCs w:val="21"/>
                                          <w:vertAlign w:val="subscript"/>
                                        </w:rPr>
                                        <w:t>1</w:t>
                                      </w:r>
                                      <w:r>
                                        <w:rPr>
                                          <w:sz w:val="21"/>
                                          <w:szCs w:val="21"/>
                                          <w:vertAlign w:val="subscript"/>
                                        </w:rPr>
                                        <w:t>-</w:t>
                                      </w:r>
                                      <w:r>
                                        <w:rPr>
                                          <w:rFonts w:hint="eastAsia"/>
                                          <w:sz w:val="21"/>
                                          <w:szCs w:val="21"/>
                                          <w:vertAlign w:val="subscript"/>
                                        </w:rPr>
                                        <w:t>1</w:t>
                                      </w:r>
                                      <w:r>
                                        <w:rPr>
                                          <w:rFonts w:hint="eastAsia"/>
                                          <w:sz w:val="21"/>
                                          <w:szCs w:val="21"/>
                                        </w:rPr>
                                        <w:t>三溴化磷</w:t>
                                      </w:r>
                                    </w:p>
                                    <w:p>
                                      <w:pPr>
                                        <w:spacing w:line="240" w:lineRule="exact"/>
                                      </w:pPr>
                                    </w:p>
                                  </w:txbxContent>
                                </wps:txbx>
                                <wps:bodyPr upright="1"/>
                              </wps:wsp>
                              <wps:wsp>
                                <wps:cNvPr id="197" name="直接连接符 197"/>
                                <wps:cNvCnPr/>
                                <wps:spPr>
                                  <a:xfrm flipV="1">
                                    <a:off x="5362" y="587271"/>
                                    <a:ext cx="703" cy="0"/>
                                  </a:xfrm>
                                  <a:prstGeom prst="line">
                                    <a:avLst/>
                                  </a:prstGeom>
                                  <a:ln w="15875" cap="flat" cmpd="sng">
                                    <a:solidFill>
                                      <a:srgbClr val="000000"/>
                                    </a:solidFill>
                                    <a:prstDash val="solid"/>
                                    <a:headEnd type="none" w="med" len="med"/>
                                    <a:tailEnd type="triangle" w="med" len="med"/>
                                  </a:ln>
                                </wps:spPr>
                                <wps:bodyPr upright="1"/>
                              </wps:wsp>
                              <wps:wsp>
                                <wps:cNvPr id="198" name="矩形 198"/>
                                <wps:cNvSpPr/>
                                <wps:spPr>
                                  <a:xfrm>
                                    <a:off x="4536" y="586962"/>
                                    <a:ext cx="826" cy="550"/>
                                  </a:xfrm>
                                  <a:prstGeom prst="rect">
                                    <a:avLst/>
                                  </a:prstGeom>
                                  <a:gradFill rotWithShape="0">
                                    <a:gsLst>
                                      <a:gs pos="0">
                                        <a:srgbClr val="BBD5F0"/>
                                      </a:gs>
                                      <a:gs pos="100000">
                                        <a:srgbClr val="9CBEE0"/>
                                      </a:gs>
                                    </a:gsLst>
                                    <a:lin ang="5400000"/>
                                    <a:tileRect/>
                                  </a:gradFill>
                                  <a:ln w="15875" cap="flat" cmpd="sng">
                                    <a:solidFill>
                                      <a:srgbClr val="739CC3"/>
                                    </a:solidFill>
                                    <a:prstDash val="solid"/>
                                    <a:miter/>
                                    <a:headEnd type="none" w="med" len="med"/>
                                    <a:tailEnd type="none" w="med" len="med"/>
                                  </a:ln>
                                </wps:spPr>
                                <wps:txbx>
                                  <w:txbxContent>
                                    <w:p>
                                      <w:pPr>
                                        <w:ind w:left="0" w:leftChars="0" w:firstLine="0" w:firstLineChars="0"/>
                                        <w:jc w:val="both"/>
                                      </w:pPr>
                                      <w:r>
                                        <w:rPr>
                                          <w:rFonts w:hint="eastAsia"/>
                                        </w:rPr>
                                        <w:t>通溴筒</w:t>
                                      </w:r>
                                    </w:p>
                                  </w:txbxContent>
                                </wps:txbx>
                                <wps:bodyPr lIns="18000" tIns="10800" rIns="18000" bIns="10800" upright="1"/>
                              </wps:wsp>
                              <wps:wsp>
                                <wps:cNvPr id="199" name="文本框 199"/>
                                <wps:cNvSpPr txBox="1"/>
                                <wps:spPr>
                                  <a:xfrm>
                                    <a:off x="10327" y="589148"/>
                                    <a:ext cx="2471" cy="414"/>
                                  </a:xfrm>
                                  <a:prstGeom prst="rect">
                                    <a:avLst/>
                                  </a:prstGeom>
                                  <a:noFill/>
                                  <a:ln w="9525" cap="flat" cmpd="sng">
                                    <a:solidFill>
                                      <a:srgbClr val="000000"/>
                                    </a:solidFill>
                                    <a:prstDash val="dash"/>
                                    <a:miter/>
                                    <a:headEnd type="none" w="med" len="med"/>
                                    <a:tailEnd type="none" w="med" len="med"/>
                                  </a:ln>
                                </wps:spPr>
                                <wps:txbx>
                                  <w:txbxContent>
                                    <w:p>
                                      <w:pPr>
                                        <w:spacing w:line="240" w:lineRule="exact"/>
                                        <w:rPr>
                                          <w:sz w:val="21"/>
                                          <w:szCs w:val="21"/>
                                        </w:rPr>
                                      </w:pPr>
                                      <w:r>
                                        <w:rPr>
                                          <w:sz w:val="21"/>
                                          <w:szCs w:val="21"/>
                                        </w:rPr>
                                        <w:t>G</w:t>
                                      </w:r>
                                      <w:r>
                                        <w:rPr>
                                          <w:rFonts w:hint="eastAsia"/>
                                          <w:sz w:val="21"/>
                                          <w:szCs w:val="21"/>
                                          <w:vertAlign w:val="subscript"/>
                                        </w:rPr>
                                        <w:t>1</w:t>
                                      </w:r>
                                      <w:r>
                                        <w:rPr>
                                          <w:sz w:val="21"/>
                                          <w:szCs w:val="21"/>
                                          <w:vertAlign w:val="subscript"/>
                                        </w:rPr>
                                        <w:t>-</w:t>
                                      </w:r>
                                      <w:r>
                                        <w:rPr>
                                          <w:rFonts w:hint="eastAsia"/>
                                          <w:sz w:val="21"/>
                                          <w:szCs w:val="21"/>
                                          <w:vertAlign w:val="subscript"/>
                                        </w:rPr>
                                        <w:t>1</w:t>
                                      </w:r>
                                      <w:r>
                                        <w:rPr>
                                          <w:rFonts w:ascii="宋体" w:hAnsi="宋体"/>
                                          <w:sz w:val="21"/>
                                          <w:szCs w:val="21"/>
                                        </w:rPr>
                                        <w:t>溴化氢，</w:t>
                                      </w:r>
                                      <w:r>
                                        <w:rPr>
                                          <w:rFonts w:hint="eastAsia" w:ascii="宋体" w:hAnsi="宋体"/>
                                          <w:sz w:val="21"/>
                                          <w:szCs w:val="21"/>
                                        </w:rPr>
                                        <w:t>乙酸、氢气</w:t>
                                      </w:r>
                                    </w:p>
                                    <w:p>
                                      <w:pPr>
                                        <w:spacing w:line="240" w:lineRule="exact"/>
                                      </w:pPr>
                                    </w:p>
                                  </w:txbxContent>
                                </wps:txbx>
                                <wps:bodyPr upright="1"/>
                              </wps:wsp>
                              <wps:wsp>
                                <wps:cNvPr id="200" name="矩形 200"/>
                                <wps:cNvSpPr/>
                                <wps:spPr>
                                  <a:xfrm>
                                    <a:off x="3556" y="586959"/>
                                    <a:ext cx="502" cy="525"/>
                                  </a:xfrm>
                                  <a:prstGeom prst="rect">
                                    <a:avLst/>
                                  </a:prstGeom>
                                  <a:gradFill rotWithShape="0">
                                    <a:gsLst>
                                      <a:gs pos="0">
                                        <a:srgbClr val="FFFFFF">
                                          <a:alpha val="0"/>
                                        </a:srgbClr>
                                      </a:gs>
                                      <a:gs pos="100000">
                                        <a:srgbClr val="FFFFFF">
                                          <a:gamma/>
                                          <a:tint val="0"/>
                                          <a:invGamma/>
                                        </a:srgbClr>
                                      </a:gs>
                                    </a:gsLst>
                                    <a:lin ang="5400000" scaled="1"/>
                                    <a:tileRect/>
                                  </a:gradFill>
                                  <a:ln w="15875">
                                    <a:noFill/>
                                  </a:ln>
                                </wps:spPr>
                                <wps:txbx>
                                  <w:txbxContent>
                                    <w:p>
                                      <w:pPr>
                                        <w:ind w:left="0" w:leftChars="0" w:firstLine="0" w:firstLineChars="0"/>
                                        <w:jc w:val="both"/>
                                        <w:rPr>
                                          <w:sz w:val="21"/>
                                          <w:szCs w:val="21"/>
                                        </w:rPr>
                                      </w:pPr>
                                      <w:r>
                                        <w:rPr>
                                          <w:rFonts w:hint="eastAsia"/>
                                          <w:sz w:val="21"/>
                                          <w:szCs w:val="21"/>
                                        </w:rPr>
                                        <w:t>溴素</w:t>
                                      </w:r>
                                    </w:p>
                                  </w:txbxContent>
                                </wps:txbx>
                                <wps:bodyPr lIns="0" tIns="10800" rIns="0" bIns="0" upright="1"/>
                              </wps:wsp>
                              <wps:wsp>
                                <wps:cNvPr id="201" name="直接连接符 201"/>
                                <wps:cNvCnPr/>
                                <wps:spPr>
                                  <a:xfrm>
                                    <a:off x="4894" y="587507"/>
                                    <a:ext cx="0" cy="584"/>
                                  </a:xfrm>
                                  <a:prstGeom prst="line">
                                    <a:avLst/>
                                  </a:prstGeom>
                                  <a:ln w="15875" cap="flat" cmpd="sng">
                                    <a:solidFill>
                                      <a:srgbClr val="000000"/>
                                    </a:solidFill>
                                    <a:prstDash val="solid"/>
                                    <a:headEnd type="none" w="med" len="med"/>
                                    <a:tailEnd type="triangle" w="med" len="med"/>
                                  </a:ln>
                                </wps:spPr>
                                <wps:bodyPr upright="1"/>
                              </wps:wsp>
                              <wps:wsp>
                                <wps:cNvPr id="202" name="直接连接符 202"/>
                                <wps:cNvCnPr/>
                                <wps:spPr>
                                  <a:xfrm>
                                    <a:off x="8629" y="587299"/>
                                    <a:ext cx="652" cy="0"/>
                                  </a:xfrm>
                                  <a:prstGeom prst="line">
                                    <a:avLst/>
                                  </a:prstGeom>
                                  <a:ln w="15875" cap="flat" cmpd="sng">
                                    <a:solidFill>
                                      <a:srgbClr val="000000"/>
                                    </a:solidFill>
                                    <a:prstDash val="solid"/>
                                    <a:headEnd type="none" w="med" len="med"/>
                                    <a:tailEnd type="triangle" w="med" len="med"/>
                                  </a:ln>
                                </wps:spPr>
                                <wps:bodyPr upright="1"/>
                              </wps:wsp>
                              <wps:wsp>
                                <wps:cNvPr id="203" name="矩形 203"/>
                                <wps:cNvSpPr/>
                                <wps:spPr>
                                  <a:xfrm>
                                    <a:off x="10910" y="587006"/>
                                    <a:ext cx="826" cy="550"/>
                                  </a:xfrm>
                                  <a:prstGeom prst="rect">
                                    <a:avLst/>
                                  </a:prstGeom>
                                  <a:gradFill rotWithShape="0">
                                    <a:gsLst>
                                      <a:gs pos="0">
                                        <a:srgbClr val="BBD5F0"/>
                                      </a:gs>
                                      <a:gs pos="100000">
                                        <a:srgbClr val="9CBEE0"/>
                                      </a:gs>
                                    </a:gsLst>
                                    <a:lin ang="5400000"/>
                                    <a:tileRect/>
                                  </a:gradFill>
                                  <a:ln w="15875" cap="flat" cmpd="sng">
                                    <a:solidFill>
                                      <a:srgbClr val="739CC3"/>
                                    </a:solidFill>
                                    <a:prstDash val="solid"/>
                                    <a:miter/>
                                    <a:headEnd type="none" w="med" len="med"/>
                                    <a:tailEnd type="none" w="med" len="med"/>
                                  </a:ln>
                                </wps:spPr>
                                <wps:txbx>
                                  <w:txbxContent>
                                    <w:p>
                                      <w:pPr>
                                        <w:ind w:left="0" w:leftChars="0" w:firstLine="0" w:firstLineChars="0"/>
                                        <w:jc w:val="both"/>
                                      </w:pPr>
                                      <w:r>
                                        <w:rPr>
                                          <w:rFonts w:hint="eastAsia"/>
                                        </w:rPr>
                                        <w:t>冷却</w:t>
                                      </w:r>
                                    </w:p>
                                  </w:txbxContent>
                                </wps:txbx>
                                <wps:bodyPr lIns="18000" tIns="10800" rIns="18000" bIns="10800" upright="1"/>
                              </wps:wsp>
                              <wps:wsp>
                                <wps:cNvPr id="204" name="矩形 204"/>
                                <wps:cNvSpPr/>
                                <wps:spPr>
                                  <a:xfrm>
                                    <a:off x="8802" y="588106"/>
                                    <a:ext cx="760" cy="560"/>
                                  </a:xfrm>
                                  <a:prstGeom prst="rect">
                                    <a:avLst/>
                                  </a:prstGeom>
                                  <a:gradFill rotWithShape="0">
                                    <a:gsLst>
                                      <a:gs pos="0">
                                        <a:srgbClr val="BBD5F0"/>
                                      </a:gs>
                                      <a:gs pos="100000">
                                        <a:srgbClr val="9CBEE0"/>
                                      </a:gs>
                                    </a:gsLst>
                                    <a:lin ang="5400000"/>
                                    <a:tileRect/>
                                  </a:gradFill>
                                  <a:ln w="15875" cap="flat" cmpd="sng">
                                    <a:solidFill>
                                      <a:srgbClr val="739CC3"/>
                                    </a:solidFill>
                                    <a:prstDash val="solid"/>
                                    <a:miter/>
                                    <a:headEnd type="none" w="med" len="med"/>
                                    <a:tailEnd type="none" w="med" len="med"/>
                                  </a:ln>
                                </wps:spPr>
                                <wps:txbx>
                                  <w:txbxContent>
                                    <w:p>
                                      <w:pPr>
                                        <w:ind w:left="0" w:leftChars="0" w:firstLine="0" w:firstLineChars="0"/>
                                        <w:jc w:val="both"/>
                                      </w:pPr>
                                      <w:r>
                                        <w:rPr>
                                          <w:rFonts w:hint="eastAsia"/>
                                        </w:rPr>
                                        <w:t>包装</w:t>
                                      </w:r>
                                    </w:p>
                                  </w:txbxContent>
                                </wps:txbx>
                                <wps:bodyPr lIns="18000" tIns="10800" rIns="18000" bIns="10800" upright="1"/>
                              </wps:wsp>
                              <wps:wsp>
                                <wps:cNvPr id="205" name="曲线连接符 205"/>
                                <wps:cNvCnPr/>
                                <wps:spPr>
                                  <a:xfrm rot="5400000">
                                    <a:off x="8774" y="588771"/>
                                    <a:ext cx="482" cy="271"/>
                                  </a:xfrm>
                                  <a:prstGeom prst="curvedConnector3">
                                    <a:avLst>
                                      <a:gd name="adj1" fmla="val 50000"/>
                                    </a:avLst>
                                  </a:prstGeom>
                                  <a:ln w="9525" cap="flat" cmpd="sng">
                                    <a:solidFill>
                                      <a:srgbClr val="000000"/>
                                    </a:solidFill>
                                    <a:prstDash val="solid"/>
                                    <a:headEnd type="none" w="med" len="med"/>
                                    <a:tailEnd type="triangle" w="med" len="med"/>
                                  </a:ln>
                                </wps:spPr>
                                <wps:bodyPr/>
                              </wps:wsp>
                              <wps:wsp>
                                <wps:cNvPr id="206" name="文本框 206"/>
                                <wps:cNvSpPr txBox="1"/>
                                <wps:spPr>
                                  <a:xfrm>
                                    <a:off x="8132" y="589148"/>
                                    <a:ext cx="1898" cy="414"/>
                                  </a:xfrm>
                                  <a:prstGeom prst="rect">
                                    <a:avLst/>
                                  </a:prstGeom>
                                  <a:noFill/>
                                  <a:ln w="9525" cap="flat" cmpd="sng">
                                    <a:solidFill>
                                      <a:srgbClr val="000000"/>
                                    </a:solidFill>
                                    <a:prstDash val="dash"/>
                                    <a:miter/>
                                    <a:headEnd type="none" w="med" len="med"/>
                                    <a:tailEnd type="none" w="med" len="med"/>
                                  </a:ln>
                                </wps:spPr>
                                <wps:txbx>
                                  <w:txbxContent>
                                    <w:p>
                                      <w:pPr>
                                        <w:spacing w:line="240" w:lineRule="exact"/>
                                        <w:rPr>
                                          <w:sz w:val="21"/>
                                          <w:szCs w:val="21"/>
                                        </w:rPr>
                                      </w:pPr>
                                      <w:r>
                                        <w:rPr>
                                          <w:sz w:val="21"/>
                                          <w:szCs w:val="21"/>
                                        </w:rPr>
                                        <w:t>G</w:t>
                                      </w:r>
                                      <w:r>
                                        <w:rPr>
                                          <w:rFonts w:hint="eastAsia"/>
                                          <w:sz w:val="21"/>
                                          <w:szCs w:val="21"/>
                                          <w:vertAlign w:val="subscript"/>
                                        </w:rPr>
                                        <w:t>1</w:t>
                                      </w:r>
                                      <w:r>
                                        <w:rPr>
                                          <w:sz w:val="21"/>
                                          <w:szCs w:val="21"/>
                                          <w:vertAlign w:val="subscript"/>
                                        </w:rPr>
                                        <w:t>-</w:t>
                                      </w:r>
                                      <w:r>
                                        <w:rPr>
                                          <w:rFonts w:hint="eastAsia"/>
                                          <w:sz w:val="21"/>
                                          <w:szCs w:val="21"/>
                                          <w:vertAlign w:val="subscript"/>
                                        </w:rPr>
                                        <w:t>2</w:t>
                                      </w:r>
                                      <w:r>
                                        <w:rPr>
                                          <w:rFonts w:ascii="宋体" w:hAnsi="宋体"/>
                                          <w:sz w:val="21"/>
                                          <w:szCs w:val="21"/>
                                        </w:rPr>
                                        <w:t>溴化氢，</w:t>
                                      </w:r>
                                      <w:r>
                                        <w:rPr>
                                          <w:rFonts w:hint="eastAsia" w:ascii="宋体" w:hAnsi="宋体"/>
                                          <w:sz w:val="21"/>
                                          <w:szCs w:val="21"/>
                                        </w:rPr>
                                        <w:t>乙酸</w:t>
                                      </w:r>
                                    </w:p>
                                    <w:p>
                                      <w:pPr>
                                        <w:spacing w:line="240" w:lineRule="exact"/>
                                      </w:pPr>
                                    </w:p>
                                  </w:txbxContent>
                                </wps:txbx>
                                <wps:bodyPr upright="1"/>
                              </wps:wsp>
                            </wpg:grpSp>
                          </wpg:grpSp>
                        </wpg:grpSp>
                        <wpg:grpSp>
                          <wpg:cNvPr id="217" name="组合 217"/>
                          <wpg:cNvGrpSpPr/>
                          <wpg:grpSpPr>
                            <a:xfrm>
                              <a:off x="4894" y="586280"/>
                              <a:ext cx="7678" cy="2067"/>
                              <a:chOff x="4894" y="586280"/>
                              <a:chExt cx="7678" cy="2067"/>
                            </a:xfrm>
                          </wpg:grpSpPr>
                          <wps:wsp>
                            <wps:cNvPr id="210" name="矩形 210"/>
                            <wps:cNvSpPr/>
                            <wps:spPr>
                              <a:xfrm>
                                <a:off x="11196" y="586280"/>
                                <a:ext cx="1059" cy="525"/>
                              </a:xfrm>
                              <a:prstGeom prst="rect">
                                <a:avLst/>
                              </a:prstGeom>
                              <a:gradFill rotWithShape="0">
                                <a:gsLst>
                                  <a:gs pos="0">
                                    <a:srgbClr val="FFFFFF">
                                      <a:alpha val="0"/>
                                    </a:srgbClr>
                                  </a:gs>
                                  <a:gs pos="100000">
                                    <a:srgbClr val="FFFFFF">
                                      <a:gamma/>
                                      <a:tint val="0"/>
                                      <a:invGamma/>
                                    </a:srgbClr>
                                  </a:gs>
                                </a:gsLst>
                                <a:lin ang="5400000" scaled="1"/>
                                <a:tileRect/>
                              </a:gradFill>
                              <a:ln w="15875">
                                <a:noFill/>
                              </a:ln>
                            </wps:spPr>
                            <wps:txbx>
                              <w:txbxContent>
                                <w:p>
                                  <w:pPr>
                                    <w:ind w:left="0" w:leftChars="0" w:firstLine="0" w:firstLineChars="0"/>
                                    <w:jc w:val="both"/>
                                    <w:rPr>
                                      <w:sz w:val="21"/>
                                      <w:szCs w:val="21"/>
                                    </w:rPr>
                                  </w:pPr>
                                  <w:r>
                                    <w:rPr>
                                      <w:rFonts w:hint="eastAsia"/>
                                      <w:sz w:val="21"/>
                                      <w:szCs w:val="21"/>
                                    </w:rPr>
                                    <w:t>冷冻盐水</w:t>
                                  </w:r>
                                </w:p>
                              </w:txbxContent>
                            </wps:txbx>
                            <wps:bodyPr lIns="0" tIns="10800" rIns="0" bIns="0" upright="1"/>
                          </wps:wsp>
                          <wps:wsp>
                            <wps:cNvPr id="211" name="直接连接符 211"/>
                            <wps:cNvCnPr/>
                            <wps:spPr>
                              <a:xfrm>
                                <a:off x="4894" y="586355"/>
                                <a:ext cx="0" cy="584"/>
                              </a:xfrm>
                              <a:prstGeom prst="line">
                                <a:avLst/>
                              </a:prstGeom>
                              <a:ln w="15875" cap="flat" cmpd="sng">
                                <a:solidFill>
                                  <a:srgbClr val="000000"/>
                                </a:solidFill>
                                <a:prstDash val="solid"/>
                                <a:headEnd type="none" w="med" len="med"/>
                                <a:tailEnd type="triangle" w="med" len="med"/>
                              </a:ln>
                            </wps:spPr>
                            <wps:bodyPr upright="1"/>
                          </wps:wsp>
                          <wps:wsp>
                            <wps:cNvPr id="212" name="直接连接符 212"/>
                            <wps:cNvCnPr/>
                            <wps:spPr>
                              <a:xfrm flipH="1" flipV="1">
                                <a:off x="9562" y="588347"/>
                                <a:ext cx="903" cy="0"/>
                              </a:xfrm>
                              <a:prstGeom prst="line">
                                <a:avLst/>
                              </a:prstGeom>
                              <a:ln w="15875" cap="flat" cmpd="sng">
                                <a:solidFill>
                                  <a:srgbClr val="000000"/>
                                </a:solidFill>
                                <a:prstDash val="solid"/>
                                <a:headEnd type="none" w="med" len="med"/>
                                <a:tailEnd type="triangle" w="med" len="med"/>
                              </a:ln>
                            </wps:spPr>
                            <wps:bodyPr upright="1"/>
                          </wps:wsp>
                          <wps:wsp>
                            <wps:cNvPr id="213" name="直接连接符 213"/>
                            <wps:cNvCnPr/>
                            <wps:spPr>
                              <a:xfrm>
                                <a:off x="11268" y="587567"/>
                                <a:ext cx="0" cy="539"/>
                              </a:xfrm>
                              <a:prstGeom prst="line">
                                <a:avLst/>
                              </a:prstGeom>
                              <a:ln w="15875" cap="flat" cmpd="sng">
                                <a:solidFill>
                                  <a:srgbClr val="000000"/>
                                </a:solidFill>
                                <a:prstDash val="solid"/>
                                <a:headEnd type="none" w="med" len="med"/>
                                <a:tailEnd type="triangle" w="med" len="med"/>
                              </a:ln>
                            </wps:spPr>
                            <wps:bodyPr upright="1"/>
                          </wps:wsp>
                          <wps:wsp>
                            <wps:cNvPr id="214" name="直接连接符 214"/>
                            <wps:cNvCnPr/>
                            <wps:spPr>
                              <a:xfrm>
                                <a:off x="9435" y="586590"/>
                                <a:ext cx="0" cy="425"/>
                              </a:xfrm>
                              <a:prstGeom prst="line">
                                <a:avLst/>
                              </a:prstGeom>
                              <a:ln w="15875" cap="flat" cmpd="sng">
                                <a:solidFill>
                                  <a:srgbClr val="000000"/>
                                </a:solidFill>
                                <a:prstDash val="solid"/>
                                <a:headEnd type="none" w="med" len="med"/>
                                <a:tailEnd type="triangle" w="med" len="med"/>
                              </a:ln>
                            </wps:spPr>
                            <wps:bodyPr upright="1"/>
                          </wps:wsp>
                          <wps:wsp>
                            <wps:cNvPr id="215" name="直接箭头连接符 215"/>
                            <wps:cNvCnPr/>
                            <wps:spPr>
                              <a:xfrm flipH="1">
                                <a:off x="8802" y="586610"/>
                                <a:ext cx="633" cy="0"/>
                              </a:xfrm>
                              <a:prstGeom prst="straightConnector1">
                                <a:avLst/>
                              </a:prstGeom>
                              <a:ln w="15875" cap="flat" cmpd="sng">
                                <a:solidFill>
                                  <a:srgbClr val="000000"/>
                                </a:solidFill>
                                <a:prstDash val="solid"/>
                                <a:headEnd type="none" w="med" len="med"/>
                                <a:tailEnd type="none" w="med" len="med"/>
                              </a:ln>
                            </wps:spPr>
                            <wps:bodyPr/>
                          </wps:wsp>
                          <wps:wsp>
                            <wps:cNvPr id="216" name="直接连接符 216"/>
                            <wps:cNvCnPr/>
                            <wps:spPr>
                              <a:xfrm flipH="1" flipV="1">
                                <a:off x="12060" y="588347"/>
                                <a:ext cx="513" cy="0"/>
                              </a:xfrm>
                              <a:prstGeom prst="line">
                                <a:avLst/>
                              </a:prstGeom>
                              <a:ln w="15875" cap="flat" cmpd="sng">
                                <a:solidFill>
                                  <a:srgbClr val="000000"/>
                                </a:solidFill>
                                <a:prstDash val="solid"/>
                                <a:headEnd type="none" w="med" len="med"/>
                                <a:tailEnd type="triangle" w="med" len="med"/>
                              </a:ln>
                            </wps:spPr>
                            <wps:bodyPr upright="1"/>
                          </wps:wsp>
                        </wpg:grpSp>
                      </wpg:grpSp>
                    </wpg:wgp>
                  </a:graphicData>
                </a:graphic>
              </wp:anchor>
            </w:drawing>
          </mc:Choice>
          <mc:Fallback>
            <w:pict>
              <v:group id="_x0000_s1026" o:spid="_x0000_s1026" o:spt="203" style="position:absolute;left:0pt;margin-left:-32.85pt;margin-top:12.85pt;height:176.4pt;width:462pt;mso-wrap-distance-bottom:0pt;mso-wrap-distance-top:0pt;z-index:251666432;mso-width-relative:page;mso-height-relative:page;" coordorigin="3556,586034" coordsize="9240,3528" o:gfxdata="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">
                <o:lock v:ext="edit" aspectratio="f"/>
                <v:rect id="_x0000_s1026" o:spid="_x0000_s1026" o:spt="1" style="position:absolute;left:4942;top:586395;height:525;width:502;" fillcolor="#FFFFFF" filled="t" stroked="f" coordsize="21600,21600" o:gfxdata="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Z199L4A&#10;AADcAAAADwAAAAAAAAABACAAAAAiAAAAZHJzL2Rvd25yZXYueG1sUEsBAhQAFAAAAAgAh07iQDMv&#10;BZ47AAAAOQAAABAAAAAAAAAAAQAgAAAADQEAAGRycy9zaGFwZXhtbC54bWxQSwUGAAAAAAYABgBb&#10;AQAAtwMAAAAA&#10;">
                  <v:fill type="gradient" on="t" color2="#FFFFFF" opacity="0f" focus="100%" focussize="0,0"/>
                  <v:stroke on="f" weight="1.25pt"/>
                  <v:imagedata o:title=""/>
                  <o:lock v:ext="edit" aspectratio="f"/>
                  <v:textbox inset="0mm,0.3mm,0mm,0mm">
                    <w:txbxContent>
                      <w:p>
                        <w:pPr>
                          <w:ind w:left="0" w:leftChars="0" w:firstLine="0" w:firstLineChars="0"/>
                          <w:jc w:val="both"/>
                          <w:rPr>
                            <w:sz w:val="21"/>
                            <w:szCs w:val="21"/>
                          </w:rPr>
                        </w:pPr>
                        <w:r>
                          <w:rPr>
                            <w:rFonts w:hint="eastAsia"/>
                            <w:sz w:val="21"/>
                            <w:szCs w:val="21"/>
                          </w:rPr>
                          <w:t>蒸汽</w:t>
                        </w:r>
                      </w:p>
                    </w:txbxContent>
                  </v:textbox>
                </v:rect>
                <v:group id="_x0000_s1026" o:spid="_x0000_s1026" o:spt="203" style="position:absolute;left:3556;top:586034;height:3528;width:9240;" coordorigin="3556,586034" coordsize="9240,3528" o:gfxdata="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AtEGZ2vAAAANwAAAAPAAAAAAAAAAEAIAAAACIAAABkcnMvZG93bnJldi54bWxQ&#10;SwECFAAUAAAACACHTuJAMy8FnjsAAAA5AAAAFQAAAAAAAAABACAAAAALAQAAZHJzL2dyb3Vwc2hh&#10;cGV4bWwueG1sUEsFBgAAAAAGAAYAYAEAAMgDAAAAAA==&#10;">
                  <o:lock v:ext="edit" aspectratio="f"/>
                  <v:group id="_x0000_s1026" o:spid="_x0000_s1026" o:spt="203" style="position:absolute;left:3556;top:586034;height:3528;width:9240;" coordorigin="3556,586034" coordsize="9240,3528" o:gfxdata="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HhVUwvwAAANwAAAAPAAAAAAAAAAEAIAAAACIAAABkcnMvZG93bnJldi54&#10;bWxQSwECFAAUAAAACACHTuJAMy8FnjsAAAA5AAAAFQAAAAAAAAABACAAAAAOAQAAZHJzL2dyb3Vw&#10;c2hhcGV4bWwueG1sUEsFBgAAAAAGAAYAYAEAAMsDAAAAAA==&#10;">
                    <o:lock v:ext="edit" aspectratio="f"/>
                    <v:group id="_x0000_s1026" o:spid="_x0000_s1026" o:spt="203" style="position:absolute;left:4058;top:586065;height:3067;width:8602;" coordorigin="4058,586065" coordsize="8602,3067" o:gfxdata="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B4/ko2+AAAA3AAAAA8AAAAAAAAAAQAgAAAAIgAAAGRycy9kb3ducmV2Lnht&#10;bFBLAQIUABQAAAAIAIdO4kAzLwWeOwAAADkAAAAVAAAAAAAAAAEAIAAAAA0BAABkcnMvZ3JvdXBz&#10;aGFwZXhtbC54bWxQSwUGAAAAAAYABgBgAQAAygMAAAAA&#10;">
                      <o:lock v:ext="edit" aspectratio="f"/>
                      <v:rect id="_x0000_s1026" o:spid="_x0000_s1026" o:spt="1" style="position:absolute;left:6065;top:586355;height:525;width:601;" fillcolor="#FFFFFF" filled="t" stroked="f" coordsize="21600,21600" o:gfxdata="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A+QWu8AAAA&#10;3AAAAA8AAAAAAAAAAQAgAAAAIgAAAGRycy9kb3ducmV2LnhtbFBLAQIUABQAAAAIAIdO4kAzLwWe&#10;OwAAADkAAAAQAAAAAAAAAAEAIAAAAAsBAABkcnMvc2hhcGV4bWwueG1sUEsFBgAAAAAGAAYAWwEA&#10;ALUDAAAAAA==&#10;">
                        <v:fill type="gradient" on="t" color2="#FFFFFF" opacity="0f" focus="100%" focussize="0,0"/>
                        <v:stroke on="f" weight="1.25pt"/>
                        <v:imagedata o:title=""/>
                        <o:lock v:ext="edit" aspectratio="f"/>
                        <v:textbox inset="0.5mm,1.27mm,0.5mm,1.27mm">
                          <w:txbxContent>
                            <w:p>
                              <w:pPr>
                                <w:ind w:left="0" w:leftChars="0" w:firstLine="0" w:firstLineChars="0"/>
                                <w:jc w:val="both"/>
                                <w:rPr>
                                  <w:sz w:val="21"/>
                                  <w:szCs w:val="21"/>
                                </w:rPr>
                              </w:pPr>
                              <w:r>
                                <w:rPr>
                                  <w:rFonts w:hint="eastAsia"/>
                                  <w:sz w:val="21"/>
                                  <w:szCs w:val="21"/>
                                </w:rPr>
                                <w:t>氢气</w:t>
                              </w:r>
                            </w:p>
                          </w:txbxContent>
                        </v:textbox>
                      </v:rect>
                      <v:shape id="_x0000_s1026" o:spid="_x0000_s1026" o:spt="38" type="#_x0000_t38" style="position:absolute;left:10892;top:588756;height:271;width:482;rotation:5898240f;" filled="f" stroked="t" coordsize="21600,21600" o:gfxdata="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KGmLS&#10;wAAAANwAAAAPAAAAAAAAAAEAIAAAACIAAABkcnMvZG93bnJldi54bWxQSwECFAAUAAAACACHTuJA&#10;My8FnjsAAAA5AAAAEAAAAAAAAAABACAAAAAPAQAAZHJzL3NoYXBleG1sLnhtbFBLBQYAAAAABgAG&#10;AFsBAAC5AwAAAAA=&#10;" adj="10800">
                        <v:fill on="f" focussize="0,0"/>
                        <v:stroke color="#000000" joinstyle="round" endarrow="block"/>
                        <v:imagedata o:title=""/>
                        <o:lock v:ext="edit" aspectratio="f"/>
                      </v:shape>
                      <v:rect id="_x0000_s1026" o:spid="_x0000_s1026" o:spt="1" style="position:absolute;left:5362;top:586774;height:525;width:703;" fillcolor="#FFFFFF" filled="t" stroked="f" coordsize="21600,21600" o:gfxdata="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gzjbbsAAADc&#10;AAAADwAAAAAAAAABACAAAAAiAAAAZHJzL2Rvd25yZXYueG1sUEsBAhQAFAAAAAgAh07iQDMvBZ47&#10;AAAAOQAAABAAAAAAAAAAAQAgAAAACgEAAGRycy9zaGFwZXhtbC54bWxQSwUGAAAAAAYABgBbAQAA&#10;tAMAAAAA&#10;">
                        <v:fill type="gradient" on="t" color2="#FFFFFF" opacity="0f" focus="100%" focussize="0,0"/>
                        <v:stroke on="f" weight="1.25pt"/>
                        <v:imagedata o:title=""/>
                        <o:lock v:ext="edit" aspectratio="f"/>
                        <v:textbox inset="0mm,1.27mm,0mm,1.27mm">
                          <w:txbxContent>
                            <w:p>
                              <w:pPr>
                                <w:ind w:left="0" w:leftChars="0" w:firstLine="0" w:firstLineChars="0"/>
                                <w:jc w:val="both"/>
                                <w:rPr>
                                  <w:rFonts w:hint="eastAsia" w:eastAsia="宋体"/>
                                  <w:sz w:val="21"/>
                                  <w:szCs w:val="21"/>
                                  <w:lang w:eastAsia="zh-CN"/>
                                </w:rPr>
                              </w:pPr>
                              <w:r>
                                <w:rPr>
                                  <w:rFonts w:hint="eastAsia"/>
                                  <w:sz w:val="21"/>
                                  <w:szCs w:val="21"/>
                                </w:rPr>
                                <w:t>溴蒸气</w:t>
                              </w:r>
                            </w:p>
                          </w:txbxContent>
                        </v:textbox>
                      </v:rect>
                      <v:line id="_x0000_s1026" o:spid="_x0000_s1026" o:spt="20" style="position:absolute;left:4058;top:587232;height:1;width:479;" filled="f" stroked="t" coordsize="21600,21600" o:gfxdata="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8yj5LsAAADc&#10;AAAADwAAAAAAAAABACAAAAAiAAAAZHJzL2Rvd25yZXYueG1sUEsBAhQAFAAAAAgAh07iQDMvBZ47&#10;AAAAOQAAABAAAAAAAAAAAQAgAAAACgEAAGRycy9zaGFwZXhtbC54bWxQSwUGAAAAAAYABgBbAQAA&#10;tAMAAAAA&#10;">
                        <v:fill on="f" focussize="0,0"/>
                        <v:stroke weight="1.25pt" color="#000000" joinstyle="round" endarrow="block"/>
                        <v:imagedata o:title=""/>
                        <o:lock v:ext="edit" aspectratio="f"/>
                      </v:line>
                      <v:shape id="_x0000_s1026" o:spid="_x0000_s1026" o:spt="38" type="#_x0000_t38" style="position:absolute;left:9621;top:586584;height:339;width:479;rotation:-5898240f;" filled="f" stroked="t" coordsize="21600,21600" o:gfxdata="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2INuZvQAA&#10;ANwAAAAPAAAAAAAAAAEAIAAAACIAAABkcnMvZG93bnJldi54bWxQSwECFAAUAAAACACHTuJAMy8F&#10;njsAAAA5AAAAEAAAAAAAAAABACAAAAAMAQAAZHJzL3NoYXBleG1sLnhtbFBLBQYAAAAABgAGAFsB&#10;AAC2AwAAAAA=&#10;" adj="10777">
                        <v:fill on="f" focussize="0,0"/>
                        <v:stroke color="#000000" joinstyle="round" endarrow="block"/>
                        <v:imagedata o:title=""/>
                        <o:lock v:ext="edit" aspectratio="f"/>
                      </v:shape>
                      <v:rect id="_x0000_s1026" o:spid="_x0000_s1026" o:spt="1" style="position:absolute;left:4385;top:588037;height:525;width:1059;" fillcolor="#FFFFFF" filled="t" stroked="f" coordsize="21600,21600" o:gfxdata="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UFB9a/&#10;AAAA3AAAAA8AAAAAAAAAAQAgAAAAIgAAAGRycy9kb3ducmV2LnhtbFBLAQIUABQAAAAIAIdO4kAz&#10;LwWeOwAAADkAAAAQAAAAAAAAAAEAIAAAAA4BAABkcnMvc2hhcGV4bWwueG1sUEsFBgAAAAAGAAYA&#10;WwEAALgDAAAAAA==&#10;">
                        <v:fill type="gradient" on="t" color2="#FFFFFF" opacity="0f" focus="100%" focussize="0,0"/>
                        <v:stroke on="f" weight="1.25pt"/>
                        <v:imagedata o:title=""/>
                        <o:lock v:ext="edit" aspectratio="f"/>
                        <v:textbox inset="0mm,0.3mm,0mm,0mm">
                          <w:txbxContent>
                            <w:p>
                              <w:pPr>
                                <w:ind w:left="0" w:leftChars="0" w:firstLine="0" w:firstLineChars="0"/>
                                <w:jc w:val="both"/>
                                <w:rPr>
                                  <w:sz w:val="21"/>
                                  <w:szCs w:val="21"/>
                                </w:rPr>
                              </w:pPr>
                              <w:r>
                                <w:rPr>
                                  <w:rFonts w:hint="eastAsia"/>
                                  <w:sz w:val="21"/>
                                  <w:szCs w:val="21"/>
                                </w:rPr>
                                <w:t>蒸汽冷凝水</w:t>
                              </w:r>
                            </w:p>
                          </w:txbxContent>
                        </v:textbox>
                      </v:rect>
                      <v:line id="_x0000_s1026" o:spid="_x0000_s1026" o:spt="20" style="position:absolute;left:11268;top:586388;height:584;width:0;" filled="f" stroked="t" coordsize="21600,21600" o:gfxdata="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CU7kLsAAADc&#10;AAAADwAAAAAAAAABACAAAAAiAAAAZHJzL2Rvd25yZXYueG1sUEsBAhQAFAAAAAgAh07iQDMvBZ47&#10;AAAAOQAAABAAAAAAAAAAAQAgAAAACgEAAGRycy9zaGFwZXhtbC54bWxQSwUGAAAAAAYABgBbAQAA&#10;tAMAAAAA&#10;">
                        <v:fill on="f" focussize="0,0"/>
                        <v:stroke weight="1.25pt" color="#000000" joinstyle="round" endarrow="block"/>
                        <v:imagedata o:title=""/>
                        <o:lock v:ext="edit" aspectratio="f"/>
                      </v:line>
                      <v:rect id="_x0000_s1026" o:spid="_x0000_s1026" o:spt="1" style="position:absolute;left:8629;top:586065;height:525;width:601;" fillcolor="#FFFFFF" filled="t" stroked="f" coordsize="21600,21600" o:gfxdata="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0dKU+ugAAANwA&#10;AAAPAAAAAAAAAAEAIAAAACIAAABkcnMvZG93bnJldi54bWxQSwECFAAUAAAACACHTuJAMy8FnjsA&#10;AAA5AAAAEAAAAAAAAAABACAAAAAJAQAAZHJzL3NoYXBleG1sLnhtbFBLBQYAAAAABgAGAFsBAACz&#10;AwAAAAA=&#10;">
                        <v:fill type="gradient" on="t" color2="#FFFFFF" opacity="0f" focus="100%" focussize="0,0"/>
                        <v:stroke on="f" weight="1.25pt"/>
                        <v:imagedata o:title=""/>
                        <o:lock v:ext="edit" aspectratio="f"/>
                        <v:textbox inset="0.5mm,1.27mm,0.5mm,1.27mm">
                          <w:txbxContent>
                            <w:p>
                              <w:pPr>
                                <w:ind w:left="0" w:leftChars="0" w:firstLine="0" w:firstLineChars="0"/>
                                <w:jc w:val="both"/>
                                <w:rPr>
                                  <w:sz w:val="21"/>
                                  <w:szCs w:val="21"/>
                                </w:rPr>
                              </w:pPr>
                              <w:r>
                                <w:rPr>
                                  <w:rFonts w:hint="eastAsia"/>
                                  <w:sz w:val="21"/>
                                  <w:szCs w:val="21"/>
                                </w:rPr>
                                <w:t>赤磷</w:t>
                              </w:r>
                            </w:p>
                          </w:txbxContent>
                        </v:textbox>
                      </v:rect>
                      <v:rect id="_x0000_s1026" o:spid="_x0000_s1026" o:spt="1" style="position:absolute;left:12060;top:587692;height:525;width:601;" fillcolor="#FFFFFF" filled="t" stroked="f" coordsize="21600,21600" o:gfxdata="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s4AKW8AAAA&#10;3AAAAA8AAAAAAAAAAQAgAAAAIgAAAGRycy9kb3ducmV2LnhtbFBLAQIUABQAAAAIAIdO4kAzLwWe&#10;OwAAADkAAAAQAAAAAAAAAAEAIAAAAAsBAABkcnMvc2hhcGV4bWwueG1sUEsFBgAAAAAGAAYAWwEA&#10;ALUDAAAAAA==&#10;">
                        <v:fill type="gradient" on="t" color2="#FFFFFF" opacity="0f" focus="100%" focussize="0,0"/>
                        <v:stroke on="f" weight="1.25pt"/>
                        <v:imagedata o:title=""/>
                        <o:lock v:ext="edit" aspectratio="f"/>
                        <v:textbox inset="0.5mm,1.27mm,0.5mm,1.27mm">
                          <w:txbxContent>
                            <w:p>
                              <w:pPr>
                                <w:ind w:left="0" w:leftChars="0" w:firstLine="0" w:firstLineChars="0"/>
                                <w:jc w:val="both"/>
                                <w:rPr>
                                  <w:sz w:val="21"/>
                                  <w:szCs w:val="21"/>
                                </w:rPr>
                              </w:pPr>
                              <w:r>
                                <w:rPr>
                                  <w:rFonts w:hint="eastAsia"/>
                                  <w:sz w:val="21"/>
                                  <w:szCs w:val="21"/>
                                </w:rPr>
                                <w:t>乙酸</w:t>
                              </w:r>
                            </w:p>
                          </w:txbxContent>
                        </v:textbox>
                      </v:rect>
                    </v:group>
                    <v:group id="_x0000_s1026" o:spid="_x0000_s1026" o:spt="203" style="position:absolute;left:3556;top:586034;height:3528;width:9240;" coordorigin="3556,586034" coordsize="9240,3528" o:gfxdata="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KjJ8Ku7AAAA3AAAAA8AAAAAAAAAAQAgAAAAIgAAAGRycy9kb3ducmV2LnhtbFBL&#10;AQIUABQAAAAIAIdO4kAzLwWeOwAAADkAAAAVAAAAAAAAAAEAIAAAAAoBAABkcnMvZ3JvdXBzaGFw&#10;ZXhtbC54bWxQSwUGAAAAAAYABgBgAQAAxwMAAAAA&#10;">
                      <o:lock v:ext="edit" aspectratio="f"/>
                      <v:rect id="_x0000_s1026" o:spid="_x0000_s1026" o:spt="1" style="position:absolute;left:9282;top:587006;height:561;width:997;" fillcolor="#BBD5F0" filled="t" stroked="t" coordsize="21600,21600" o:gfxdata="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nbyt6bgAAADcAAAA&#10;DwAAAAAAAAABACAAAAAiAAAAZHJzL2Rvd25yZXYueG1sUEsBAhQAFAAAAAgAh07iQDMvBZ47AAAA&#10;OQAAABAAAAAAAAAAAQAgAAAABwEAAGRycy9zaGFwZXhtbC54bWxQSwUGAAAAAAYABgBbAQAAsQMA&#10;AAAA&#10;">
                        <v:fill type="gradient" on="t" color2="#9CBEE0" focus="100%" focussize="0,0">
                          <o:fill type="gradientUnscaled" v:ext="backwardCompatible"/>
                        </v:fill>
                        <v:stroke weight="1.25pt" color="#739CC3" joinstyle="miter"/>
                        <v:imagedata o:title=""/>
                        <o:lock v:ext="edit" aspectratio="f"/>
                        <v:textbox inset="0.5mm,0.3mm,0.5mm,0.3mm">
                          <w:txbxContent>
                            <w:p>
                              <w:pPr>
                                <w:ind w:left="0" w:leftChars="0" w:firstLine="0" w:firstLineChars="0"/>
                                <w:jc w:val="both"/>
                              </w:pPr>
                              <w:r>
                                <w:rPr>
                                  <w:rFonts w:hint="eastAsia"/>
                                </w:rPr>
                                <w:t>除溴</w:t>
                              </w:r>
                            </w:p>
                          </w:txbxContent>
                        </v:textbox>
                      </v:rect>
                      <v:rect id="_x0000_s1026" o:spid="_x0000_s1026" o:spt="1" style="position:absolute;left:7803;top:586972;height:550;width:826;" fillcolor="#BBD5F0" filled="t" stroked="t" coordsize="21600,21600" o:gfxdata="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V+SqbsAAADc&#10;AAAADwAAAAAAAAABACAAAAAiAAAAZHJzL2Rvd25yZXYueG1sUEsBAhQAFAAAAAgAh07iQDMvBZ47&#10;AAAAOQAAABAAAAAAAAAAAQAgAAAACgEAAGRycy9zaGFwZXhtbC54bWxQSwUGAAAAAAYABgBbAQAA&#10;tAMAAAAA&#10;">
                        <v:fill type="gradient" on="t" color2="#9CBEE0" focus="100%" focussize="0,0">
                          <o:fill type="gradientUnscaled" v:ext="backwardCompatible"/>
                        </v:fill>
                        <v:stroke weight="1.25pt" color="#739CC3" joinstyle="miter"/>
                        <v:imagedata o:title=""/>
                        <o:lock v:ext="edit" aspectratio="f"/>
                        <v:textbox inset="0.5mm,0.3mm,0.5mm,0.3mm">
                          <w:txbxContent>
                            <w:p>
                              <w:pPr>
                                <w:ind w:left="0" w:leftChars="0" w:firstLine="0" w:firstLineChars="0"/>
                                <w:jc w:val="both"/>
                              </w:pPr>
                              <w:r>
                                <w:rPr>
                                  <w:rFonts w:hint="eastAsia"/>
                                </w:rPr>
                                <w:t>冷却</w:t>
                              </w:r>
                            </w:p>
                          </w:txbxContent>
                        </v:textbox>
                      </v:rect>
                      <v:group id="_x0000_s1026" o:spid="_x0000_s1026" o:spt="203" style="position:absolute;left:3556;top:586034;height:3528;width:9241;" coordorigin="3556,586034" coordsize="9241,3528" o:gfxdata="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ZVmTZvwAAANwAAAAPAAAAAAAAAAEAIAAAACIAAABkcnMvZG93bnJldi54&#10;bWxQSwECFAAUAAAACACHTuJAMy8FnjsAAAA5AAAAFQAAAAAAAAABACAAAAAOAQAAZHJzL2dyb3Vw&#10;c2hhcGV4bWwueG1sUEsFBgAAAAAGAAYAYAEAAMsDAAAAAA==&#10;">
                        <o:lock v:ext="edit" aspectratio="f"/>
                        <v:rect id="_x0000_s1026" o:spid="_x0000_s1026" o:spt="1" style="position:absolute;left:6071;top:587007;height:534;width:1065;" fillcolor="#BBD5F0" filled="t" stroked="t" coordsize="21600,21600" o:gfxdata="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5hM3MrgAAADcAAAA&#10;DwAAAAAAAAABACAAAAAiAAAAZHJzL2Rvd25yZXYueG1sUEsBAhQAFAAAAAgAh07iQDMvBZ47AAAA&#10;OQAAABAAAAAAAAAAAQAgAAAABwEAAGRycy9zaGFwZXhtbC54bWxQSwUGAAAAAAYABgBbAQAAsQMA&#10;AAAA&#10;">
                          <v:fill type="gradient" on="t" color2="#9CBEE0" focus="100%" focussize="0,0">
                            <o:fill type="gradientUnscaled" v:ext="backwardCompatible"/>
                          </v:fill>
                          <v:stroke weight="1.25pt" color="#739CC3" joinstyle="miter"/>
                          <v:imagedata o:title=""/>
                          <o:lock v:ext="edit" aspectratio="f"/>
                          <v:textbox inset="0.5mm,0.3mm,0.5mm,0.3mm">
                            <w:txbxContent>
                              <w:p>
                                <w:pPr>
                                  <w:ind w:left="0" w:leftChars="0" w:firstLine="0" w:firstLineChars="0"/>
                                  <w:jc w:val="both"/>
                                </w:pPr>
                                <w:r>
                                  <w:rPr>
                                    <w:rFonts w:hint="eastAsia"/>
                                  </w:rPr>
                                  <w:t>石英炉</w:t>
                                </w:r>
                              </w:p>
                            </w:txbxContent>
                          </v:textbox>
                        </v:rect>
                        <v:line id="_x0000_s1026" o:spid="_x0000_s1026" o:spt="20" style="position:absolute;left:7151;top:587261;height:0;width:652;" filled="f" stroked="t" coordsize="21600,21600" o:gfxdata="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hU1ObsAAADc&#10;AAAADwAAAAAAAAABACAAAAAiAAAAZHJzL2Rvd25yZXYueG1sUEsBAhQAFAAAAAgAh07iQDMvBZ47&#10;AAAAOQAAABAAAAAAAAAAAQAgAAAACgEAAGRycy9zaGFwZXhtbC54bWxQSwUGAAAAAAYABgBbAQAA&#10;tAMAAAAA&#10;">
                          <v:fill on="f" focussize="0,0"/>
                          <v:stroke weight="1.25pt" color="#000000" joinstyle="round" endarrow="block"/>
                          <v:imagedata o:title=""/>
                          <o:lock v:ext="edit" aspectratio="f"/>
                        </v:line>
                        <v:line id="_x0000_s1026" o:spid="_x0000_s1026" o:spt="20" style="position:absolute;left:10283;top:587299;flip:y;height:0;width:627;" filled="f" stroked="t" coordsize="21600,21600" o:gfxdata="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z03me8AAAA&#10;3AAAAA8AAAAAAAAAAQAgAAAAIgAAAGRycy9kb3ducmV2LnhtbFBLAQIUABQAAAAIAIdO4kAzLwWe&#10;OwAAADkAAAAQAAAAAAAAAAEAIAAAAAsBAABkcnMvc2hhcGV4bWwueG1sUEsFBgAAAAAGAAYAWwEA&#10;ALUDAAAAAA==&#10;">
                          <v:fill on="f" focussize="0,0"/>
                          <v:stroke weight="1.25pt" color="#000000" joinstyle="round" endarrow="block"/>
                          <v:imagedata o:title=""/>
                          <o:lock v:ext="edit" aspectratio="f"/>
                        </v:line>
                        <v:rect id="_x0000_s1026" o:spid="_x0000_s1026" o:spt="1" style="position:absolute;left:10529;top:588091;height:560;width:1531;" fillcolor="#BBD5F0" filled="t" stroked="t" coordsize="21600,21600" o:gfxdata="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ZklKq5AAAA3AAA&#10;AA8AAAAAAAAAAQAgAAAAIgAAAGRycy9kb3ducmV2LnhtbFBLAQIUABQAAAAIAIdO4kAzLwWeOwAA&#10;ADkAAAAQAAAAAAAAAAEAIAAAAAgBAABkcnMvc2hhcGV4bWwueG1sUEsFBgAAAAAGAAYAWwEAALID&#10;AAAAAA==&#10;">
                          <v:fill type="gradient" on="t" color2="#9CBEE0" focus="100%" focussize="0,0">
                            <o:fill type="gradientUnscaled" v:ext="backwardCompatible"/>
                          </v:fill>
                          <v:stroke weight="1.25pt" color="#739CC3" joinstyle="miter"/>
                          <v:imagedata o:title=""/>
                          <o:lock v:ext="edit" aspectratio="f"/>
                          <v:textbox inset="0.5mm,0.3mm,0.5mm,0.3mm">
                            <w:txbxContent>
                              <w:p>
                                <w:pPr>
                                  <w:ind w:left="0" w:leftChars="0" w:firstLine="0" w:firstLineChars="0"/>
                                  <w:jc w:val="both"/>
                                </w:pPr>
                                <w:r>
                                  <w:rPr>
                                    <w:rFonts w:hint="eastAsia"/>
                                  </w:rPr>
                                  <w:t>三级乙酸吸收</w:t>
                                </w:r>
                              </w:p>
                              <w:p/>
                            </w:txbxContent>
                          </v:textbox>
                        </v:rect>
                        <v:line id="_x0000_s1026" o:spid="_x0000_s1026" o:spt="20" style="position:absolute;left:6603;top:586034;height:972;width:0;" filled="f" stroked="t" coordsize="21600,21600" o:gfxdata="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H8rU28AAAA&#10;3AAAAA8AAAAAAAAAAQAgAAAAIgAAAGRycy9kb3ducmV2LnhtbFBLAQIUABQAAAAIAIdO4kAzLwWe&#10;OwAAADkAAAAQAAAAAAAAAAEAIAAAAAsBAABkcnMvc2hhcGV4bWwueG1sUEsFBgAAAAAGAAYAWwEA&#10;ALUDAAAAAA==&#10;">
                          <v:fill on="f" focussize="0,0"/>
                          <v:stroke weight="1.25pt" color="#000000" joinstyle="round" endarrow="block"/>
                          <v:imagedata o:title=""/>
                          <o:lock v:ext="edit" aspectratio="f"/>
                        </v:line>
                        <v:shape id="_x0000_s1026" o:spid="_x0000_s1026" o:spt="202" type="#_x0000_t202" style="position:absolute;left:9281;top:586100;height:414;width:1542;" filled="f" stroked="t" coordsize="21600,21600" o:gfxdata="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qLP+uvQAA&#10;ANwAAAAPAAAAAAAAAAEAIAAAACIAAABkcnMvZG93bnJldi54bWxQSwECFAAUAAAACACHTuJAMy8F&#10;njsAAAA5AAAAEAAAAAAAAAABACAAAAAMAQAAZHJzL3NoYXBleG1sLnhtbFBLBQYAAAAABgAGAFsB&#10;AAC2AwAAAAA=&#10;">
                          <v:fill on="f" focussize="0,0"/>
                          <v:stroke color="#000000" joinstyle="miter" dashstyle="dash"/>
                          <v:imagedata o:title=""/>
                          <o:lock v:ext="edit" aspectratio="f"/>
                          <v:textbox>
                            <w:txbxContent>
                              <w:p>
                                <w:pPr>
                                  <w:spacing w:line="240" w:lineRule="exact"/>
                                  <w:ind w:left="0" w:leftChars="0" w:firstLine="0" w:firstLineChars="0"/>
                                  <w:rPr>
                                    <w:sz w:val="21"/>
                                    <w:szCs w:val="21"/>
                                  </w:rPr>
                                </w:pPr>
                                <w:r>
                                  <w:rPr>
                                    <w:rFonts w:hint="eastAsia"/>
                                    <w:sz w:val="21"/>
                                    <w:szCs w:val="21"/>
                                  </w:rPr>
                                  <w:t>S</w:t>
                                </w:r>
                                <w:r>
                                  <w:rPr>
                                    <w:rFonts w:hint="eastAsia"/>
                                    <w:sz w:val="21"/>
                                    <w:szCs w:val="21"/>
                                    <w:vertAlign w:val="subscript"/>
                                  </w:rPr>
                                  <w:t>1</w:t>
                                </w:r>
                                <w:r>
                                  <w:rPr>
                                    <w:sz w:val="21"/>
                                    <w:szCs w:val="21"/>
                                    <w:vertAlign w:val="subscript"/>
                                  </w:rPr>
                                  <w:t>-</w:t>
                                </w:r>
                                <w:r>
                                  <w:rPr>
                                    <w:rFonts w:hint="eastAsia"/>
                                    <w:sz w:val="21"/>
                                    <w:szCs w:val="21"/>
                                    <w:vertAlign w:val="subscript"/>
                                  </w:rPr>
                                  <w:t>1</w:t>
                                </w:r>
                                <w:r>
                                  <w:rPr>
                                    <w:rFonts w:hint="eastAsia"/>
                                    <w:sz w:val="21"/>
                                    <w:szCs w:val="21"/>
                                  </w:rPr>
                                  <w:t>三溴化磷</w:t>
                                </w:r>
                              </w:p>
                              <w:p>
                                <w:pPr>
                                  <w:spacing w:line="240" w:lineRule="exact"/>
                                </w:pPr>
                              </w:p>
                            </w:txbxContent>
                          </v:textbox>
                        </v:shape>
                        <v:line id="_x0000_s1026" o:spid="_x0000_s1026" o:spt="20" style="position:absolute;left:5362;top:587271;flip:y;height:0;width:703;" filled="f" stroked="t" coordsize="21600,21600" o:gfxdata="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PP2GS8AAAA&#10;3AAAAA8AAAAAAAAAAQAgAAAAIgAAAGRycy9kb3ducmV2LnhtbFBLAQIUABQAAAAIAIdO4kAzLwWe&#10;OwAAADkAAAAQAAAAAAAAAAEAIAAAAAsBAABkcnMvc2hhcGV4bWwueG1sUEsFBgAAAAAGAAYAWwEA&#10;ALUDAAAAAA==&#10;">
                          <v:fill on="f" focussize="0,0"/>
                          <v:stroke weight="1.25pt" color="#000000" joinstyle="round" endarrow="block"/>
                          <v:imagedata o:title=""/>
                          <o:lock v:ext="edit" aspectratio="f"/>
                        </v:line>
                        <v:rect id="_x0000_s1026" o:spid="_x0000_s1026" o:spt="1" style="position:absolute;left:4536;top:586962;height:550;width:826;" fillcolor="#BBD5F0" filled="t" stroked="t" coordsize="21600,21600" o:gfxdata="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ymer7sAAADc&#10;AAAADwAAAAAAAAABACAAAAAiAAAAZHJzL2Rvd25yZXYueG1sUEsBAhQAFAAAAAgAh07iQDMvBZ47&#10;AAAAOQAAABAAAAAAAAAAAQAgAAAACgEAAGRycy9zaGFwZXhtbC54bWxQSwUGAAAAAAYABgBbAQAA&#10;tAMAAAAA&#10;">
                          <v:fill type="gradient" on="t" color2="#9CBEE0" focus="100%" focussize="0,0">
                            <o:fill type="gradientUnscaled" v:ext="backwardCompatible"/>
                          </v:fill>
                          <v:stroke weight="1.25pt" color="#739CC3" joinstyle="miter"/>
                          <v:imagedata o:title=""/>
                          <o:lock v:ext="edit" aspectratio="f"/>
                          <v:textbox inset="0.5mm,0.3mm,0.5mm,0.3mm">
                            <w:txbxContent>
                              <w:p>
                                <w:pPr>
                                  <w:ind w:left="0" w:leftChars="0" w:firstLine="0" w:firstLineChars="0"/>
                                  <w:jc w:val="both"/>
                                </w:pPr>
                                <w:r>
                                  <w:rPr>
                                    <w:rFonts w:hint="eastAsia"/>
                                  </w:rPr>
                                  <w:t>通溴筒</w:t>
                                </w:r>
                              </w:p>
                            </w:txbxContent>
                          </v:textbox>
                        </v:rect>
                        <v:shape id="_x0000_s1026" o:spid="_x0000_s1026" o:spt="202" type="#_x0000_t202" style="position:absolute;left:10327;top:589148;height:414;width:2471;" filled="f" stroked="t" coordsize="21600,21600" o:gfxdata="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uza9y8AAAA&#10;3AAAAA8AAAAAAAAAAQAgAAAAIgAAAGRycy9kb3ducmV2LnhtbFBLAQIUABQAAAAIAIdO4kAzLwWe&#10;OwAAADkAAAAQAAAAAAAAAAEAIAAAAAsBAABkcnMvc2hhcGV4bWwueG1sUEsFBgAAAAAGAAYAWwEA&#10;ALUDAAAAAA==&#10;">
                          <v:fill on="f" focussize="0,0"/>
                          <v:stroke color="#000000" joinstyle="miter" dashstyle="dash"/>
                          <v:imagedata o:title=""/>
                          <o:lock v:ext="edit" aspectratio="f"/>
                          <v:textbox>
                            <w:txbxContent>
                              <w:p>
                                <w:pPr>
                                  <w:spacing w:line="240" w:lineRule="exact"/>
                                  <w:rPr>
                                    <w:sz w:val="21"/>
                                    <w:szCs w:val="21"/>
                                  </w:rPr>
                                </w:pPr>
                                <w:r>
                                  <w:rPr>
                                    <w:sz w:val="21"/>
                                    <w:szCs w:val="21"/>
                                  </w:rPr>
                                  <w:t>G</w:t>
                                </w:r>
                                <w:r>
                                  <w:rPr>
                                    <w:rFonts w:hint="eastAsia"/>
                                    <w:sz w:val="21"/>
                                    <w:szCs w:val="21"/>
                                    <w:vertAlign w:val="subscript"/>
                                  </w:rPr>
                                  <w:t>1</w:t>
                                </w:r>
                                <w:r>
                                  <w:rPr>
                                    <w:sz w:val="21"/>
                                    <w:szCs w:val="21"/>
                                    <w:vertAlign w:val="subscript"/>
                                  </w:rPr>
                                  <w:t>-</w:t>
                                </w:r>
                                <w:r>
                                  <w:rPr>
                                    <w:rFonts w:hint="eastAsia"/>
                                    <w:sz w:val="21"/>
                                    <w:szCs w:val="21"/>
                                    <w:vertAlign w:val="subscript"/>
                                  </w:rPr>
                                  <w:t>1</w:t>
                                </w:r>
                                <w:r>
                                  <w:rPr>
                                    <w:rFonts w:ascii="宋体" w:hAnsi="宋体"/>
                                    <w:sz w:val="21"/>
                                    <w:szCs w:val="21"/>
                                  </w:rPr>
                                  <w:t>溴化氢，</w:t>
                                </w:r>
                                <w:r>
                                  <w:rPr>
                                    <w:rFonts w:hint="eastAsia" w:ascii="宋体" w:hAnsi="宋体"/>
                                    <w:sz w:val="21"/>
                                    <w:szCs w:val="21"/>
                                  </w:rPr>
                                  <w:t>乙酸、氢气</w:t>
                                </w:r>
                              </w:p>
                              <w:p>
                                <w:pPr>
                                  <w:spacing w:line="240" w:lineRule="exact"/>
                                </w:pPr>
                              </w:p>
                            </w:txbxContent>
                          </v:textbox>
                        </v:shape>
                        <v:rect id="_x0000_s1026" o:spid="_x0000_s1026" o:spt="1" style="position:absolute;left:3556;top:586959;height:525;width:502;" fillcolor="#FFFFFF" filled="t" stroked="f" coordsize="21600,21600" o:gfxdata="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Mhj874A&#10;AADcAAAADwAAAAAAAAABACAAAAAiAAAAZHJzL2Rvd25yZXYueG1sUEsBAhQAFAAAAAgAh07iQDMv&#10;BZ47AAAAOQAAABAAAAAAAAAAAQAgAAAADQEAAGRycy9zaGFwZXhtbC54bWxQSwUGAAAAAAYABgBb&#10;AQAAtwMAAAAA&#10;">
                          <v:fill type="gradient" on="t" color2="#FFFFFF" opacity="0f" focus="100%" focussize="0,0"/>
                          <v:stroke on="f" weight="1.25pt"/>
                          <v:imagedata o:title=""/>
                          <o:lock v:ext="edit" aspectratio="f"/>
                          <v:textbox inset="0mm,0.3mm,0mm,0mm">
                            <w:txbxContent>
                              <w:p>
                                <w:pPr>
                                  <w:ind w:left="0" w:leftChars="0" w:firstLine="0" w:firstLineChars="0"/>
                                  <w:jc w:val="both"/>
                                  <w:rPr>
                                    <w:sz w:val="21"/>
                                    <w:szCs w:val="21"/>
                                  </w:rPr>
                                </w:pPr>
                                <w:r>
                                  <w:rPr>
                                    <w:rFonts w:hint="eastAsia"/>
                                    <w:sz w:val="21"/>
                                    <w:szCs w:val="21"/>
                                  </w:rPr>
                                  <w:t>溴素</w:t>
                                </w:r>
                              </w:p>
                            </w:txbxContent>
                          </v:textbox>
                        </v:rect>
                        <v:line id="_x0000_s1026" o:spid="_x0000_s1026" o:spt="20" style="position:absolute;left:4894;top:587507;height:584;width:0;" filled="f" stroked="t" coordsize="21600,21600" o:gfxdata="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3oX7W8AAAA&#10;3AAAAA8AAAAAAAAAAQAgAAAAIgAAAGRycy9kb3ducmV2LnhtbFBLAQIUABQAAAAIAIdO4kAzLwWe&#10;OwAAADkAAAAQAAAAAAAAAAEAIAAAAAsBAABkcnMvc2hhcGV4bWwueG1sUEsFBgAAAAAGAAYAWwEA&#10;ALUDAAAAAA==&#10;">
                          <v:fill on="f" focussize="0,0"/>
                          <v:stroke weight="1.25pt" color="#000000" joinstyle="round" endarrow="block"/>
                          <v:imagedata o:title=""/>
                          <o:lock v:ext="edit" aspectratio="f"/>
                        </v:line>
                        <v:line id="_x0000_s1026" o:spid="_x0000_s1026" o:spt="20" style="position:absolute;left:8629;top:587299;height:0;width:652;" filled="f" stroked="t" coordsize="21600,21600" o:gfxdata="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06wcK8AAAA&#10;3AAAAA8AAAAAAAAAAQAgAAAAIgAAAGRycy9kb3ducmV2LnhtbFBLAQIUABQAAAAIAIdO4kAzLwWe&#10;OwAAADkAAAAQAAAAAAAAAAEAIAAAAAsBAABkcnMvc2hhcGV4bWwueG1sUEsFBgAAAAAGAAYAWwEA&#10;ALUDAAAAAA==&#10;">
                          <v:fill on="f" focussize="0,0"/>
                          <v:stroke weight="1.25pt" color="#000000" joinstyle="round" endarrow="block"/>
                          <v:imagedata o:title=""/>
                          <o:lock v:ext="edit" aspectratio="f"/>
                        </v:line>
                        <v:rect id="_x0000_s1026" o:spid="_x0000_s1026" o:spt="1" style="position:absolute;left:10910;top:587006;height:550;width:826;" fillcolor="#BBD5F0" filled="t" stroked="t" coordsize="21600,21600" o:gfxdata="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KovglugAAANwA&#10;AAAPAAAAAAAAAAEAIAAAACIAAABkcnMvZG93bnJldi54bWxQSwECFAAUAAAACACHTuJAMy8FnjsA&#10;AAA5AAAAEAAAAAAAAAABACAAAAAJAQAAZHJzL3NoYXBleG1sLnhtbFBLBQYAAAAABgAGAFsBAACz&#10;AwAAAAA=&#10;">
                          <v:fill type="gradient" on="t" color2="#9CBEE0" focus="100%" focussize="0,0">
                            <o:fill type="gradientUnscaled" v:ext="backwardCompatible"/>
                          </v:fill>
                          <v:stroke weight="1.25pt" color="#739CC3" joinstyle="miter"/>
                          <v:imagedata o:title=""/>
                          <o:lock v:ext="edit" aspectratio="f"/>
                          <v:textbox inset="0.5mm,0.3mm,0.5mm,0.3mm">
                            <w:txbxContent>
                              <w:p>
                                <w:pPr>
                                  <w:ind w:left="0" w:leftChars="0" w:firstLine="0" w:firstLineChars="0"/>
                                  <w:jc w:val="both"/>
                                </w:pPr>
                                <w:r>
                                  <w:rPr>
                                    <w:rFonts w:hint="eastAsia"/>
                                  </w:rPr>
                                  <w:t>冷却</w:t>
                                </w:r>
                              </w:p>
                            </w:txbxContent>
                          </v:textbox>
                        </v:rect>
                        <v:rect id="_x0000_s1026" o:spid="_x0000_s1026" o:spt="1" style="position:absolute;left:8802;top:588106;height:560;width:760;" fillcolor="#BBD5F0" filled="t" stroked="t" coordsize="21600,21600" o:gfxdata="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FS2BRugAAANwA&#10;AAAPAAAAAAAAAAEAIAAAACIAAABkcnMvZG93bnJldi54bWxQSwECFAAUAAAACACHTuJAMy8FnjsA&#10;AAA5AAAAEAAAAAAAAAABACAAAAAJAQAAZHJzL3NoYXBleG1sLnhtbFBLBQYAAAAABgAGAFsBAACz&#10;AwAAAAA=&#10;">
                          <v:fill type="gradient" on="t" color2="#9CBEE0" focus="100%" focussize="0,0">
                            <o:fill type="gradientUnscaled" v:ext="backwardCompatible"/>
                          </v:fill>
                          <v:stroke weight="1.25pt" color="#739CC3" joinstyle="miter"/>
                          <v:imagedata o:title=""/>
                          <o:lock v:ext="edit" aspectratio="f"/>
                          <v:textbox inset="0.5mm,0.3mm,0.5mm,0.3mm">
                            <w:txbxContent>
                              <w:p>
                                <w:pPr>
                                  <w:ind w:left="0" w:leftChars="0" w:firstLine="0" w:firstLineChars="0"/>
                                  <w:jc w:val="both"/>
                                </w:pPr>
                                <w:r>
                                  <w:rPr>
                                    <w:rFonts w:hint="eastAsia"/>
                                  </w:rPr>
                                  <w:t>包装</w:t>
                                </w:r>
                              </w:p>
                            </w:txbxContent>
                          </v:textbox>
                        </v:rect>
                        <v:shape id="_x0000_s1026" o:spid="_x0000_s1026" o:spt="38" type="#_x0000_t38" style="position:absolute;left:8774;top:588771;height:271;width:482;rotation:5898240f;" filled="f" stroked="t" coordsize="21600,21600" o:gfxdata="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sm6Ns&#10;wAAAANwAAAAPAAAAAAAAAAEAIAAAACIAAABkcnMvZG93bnJldi54bWxQSwECFAAUAAAACACHTuJA&#10;My8FnjsAAAA5AAAAEAAAAAAAAAABACAAAAAPAQAAZHJzL3NoYXBleG1sLnhtbFBLBQYAAAAABgAG&#10;AFsBAAC5AwAAAAA=&#10;" adj="10800">
                          <v:fill on="f" focussize="0,0"/>
                          <v:stroke color="#000000" joinstyle="round" endarrow="block"/>
                          <v:imagedata o:title=""/>
                          <o:lock v:ext="edit" aspectratio="f"/>
                        </v:shape>
                        <v:shape id="_x0000_s1026" o:spid="_x0000_s1026" o:spt="202" type="#_x0000_t202" style="position:absolute;left:8132;top:589148;height:414;width:1898;" filled="f" stroked="t" coordsize="21600,21600" o:gfxdata="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kDC1W/&#10;AAAA3AAAAA8AAAAAAAAAAQAgAAAAIgAAAGRycy9kb3ducmV2LnhtbFBLAQIUABQAAAAIAIdO4kAz&#10;LwWeOwAAADkAAAAQAAAAAAAAAAEAIAAAAA4BAABkcnMvc2hhcGV4bWwueG1sUEsFBgAAAAAGAAYA&#10;WwEAALgDAAAAAA==&#10;">
                          <v:fill on="f" focussize="0,0"/>
                          <v:stroke color="#000000" joinstyle="miter" dashstyle="dash"/>
                          <v:imagedata o:title=""/>
                          <o:lock v:ext="edit" aspectratio="f"/>
                          <v:textbox>
                            <w:txbxContent>
                              <w:p>
                                <w:pPr>
                                  <w:spacing w:line="240" w:lineRule="exact"/>
                                  <w:rPr>
                                    <w:sz w:val="21"/>
                                    <w:szCs w:val="21"/>
                                  </w:rPr>
                                </w:pPr>
                                <w:r>
                                  <w:rPr>
                                    <w:sz w:val="21"/>
                                    <w:szCs w:val="21"/>
                                  </w:rPr>
                                  <w:t>G</w:t>
                                </w:r>
                                <w:r>
                                  <w:rPr>
                                    <w:rFonts w:hint="eastAsia"/>
                                    <w:sz w:val="21"/>
                                    <w:szCs w:val="21"/>
                                    <w:vertAlign w:val="subscript"/>
                                  </w:rPr>
                                  <w:t>1</w:t>
                                </w:r>
                                <w:r>
                                  <w:rPr>
                                    <w:sz w:val="21"/>
                                    <w:szCs w:val="21"/>
                                    <w:vertAlign w:val="subscript"/>
                                  </w:rPr>
                                  <w:t>-</w:t>
                                </w:r>
                                <w:r>
                                  <w:rPr>
                                    <w:rFonts w:hint="eastAsia"/>
                                    <w:sz w:val="21"/>
                                    <w:szCs w:val="21"/>
                                    <w:vertAlign w:val="subscript"/>
                                  </w:rPr>
                                  <w:t>2</w:t>
                                </w:r>
                                <w:r>
                                  <w:rPr>
                                    <w:rFonts w:ascii="宋体" w:hAnsi="宋体"/>
                                    <w:sz w:val="21"/>
                                    <w:szCs w:val="21"/>
                                  </w:rPr>
                                  <w:t>溴化氢，</w:t>
                                </w:r>
                                <w:r>
                                  <w:rPr>
                                    <w:rFonts w:hint="eastAsia" w:ascii="宋体" w:hAnsi="宋体"/>
                                    <w:sz w:val="21"/>
                                    <w:szCs w:val="21"/>
                                  </w:rPr>
                                  <w:t>乙酸</w:t>
                                </w:r>
                              </w:p>
                              <w:p>
                                <w:pPr>
                                  <w:spacing w:line="240" w:lineRule="exact"/>
                                </w:pPr>
                              </w:p>
                            </w:txbxContent>
                          </v:textbox>
                        </v:shape>
                      </v:group>
                    </v:group>
                  </v:group>
                  <v:group id="_x0000_s1026" o:spid="_x0000_s1026" o:spt="203" style="position:absolute;left:4894;top:586280;height:2067;width:7678;" coordorigin="4894,586280" coordsize="7678,2067" o:gfxdata="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cj/IEvwAAANwAAAAPAAAAAAAAAAEAIAAAACIAAABkcnMvZG93bnJldi54&#10;bWxQSwECFAAUAAAACACHTuJAMy8FnjsAAAA5AAAAFQAAAAAAAAABACAAAAAOAQAAZHJzL2dyb3Vw&#10;c2hhcGV4bWwueG1sUEsFBgAAAAAGAAYAYAEAAMsDAAAAAA==&#10;">
                    <o:lock v:ext="edit" aspectratio="f"/>
                    <v:rect id="_x0000_s1026" o:spid="_x0000_s1026" o:spt="1" style="position:absolute;left:11196;top:586280;height:525;width:1059;" fillcolor="#FFFFFF" filled="t" stroked="f" coordsize="21600,21600" o:gfxdata="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kR9S6/&#10;AAAA3AAAAA8AAAAAAAAAAQAgAAAAIgAAAGRycy9kb3ducmV2LnhtbFBLAQIUABQAAAAIAIdO4kAz&#10;LwWeOwAAADkAAAAQAAAAAAAAAAEAIAAAAA4BAABkcnMvc2hhcGV4bWwueG1sUEsFBgAAAAAGAAYA&#10;WwEAALgDAAAAAA==&#10;">
                      <v:fill type="gradient" on="t" color2="#FFFFFF" opacity="0f" focus="100%" focussize="0,0"/>
                      <v:stroke on="f" weight="1.25pt"/>
                      <v:imagedata o:title=""/>
                      <o:lock v:ext="edit" aspectratio="f"/>
                      <v:textbox inset="0mm,0.3mm,0mm,0mm">
                        <w:txbxContent>
                          <w:p>
                            <w:pPr>
                              <w:ind w:left="0" w:leftChars="0" w:firstLine="0" w:firstLineChars="0"/>
                              <w:jc w:val="both"/>
                              <w:rPr>
                                <w:sz w:val="21"/>
                                <w:szCs w:val="21"/>
                              </w:rPr>
                            </w:pPr>
                            <w:r>
                              <w:rPr>
                                <w:rFonts w:hint="eastAsia"/>
                                <w:sz w:val="21"/>
                                <w:szCs w:val="21"/>
                              </w:rPr>
                              <w:t>冷冻盐水</w:t>
                            </w:r>
                          </w:p>
                        </w:txbxContent>
                      </v:textbox>
                    </v:rect>
                    <v:line id="_x0000_s1026" o:spid="_x0000_s1026" o:spt="20" style="position:absolute;left:4894;top:586355;height:584;width:0;" filled="f" stroked="t" coordsize="21600,21600" o:gfxdata="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DHJaL4A&#10;AADcAAAADwAAAAAAAAABACAAAAAiAAAAZHJzL2Rvd25yZXYueG1sUEsBAhQAFAAAAAgAh07iQDMv&#10;BZ47AAAAOQAAABAAAAAAAAAAAQAgAAAADQEAAGRycy9zaGFwZXhtbC54bWxQSwUGAAAAAAYABgBb&#10;AQAAtwMAAAAA&#10;">
                      <v:fill on="f" focussize="0,0"/>
                      <v:stroke weight="1.25pt" color="#000000" joinstyle="round" endarrow="block"/>
                      <v:imagedata o:title=""/>
                      <o:lock v:ext="edit" aspectratio="f"/>
                    </v:line>
                    <v:line id="_x0000_s1026" o:spid="_x0000_s1026" o:spt="20" style="position:absolute;left:9562;top:588347;flip:x y;height:0;width:903;" filled="f" stroked="t" coordsize="21600,21600" o:gfxdata="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hzHwvQAA&#10;ANwAAAAPAAAAAAAAAAEAIAAAACIAAABkcnMvZG93bnJldi54bWxQSwECFAAUAAAACACHTuJAMy8F&#10;njsAAAA5AAAAEAAAAAAAAAABACAAAAAMAQAAZHJzL3NoYXBleG1sLnhtbFBLBQYAAAAABgAGAFsB&#10;AAC2AwAAAAA=&#10;">
                      <v:fill on="f" focussize="0,0"/>
                      <v:stroke weight="1.25pt" color="#000000" joinstyle="round" endarrow="block"/>
                      <v:imagedata o:title=""/>
                      <o:lock v:ext="edit" aspectratio="f"/>
                    </v:line>
                    <v:line id="_x0000_s1026" o:spid="_x0000_s1026" o:spt="20" style="position:absolute;left:11268;top:587567;height:539;width:0;" filled="f" stroked="t" coordsize="21600,21600" o:gfxdata="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6/yhL4A&#10;AADcAAAADwAAAAAAAAABACAAAAAiAAAAZHJzL2Rvd25yZXYueG1sUEsBAhQAFAAAAAgAh07iQDMv&#10;BZ47AAAAOQAAABAAAAAAAAAAAQAgAAAADQEAAGRycy9zaGFwZXhtbC54bWxQSwUGAAAAAAYABgBb&#10;AQAAtwMAAAAA&#10;">
                      <v:fill on="f" focussize="0,0"/>
                      <v:stroke weight="1.25pt" color="#000000" joinstyle="round" endarrow="block"/>
                      <v:imagedata o:title=""/>
                      <o:lock v:ext="edit" aspectratio="f"/>
                    </v:line>
                    <v:line id="_x0000_s1026" o:spid="_x0000_s1026" o:spt="20" style="position:absolute;left:9435;top:586590;height:425;width:0;" filled="f" stroked="t" coordsize="21600,21600" o:gfxdata="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EZq8L4A&#10;AADcAAAADwAAAAAAAAABACAAAAAiAAAAZHJzL2Rvd25yZXYueG1sUEsBAhQAFAAAAAgAh07iQDMv&#10;BZ47AAAAOQAAABAAAAAAAAAAAQAgAAAADQEAAGRycy9zaGFwZXhtbC54bWxQSwUGAAAAAAYABgBb&#10;AQAAtwMAAAAA&#10;">
                      <v:fill on="f" focussize="0,0"/>
                      <v:stroke weight="1.25pt" color="#000000" joinstyle="round" endarrow="block"/>
                      <v:imagedata o:title=""/>
                      <o:lock v:ext="edit" aspectratio="f"/>
                    </v:line>
                    <v:shape id="_x0000_s1026" o:spid="_x0000_s1026" o:spt="32" type="#_x0000_t32" style="position:absolute;left:8802;top:586610;flip:x;height:0;width:633;" filled="f" stroked="t" coordsize="21600,21600" o:gfxdata="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Xev5i/&#10;AAAA3AAAAA8AAAAAAAAAAQAgAAAAIgAAAGRycy9kb3ducmV2LnhtbFBLAQIUABQAAAAIAIdO4kAz&#10;LwWeOwAAADkAAAAQAAAAAAAAAAEAIAAAAA4BAABkcnMvc2hhcGV4bWwueG1sUEsFBgAAAAAGAAYA&#10;WwEAALgDAAAAAA==&#10;">
                      <v:fill on="f" focussize="0,0"/>
                      <v:stroke weight="1.25pt" color="#000000" joinstyle="round"/>
                      <v:imagedata o:title=""/>
                      <o:lock v:ext="edit" aspectratio="f"/>
                    </v:shape>
                    <v:line id="_x0000_s1026" o:spid="_x0000_s1026" o:spt="20" style="position:absolute;left:12060;top:588347;flip:x y;height:0;width:513;" filled="f" stroked="t" coordsize="21600,21600" o:gfxdata="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BvDfzvQAA&#10;ANwAAAAPAAAAAAAAAAEAIAAAACIAAABkcnMvZG93bnJldi54bWxQSwECFAAUAAAACACHTuJAMy8F&#10;njsAAAA5AAAAEAAAAAAAAAABACAAAAAMAQAAZHJzL3NoYXBleG1sLnhtbFBLBQYAAAAABgAGAFsB&#10;AAC2AwAAAAA=&#10;">
                      <v:fill on="f" focussize="0,0"/>
                      <v:stroke weight="1.25pt" color="#000000" joinstyle="round" endarrow="block"/>
                      <v:imagedata o:title=""/>
                      <o:lock v:ext="edit" aspectratio="f"/>
                    </v:line>
                  </v:group>
                </v:group>
                <w10:wrap type="topAndBottom"/>
              </v:group>
            </w:pict>
          </mc:Fallback>
        </mc:AlternateContent>
      </w:r>
    </w:p>
    <w:p>
      <w:pPr>
        <w:pStyle w:val="10"/>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0" w:firstLineChars="0"/>
        <w:jc w:val="center"/>
        <w:textAlignment w:val="auto"/>
        <w:rPr>
          <w:rFonts w:hint="eastAsia" w:ascii="宋体" w:hAnsi="宋体" w:eastAsia="宋体" w:cs="宋体"/>
          <w:b/>
          <w:caps w:val="0"/>
          <w:smallCaps w:val="0"/>
          <w:color w:val="auto"/>
          <w:spacing w:val="0"/>
          <w:sz w:val="28"/>
          <w:szCs w:val="28"/>
          <w:highlight w:val="none"/>
          <w:u w:val="none" w:color="auto"/>
        </w:rPr>
      </w:pPr>
      <w:r>
        <w:rPr>
          <w:rFonts w:hint="eastAsia" w:ascii="宋体" w:hAnsi="宋体" w:eastAsia="宋体" w:cs="宋体"/>
          <w:b/>
          <w:caps w:val="0"/>
          <w:smallCaps w:val="0"/>
          <w:color w:val="auto"/>
          <w:spacing w:val="0"/>
          <w:sz w:val="28"/>
          <w:szCs w:val="28"/>
          <w:highlight w:val="none"/>
          <w:u w:val="none" w:color="auto"/>
        </w:rPr>
        <w:t>溴化氢乙酸溶液工艺流程和产污环节图</w:t>
      </w:r>
    </w:p>
    <w:bookmarkEnd w:id="142"/>
    <w:p>
      <w:pPr>
        <w:pStyle w:val="9"/>
        <w:pageBreakBefore w:val="0"/>
        <w:numPr>
          <w:ilvl w:val="2"/>
          <w:numId w:val="0"/>
        </w:numPr>
        <w:kinsoku/>
        <w:wordWrap/>
        <w:bidi w:val="0"/>
        <w:spacing w:before="0" w:after="0" w:line="360" w:lineRule="auto"/>
        <w:ind w:right="0" w:rightChars="0"/>
        <w:rPr>
          <w:rFonts w:hint="eastAsia" w:ascii="宋体" w:hAnsi="宋体" w:eastAsia="宋体" w:cs="宋体"/>
          <w:caps w:val="0"/>
          <w:smallCaps w:val="0"/>
          <w:color w:val="auto"/>
          <w:spacing w:val="0"/>
          <w:sz w:val="28"/>
          <w:szCs w:val="28"/>
          <w:highlight w:val="none"/>
          <w:u w:val="none" w:color="auto"/>
        </w:rPr>
      </w:pPr>
      <w:r>
        <w:rPr>
          <w:rFonts w:hint="eastAsia" w:ascii="宋体" w:hAnsi="宋体" w:eastAsia="宋体" w:cs="宋体"/>
          <w:caps w:val="0"/>
          <w:smallCaps w:val="0"/>
          <w:color w:val="auto"/>
          <w:spacing w:val="0"/>
          <w:sz w:val="28"/>
          <w:szCs w:val="28"/>
          <w:highlight w:val="none"/>
          <w:u w:val="none" w:color="auto"/>
          <w:lang w:val="en-US" w:eastAsia="zh-CN"/>
        </w:rPr>
        <w:t>4.2.6</w:t>
      </w:r>
      <w:r>
        <w:rPr>
          <w:rFonts w:hint="eastAsia" w:ascii="宋体" w:hAnsi="宋体" w:eastAsia="宋体" w:cs="宋体"/>
          <w:b/>
          <w:caps w:val="0"/>
          <w:smallCaps w:val="0"/>
          <w:color w:val="auto"/>
          <w:spacing w:val="0"/>
          <w:sz w:val="28"/>
          <w:szCs w:val="28"/>
          <w:highlight w:val="none"/>
          <w:u w:val="none" w:color="auto"/>
        </w:rPr>
        <w:t>三溴新戊醇工艺介绍</w:t>
      </w:r>
    </w:p>
    <w:p>
      <w:pPr>
        <w:pageBreakBefore w:val="0"/>
        <w:kinsoku/>
        <w:wordWrap/>
        <w:bidi w:val="0"/>
        <w:spacing w:line="360" w:lineRule="auto"/>
        <w:ind w:left="0" w:leftChars="0" w:right="0" w:firstLine="560" w:firstLineChars="200"/>
        <w:rPr>
          <w:rFonts w:hint="eastAsia" w:ascii="宋体" w:hAnsi="宋体" w:eastAsia="宋体" w:cs="宋体"/>
          <w:b w:val="0"/>
          <w:bCs/>
          <w:caps w:val="0"/>
          <w:smallCaps w:val="0"/>
          <w:color w:val="auto"/>
          <w:spacing w:val="0"/>
          <w:sz w:val="28"/>
          <w:szCs w:val="28"/>
          <w:highlight w:val="none"/>
          <w:u w:val="none" w:color="auto"/>
        </w:rPr>
      </w:pPr>
      <w:r>
        <w:rPr>
          <w:rFonts w:hint="eastAsia" w:ascii="宋体" w:hAnsi="宋体" w:eastAsia="宋体" w:cs="宋体"/>
          <w:b w:val="0"/>
          <w:bCs/>
          <w:caps w:val="0"/>
          <w:smallCaps w:val="0"/>
          <w:color w:val="auto"/>
          <w:spacing w:val="0"/>
          <w:sz w:val="28"/>
          <w:szCs w:val="28"/>
          <w:highlight w:val="none"/>
          <w:u w:val="none" w:color="auto"/>
        </w:rPr>
        <w:t>本次扩建工程采用自产的溴化氢和外购的季戊四醇合成三溴新戊醇。三溴新戊醇生产工段为间歇式生产，设置4条生产线。单条生产线每批生产能力约为750kg，全年共生产267批次，每批次生产周期约为48小时（按取代反应时间计算，并考虑物料转移时间）。取代反应以季戊四醇为主反应物总的转化率为95%，产品的得率为94%。</w:t>
      </w:r>
    </w:p>
    <w:p>
      <w:pPr>
        <w:pageBreakBefore w:val="0"/>
        <w:kinsoku/>
        <w:wordWrap/>
        <w:bidi w:val="0"/>
        <w:spacing w:line="360" w:lineRule="auto"/>
        <w:ind w:left="0" w:leftChars="0" w:right="0" w:firstLine="560" w:firstLineChars="200"/>
        <w:rPr>
          <w:rFonts w:hint="eastAsia" w:ascii="宋体" w:hAnsi="宋体" w:eastAsia="宋体" w:cs="宋体"/>
          <w:b w:val="0"/>
          <w:bCs/>
          <w:caps w:val="0"/>
          <w:smallCaps w:val="0"/>
          <w:color w:val="auto"/>
          <w:spacing w:val="0"/>
          <w:kern w:val="2"/>
          <w:sz w:val="28"/>
          <w:szCs w:val="28"/>
          <w:highlight w:val="none"/>
          <w:u w:val="none" w:color="auto"/>
          <w:lang w:val="en-US" w:eastAsia="zh-CN" w:bidi="ar-SA"/>
        </w:rPr>
      </w:pPr>
      <w:r>
        <w:rPr>
          <w:rFonts w:hint="eastAsia" w:ascii="宋体" w:hAnsi="宋体" w:eastAsia="宋体" w:cs="宋体"/>
          <w:b w:val="0"/>
          <w:bCs/>
          <w:caps w:val="0"/>
          <w:smallCaps w:val="0"/>
          <w:color w:val="auto"/>
          <w:spacing w:val="0"/>
          <w:sz w:val="28"/>
          <w:szCs w:val="28"/>
          <w:highlight w:val="none"/>
          <w:u w:val="none" w:color="auto"/>
          <w:lang w:val="en-US" w:eastAsia="zh-CN"/>
        </w:rPr>
        <w:t>投料孔人工投加计量好的季戊四醇，然后关闭投料孔，通过隔膜泵向溴化釜中投加定量的乙酸（作为溶剂），检查反应釜放空系统及冷凝系统是否打开，蒸汽加热至100℃，通入定量的溴化氢约5小时，通入结束后保温10小时进行反应，乙酸和氯化氢投加过程及保温反应过程会有含溴化氢和乙酸废气从反应釜排气孔排出。季戊四醇和溴化氢投加量的摩尔比为1：4。保温结束后，打开蒸馏釜的进料阀，打开反应釜的底阀，将物料由空压机压至蒸馏釜。取代反应工段结束后的物料送入蒸馏釜，控制釜内温度至100℃，将反应生成的水蒸发出来，经冷凝后送往污水处理站，随后将釜内温度控制在120℃，负压下将乙酸蒸出（乙酸经冷凝后回收至中间罐中，直至反应釜无液体，回收的乙酸回用至取代反应），乙酸冷凝过程中会有少量的不凝气排出。开启反应釜冷却水，将物料冷却至60℃，由釜内的负压下，通过密闭管道向蒸馏釜中泵入甲醇（作为溶剂）和活性炭（甲醇预先加活性炭搅匀），脱色</w:t>
      </w:r>
      <w:r>
        <w:rPr>
          <w:rFonts w:hint="eastAsia" w:ascii="宋体" w:hAnsi="宋体" w:eastAsia="宋体" w:cs="宋体"/>
          <w:b w:val="0"/>
          <w:bCs/>
          <w:caps w:val="0"/>
          <w:smallCaps w:val="0"/>
          <w:color w:val="auto"/>
          <w:spacing w:val="0"/>
          <w:kern w:val="2"/>
          <w:sz w:val="28"/>
          <w:szCs w:val="28"/>
          <w:highlight w:val="none"/>
          <w:u w:val="none" w:color="auto"/>
          <w:lang w:val="en-US" w:eastAsia="zh-CN" w:bidi="ar-SA"/>
        </w:rPr>
        <w:t>。检查蒸馏釜各系统是否关闭，开启蒸馏釜进料阀门，打开脱色釜釜底阀门，然后物料经过棒式压滤机脱除废活性炭后，由空压机压至蒸馏釜。物料进入蒸馏塔后，首先将釜内温度升至76℃，常压回收甲醇，对物料中的甲醇蒸发冷凝进行回收，回收的甲醇回用至脱色工段，蒸馏冷凝过程会有少量不凝气产生。蒸馏后的釜底物进行析晶。用冷冻盐水将精馏釜降温至20℃，向釜底物中加入2000L的水进行析晶。随后进行离心分离工段。析晶后的混合液通过管道进入密闭式离心机，溶液在高速离心过程中会有少量的含甲醇废气从排气孔排出。离心液去污水处理站。离心固体进行烘干。即得到产品三溴新戊醇，烘干得到的产品为晶体状，颗粒较大，此过程无粉尘产生。</w:t>
      </w:r>
    </w:p>
    <w:p>
      <w:pPr>
        <w:pageBreakBefore w:val="0"/>
        <w:kinsoku/>
        <w:wordWrap/>
        <w:bidi w:val="0"/>
        <w:spacing w:line="360" w:lineRule="auto"/>
        <w:ind w:left="0" w:leftChars="0" w:right="0" w:firstLine="560" w:firstLineChars="200"/>
        <w:rPr>
          <w:rFonts w:hint="eastAsia" w:ascii="宋体" w:hAnsi="宋体" w:eastAsia="宋体" w:cs="宋体"/>
          <w:b w:val="0"/>
          <w:bCs/>
          <w:caps w:val="0"/>
          <w:smallCaps w:val="0"/>
          <w:color w:val="auto"/>
          <w:spacing w:val="0"/>
          <w:kern w:val="2"/>
          <w:sz w:val="28"/>
          <w:szCs w:val="28"/>
          <w:highlight w:val="none"/>
          <w:u w:val="none" w:color="auto"/>
          <w:lang w:val="en-US" w:eastAsia="zh-CN" w:bidi="ar-SA"/>
        </w:rPr>
      </w:pPr>
      <w:r>
        <w:rPr>
          <w:rFonts w:hint="eastAsia" w:ascii="宋体" w:hAnsi="宋体" w:eastAsia="宋体" w:cs="宋体"/>
          <w:b w:val="0"/>
          <w:bCs/>
          <w:caps w:val="0"/>
          <w:smallCaps w:val="0"/>
          <w:color w:val="auto"/>
          <w:spacing w:val="0"/>
          <w:kern w:val="2"/>
          <w:sz w:val="28"/>
          <w:szCs w:val="28"/>
          <w:highlight w:val="none"/>
          <w:u w:val="none" w:color="auto"/>
          <w:lang w:val="en-US" w:eastAsia="zh-CN" w:bidi="ar-SA"/>
        </w:rPr>
        <w:t>生产过程产生的污染物为：废气：取代反应废气G2-1，主要污染物为溴化氢和乙酸；乙酸回收工序产生的废气G2-2，主要污染物为乙酸；甲醇回收工序产生的废气G2-3，主要污染物为甲醇；离心废气G2-4，主要污染物为甲醇；烘干废气G2-5，主要污染物为甲醇。废水：乙酸回收过程产生的废水W2-1，主要污染物为乙酸；离心废水W2-2主要污染物为甲醇。噪声：主要为空压机、泵等高噪声设备产生的噪声。</w:t>
      </w:r>
    </w:p>
    <w:p>
      <w:pPr>
        <w:pageBreakBefore w:val="0"/>
        <w:kinsoku/>
        <w:wordWrap/>
        <w:bidi w:val="0"/>
        <w:spacing w:line="360" w:lineRule="auto"/>
        <w:ind w:left="0" w:leftChars="0" w:right="0" w:firstLine="560" w:firstLineChars="200"/>
        <w:rPr>
          <w:rFonts w:hint="eastAsia" w:ascii="宋体" w:hAnsi="宋体" w:eastAsia="宋体" w:cs="宋体"/>
          <w:b w:val="0"/>
          <w:bCs/>
          <w:caps w:val="0"/>
          <w:smallCaps w:val="0"/>
          <w:color w:val="auto"/>
          <w:spacing w:val="0"/>
          <w:kern w:val="2"/>
          <w:sz w:val="28"/>
          <w:szCs w:val="28"/>
          <w:highlight w:val="none"/>
          <w:u w:val="none" w:color="auto"/>
          <w:lang w:val="en-US" w:eastAsia="zh-CN" w:bidi="ar-SA"/>
        </w:rPr>
      </w:pPr>
      <w:r>
        <w:rPr>
          <w:rFonts w:hint="eastAsia" w:ascii="宋体" w:hAnsi="宋体" w:eastAsia="宋体" w:cs="宋体"/>
          <w:b w:val="0"/>
          <w:bCs/>
          <w:caps w:val="0"/>
          <w:smallCaps w:val="0"/>
          <w:color w:val="auto"/>
          <w:spacing w:val="0"/>
          <w:kern w:val="2"/>
          <w:sz w:val="28"/>
          <w:szCs w:val="28"/>
          <w:highlight w:val="none"/>
          <w:u w:val="none" w:color="auto"/>
          <w:lang w:val="en-US" w:eastAsia="zh-CN" w:bidi="ar-SA"/>
        </w:rPr>
        <w:t>固废：脱色过程产生的废活性炭S2-1。蒸馏过程和乙酸回收过程需要使用真空泵，本项目采用机械真空泵，抽真空过程中将产生真空废气。项目生产工艺流程及污染物产生点位见下图。</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0" w:firstLineChars="0"/>
        <w:jc w:val="center"/>
        <w:textAlignment w:val="auto"/>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drawing>
          <wp:inline distT="0" distB="0" distL="114300" distR="114300">
            <wp:extent cx="4434840" cy="5943600"/>
            <wp:effectExtent l="0" t="0" r="10160" b="0"/>
            <wp:docPr id="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pic:cNvPicPr>
                      <a:picLocks noChangeAspect="1"/>
                    </pic:cNvPicPr>
                  </pic:nvPicPr>
                  <pic:blipFill>
                    <a:blip r:embed="rId14"/>
                    <a:stretch>
                      <a:fillRect/>
                    </a:stretch>
                  </pic:blipFill>
                  <pic:spPr>
                    <a:xfrm>
                      <a:off x="0" y="0"/>
                      <a:ext cx="4434840" cy="594360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0" w:firstLineChars="0"/>
        <w:jc w:val="center"/>
        <w:textAlignment w:val="auto"/>
        <w:rPr>
          <w:rFonts w:hint="eastAsia" w:ascii="宋体" w:hAnsi="宋体" w:eastAsia="宋体" w:cs="宋体"/>
          <w:b/>
          <w:caps w:val="0"/>
          <w:smallCaps w:val="0"/>
          <w:color w:val="auto"/>
          <w:spacing w:val="0"/>
          <w:kern w:val="0"/>
          <w:sz w:val="28"/>
          <w:szCs w:val="28"/>
          <w:highlight w:val="none"/>
          <w:u w:val="none" w:color="auto"/>
        </w:rPr>
      </w:pPr>
      <w:r>
        <w:rPr>
          <w:rFonts w:hint="eastAsia" w:ascii="宋体" w:hAnsi="宋体" w:eastAsia="宋体" w:cs="宋体"/>
          <w:b/>
          <w:caps w:val="0"/>
          <w:smallCaps w:val="0"/>
          <w:color w:val="auto"/>
          <w:spacing w:val="0"/>
          <w:kern w:val="0"/>
          <w:sz w:val="28"/>
          <w:szCs w:val="28"/>
          <w:highlight w:val="none"/>
          <w:u w:val="none" w:color="auto"/>
        </w:rPr>
        <w:t>三溴新戊醇制备工艺流程及产污环节图</w:t>
      </w:r>
    </w:p>
    <w:p>
      <w:pPr>
        <w:pStyle w:val="9"/>
        <w:pageBreakBefore w:val="0"/>
        <w:numPr>
          <w:ilvl w:val="2"/>
          <w:numId w:val="0"/>
        </w:numPr>
        <w:kinsoku/>
        <w:wordWrap/>
        <w:bidi w:val="0"/>
        <w:spacing w:before="0" w:after="0" w:line="360" w:lineRule="auto"/>
        <w:ind w:right="0" w:rightChars="0"/>
        <w:rPr>
          <w:rFonts w:hint="eastAsia" w:ascii="宋体" w:hAnsi="宋体" w:eastAsia="宋体" w:cs="宋体"/>
          <w:b/>
          <w:caps w:val="0"/>
          <w:smallCaps w:val="0"/>
          <w:color w:val="auto"/>
          <w:spacing w:val="0"/>
          <w:sz w:val="28"/>
          <w:szCs w:val="28"/>
          <w:highlight w:val="none"/>
          <w:u w:val="none" w:color="auto"/>
        </w:rPr>
      </w:pPr>
      <w:r>
        <w:rPr>
          <w:rFonts w:hint="eastAsia" w:ascii="宋体" w:hAnsi="宋体" w:eastAsia="宋体" w:cs="宋体"/>
          <w:b/>
          <w:caps w:val="0"/>
          <w:smallCaps w:val="0"/>
          <w:color w:val="auto"/>
          <w:spacing w:val="0"/>
          <w:sz w:val="28"/>
          <w:szCs w:val="28"/>
          <w:highlight w:val="none"/>
          <w:u w:val="none" w:color="auto"/>
          <w:lang w:val="en-US" w:eastAsia="zh-CN"/>
        </w:rPr>
        <w:t>4.2.7</w:t>
      </w:r>
      <w:r>
        <w:rPr>
          <w:rFonts w:hint="eastAsia" w:ascii="宋体" w:hAnsi="宋体" w:eastAsia="宋体" w:cs="宋体"/>
          <w:b/>
          <w:caps w:val="0"/>
          <w:smallCaps w:val="0"/>
          <w:color w:val="auto"/>
          <w:spacing w:val="0"/>
          <w:sz w:val="28"/>
          <w:szCs w:val="28"/>
          <w:highlight w:val="none"/>
          <w:u w:val="none" w:color="auto"/>
        </w:rPr>
        <w:t>三溴磷酸酯工艺介绍</w:t>
      </w:r>
    </w:p>
    <w:p>
      <w:pPr>
        <w:pStyle w:val="10"/>
        <w:pageBreakBefore w:val="0"/>
        <w:kinsoku/>
        <w:wordWrap/>
        <w:bidi w:val="0"/>
        <w:spacing w:line="360" w:lineRule="auto"/>
        <w:ind w:left="0" w:leftChars="0" w:right="0" w:firstLine="560" w:firstLineChars="200"/>
        <w:rPr>
          <w:rFonts w:hint="eastAsia" w:ascii="宋体" w:hAnsi="宋体" w:eastAsia="宋体" w:cs="宋体"/>
          <w:b w:val="0"/>
          <w:bCs w:val="0"/>
          <w:caps w:val="0"/>
          <w:smallCaps w:val="0"/>
          <w:color w:val="auto"/>
          <w:spacing w:val="0"/>
          <w:sz w:val="28"/>
          <w:szCs w:val="28"/>
          <w:highlight w:val="none"/>
          <w:u w:val="none" w:color="auto"/>
        </w:rPr>
      </w:pPr>
      <w:r>
        <w:rPr>
          <w:rFonts w:hint="eastAsia" w:ascii="宋体" w:hAnsi="宋体" w:eastAsia="宋体" w:cs="宋体"/>
          <w:b w:val="0"/>
          <w:bCs w:val="0"/>
          <w:caps w:val="0"/>
          <w:smallCaps w:val="0"/>
          <w:color w:val="auto"/>
          <w:spacing w:val="0"/>
          <w:sz w:val="28"/>
          <w:szCs w:val="28"/>
          <w:highlight w:val="none"/>
          <w:u w:val="none" w:color="auto"/>
        </w:rPr>
        <w:t>本次扩建工程三溴磷酸酯生产为间歇式生产。单条生产线每批次生产生产能力约为0.5t。全年共生产400批次，车间内建设一条生产线，每批次生产周期约为10小时。缩合反应：人工向合成反应釜中投入486kg的三溴新戊醇和定量的三氯化铝（催化剂），然后通过管道泵入800kg氯苯（作为溶剂），搅拌，加热到120℃，开始滴加三氯氧磷（三溴新戊醇和三溴磷酸酯投加量摩尔比为3：1），温度控制在120-125℃，滴加3小时，滴加完毕降温至40℃备用。反应过程产生的HCl气体经反应釜顶冷却器冷却后进入三级降膜吸收塔，被吸收成副产品25%的盐酸溶液，冷凝过程中会有少量不凝废气产生。由储槽暂存后作为在建工程原料使用。结晶：缩合反应结束后，水解结晶釜中加入一定量水，开启水解结晶釜进料阀门，打开缩合釜底阀，将缩合反应的物料由空压机压至水解结晶釜，搅拌水解，再向反应釜中加入碳酸钠（中和PH）然后搅拌，进行结晶。离心：水解结晶釜中控制温度在30-40℃，结晶完成后搅拌半小时，离心，离心母液进行静置分层，下层氯苯至回收釜，氯苯回收回用至合成釜，水层去污水处理站。氯苯回收：分层后的氯苯，在母液反应釜中控制常压下，温度控制在135℃进行蒸馏，蒸馏出的气体进行二级水冷即得到氯苯，储存至回收罐中。冷凝过程中会有少量含氯苯不凝气产生，反应釜底残余物作为危险废物放在危险废物暂存间暂存。烘干：离心固体在厢式烘房内进行干燥（温度100℃）12小时，得到产品三溴磷酸酯。烘干过程将产生少量含氯苯废气产生。粉碎：将烘干后的三溴磷酸酯人工投入至粉碎机进行粉碎，粉碎过程中有少量粉尘产生，粉碎机配套有袋式除尘器，对粉碎产生的粉尘进行收集，袋式除尘器收集到的粉尘直接作为产品外售。</w:t>
      </w:r>
    </w:p>
    <w:p>
      <w:pPr>
        <w:pageBreakBefore w:val="0"/>
        <w:kinsoku/>
        <w:wordWrap/>
        <w:bidi w:val="0"/>
        <w:spacing w:line="360" w:lineRule="auto"/>
        <w:ind w:left="0" w:leftChars="0" w:right="0" w:firstLine="560" w:firstLineChars="200"/>
        <w:rPr>
          <w:rFonts w:hint="eastAsia" w:ascii="宋体" w:hAnsi="宋体" w:eastAsia="宋体" w:cs="宋体"/>
          <w:b w:val="0"/>
          <w:bCs w:val="0"/>
          <w:caps w:val="0"/>
          <w:smallCaps w:val="0"/>
          <w:color w:val="auto"/>
          <w:spacing w:val="0"/>
          <w:sz w:val="28"/>
          <w:szCs w:val="28"/>
          <w:highlight w:val="none"/>
          <w:u w:val="none" w:color="auto"/>
        </w:rPr>
      </w:pPr>
      <w:r>
        <w:rPr>
          <w:rFonts w:hint="eastAsia" w:ascii="宋体" w:hAnsi="宋体" w:eastAsia="宋体" w:cs="宋体"/>
          <w:b w:val="0"/>
          <w:bCs w:val="0"/>
          <w:caps w:val="0"/>
          <w:smallCaps w:val="0"/>
          <w:color w:val="auto"/>
          <w:spacing w:val="0"/>
          <w:sz w:val="28"/>
          <w:szCs w:val="28"/>
          <w:highlight w:val="none"/>
          <w:u w:val="none" w:color="auto"/>
        </w:rPr>
        <w:t>此过程产生的污染物主要为：废气：缩合反应产生的氯化氢吸收尾气G</w:t>
      </w:r>
      <w:r>
        <w:rPr>
          <w:rFonts w:hint="eastAsia" w:ascii="宋体" w:hAnsi="宋体" w:eastAsia="宋体" w:cs="宋体"/>
          <w:b w:val="0"/>
          <w:bCs w:val="0"/>
          <w:caps w:val="0"/>
          <w:smallCaps w:val="0"/>
          <w:color w:val="auto"/>
          <w:spacing w:val="0"/>
          <w:sz w:val="28"/>
          <w:szCs w:val="28"/>
          <w:highlight w:val="none"/>
          <w:u w:val="none" w:color="auto"/>
          <w:vertAlign w:val="subscript"/>
        </w:rPr>
        <w:t>3-1</w:t>
      </w:r>
      <w:r>
        <w:rPr>
          <w:rFonts w:hint="eastAsia" w:ascii="宋体" w:hAnsi="宋体" w:eastAsia="宋体" w:cs="宋体"/>
          <w:b w:val="0"/>
          <w:bCs w:val="0"/>
          <w:caps w:val="0"/>
          <w:smallCaps w:val="0"/>
          <w:color w:val="auto"/>
          <w:spacing w:val="0"/>
          <w:sz w:val="28"/>
          <w:szCs w:val="28"/>
          <w:highlight w:val="none"/>
          <w:u w:val="none" w:color="auto"/>
        </w:rPr>
        <w:t>，主要成分为氯化氢；结晶搅拌过程中产生的废气G</w:t>
      </w:r>
      <w:r>
        <w:rPr>
          <w:rFonts w:hint="eastAsia" w:ascii="宋体" w:hAnsi="宋体" w:eastAsia="宋体" w:cs="宋体"/>
          <w:b w:val="0"/>
          <w:bCs w:val="0"/>
          <w:caps w:val="0"/>
          <w:smallCaps w:val="0"/>
          <w:color w:val="auto"/>
          <w:spacing w:val="0"/>
          <w:sz w:val="28"/>
          <w:szCs w:val="28"/>
          <w:highlight w:val="none"/>
          <w:u w:val="none" w:color="auto"/>
          <w:vertAlign w:val="subscript"/>
        </w:rPr>
        <w:t>3-2</w:t>
      </w:r>
      <w:r>
        <w:rPr>
          <w:rFonts w:hint="eastAsia" w:ascii="宋体" w:hAnsi="宋体" w:eastAsia="宋体" w:cs="宋体"/>
          <w:b w:val="0"/>
          <w:bCs w:val="0"/>
          <w:caps w:val="0"/>
          <w:smallCaps w:val="0"/>
          <w:color w:val="auto"/>
          <w:spacing w:val="0"/>
          <w:sz w:val="28"/>
          <w:szCs w:val="28"/>
          <w:highlight w:val="none"/>
          <w:u w:val="none" w:color="auto"/>
        </w:rPr>
        <w:t>，主要成分为CO</w:t>
      </w:r>
      <w:r>
        <w:rPr>
          <w:rFonts w:hint="eastAsia" w:ascii="宋体" w:hAnsi="宋体" w:eastAsia="宋体" w:cs="宋体"/>
          <w:b w:val="0"/>
          <w:bCs w:val="0"/>
          <w:caps w:val="0"/>
          <w:smallCaps w:val="0"/>
          <w:color w:val="auto"/>
          <w:spacing w:val="0"/>
          <w:sz w:val="28"/>
          <w:szCs w:val="28"/>
          <w:highlight w:val="none"/>
          <w:u w:val="none" w:color="auto"/>
          <w:vertAlign w:val="subscript"/>
        </w:rPr>
        <w:t>2</w:t>
      </w:r>
      <w:r>
        <w:rPr>
          <w:rFonts w:hint="eastAsia" w:ascii="宋体" w:hAnsi="宋体" w:eastAsia="宋体" w:cs="宋体"/>
          <w:b w:val="0"/>
          <w:bCs w:val="0"/>
          <w:caps w:val="0"/>
          <w:smallCaps w:val="0"/>
          <w:color w:val="auto"/>
          <w:spacing w:val="0"/>
          <w:sz w:val="28"/>
          <w:szCs w:val="28"/>
          <w:highlight w:val="none"/>
          <w:u w:val="none" w:color="auto"/>
        </w:rPr>
        <w:t>；氯苯回收工序产生的不凝气G</w:t>
      </w:r>
      <w:r>
        <w:rPr>
          <w:rFonts w:hint="eastAsia" w:ascii="宋体" w:hAnsi="宋体" w:eastAsia="宋体" w:cs="宋体"/>
          <w:b w:val="0"/>
          <w:bCs w:val="0"/>
          <w:caps w:val="0"/>
          <w:smallCaps w:val="0"/>
          <w:color w:val="auto"/>
          <w:spacing w:val="0"/>
          <w:sz w:val="28"/>
          <w:szCs w:val="28"/>
          <w:highlight w:val="none"/>
          <w:u w:val="none" w:color="auto"/>
          <w:vertAlign w:val="subscript"/>
        </w:rPr>
        <w:t>3-3</w:t>
      </w:r>
      <w:r>
        <w:rPr>
          <w:rFonts w:hint="eastAsia" w:ascii="宋体" w:hAnsi="宋体" w:eastAsia="宋体" w:cs="宋体"/>
          <w:b w:val="0"/>
          <w:bCs w:val="0"/>
          <w:caps w:val="0"/>
          <w:smallCaps w:val="0"/>
          <w:color w:val="auto"/>
          <w:spacing w:val="0"/>
          <w:sz w:val="28"/>
          <w:szCs w:val="28"/>
          <w:highlight w:val="none"/>
          <w:u w:val="none" w:color="auto"/>
        </w:rPr>
        <w:t>，主要成分为氯苯；粉碎废气G</w:t>
      </w:r>
      <w:r>
        <w:rPr>
          <w:rFonts w:hint="eastAsia" w:ascii="宋体" w:hAnsi="宋体" w:eastAsia="宋体" w:cs="宋体"/>
          <w:b w:val="0"/>
          <w:bCs w:val="0"/>
          <w:caps w:val="0"/>
          <w:smallCaps w:val="0"/>
          <w:color w:val="auto"/>
          <w:spacing w:val="0"/>
          <w:sz w:val="28"/>
          <w:szCs w:val="28"/>
          <w:highlight w:val="none"/>
          <w:u w:val="none" w:color="auto"/>
          <w:vertAlign w:val="subscript"/>
        </w:rPr>
        <w:t>3-4</w:t>
      </w:r>
      <w:r>
        <w:rPr>
          <w:rFonts w:hint="eastAsia" w:ascii="宋体" w:hAnsi="宋体" w:eastAsia="宋体" w:cs="宋体"/>
          <w:b w:val="0"/>
          <w:bCs w:val="0"/>
          <w:caps w:val="0"/>
          <w:smallCaps w:val="0"/>
          <w:color w:val="auto"/>
          <w:spacing w:val="0"/>
          <w:sz w:val="28"/>
          <w:szCs w:val="28"/>
          <w:highlight w:val="none"/>
          <w:u w:val="none" w:color="auto"/>
        </w:rPr>
        <w:t>，主要为粉尘；包装废气G</w:t>
      </w:r>
      <w:r>
        <w:rPr>
          <w:rFonts w:hint="eastAsia" w:ascii="宋体" w:hAnsi="宋体" w:eastAsia="宋体" w:cs="宋体"/>
          <w:b w:val="0"/>
          <w:bCs w:val="0"/>
          <w:caps w:val="0"/>
          <w:smallCaps w:val="0"/>
          <w:color w:val="auto"/>
          <w:spacing w:val="0"/>
          <w:sz w:val="28"/>
          <w:szCs w:val="28"/>
          <w:highlight w:val="none"/>
          <w:u w:val="none" w:color="auto"/>
          <w:vertAlign w:val="subscript"/>
        </w:rPr>
        <w:t>3-5</w:t>
      </w:r>
      <w:r>
        <w:rPr>
          <w:rFonts w:hint="eastAsia" w:ascii="宋体" w:hAnsi="宋体" w:eastAsia="宋体" w:cs="宋体"/>
          <w:b w:val="0"/>
          <w:bCs w:val="0"/>
          <w:caps w:val="0"/>
          <w:smallCaps w:val="0"/>
          <w:color w:val="auto"/>
          <w:spacing w:val="0"/>
          <w:sz w:val="28"/>
          <w:szCs w:val="28"/>
          <w:highlight w:val="none"/>
          <w:u w:val="none" w:color="auto"/>
        </w:rPr>
        <w:t>，主要为粉尘。废水：分层工序产生的废水W</w:t>
      </w:r>
      <w:r>
        <w:rPr>
          <w:rFonts w:hint="eastAsia" w:ascii="宋体" w:hAnsi="宋体" w:eastAsia="宋体" w:cs="宋体"/>
          <w:b w:val="0"/>
          <w:bCs w:val="0"/>
          <w:caps w:val="0"/>
          <w:smallCaps w:val="0"/>
          <w:color w:val="auto"/>
          <w:spacing w:val="0"/>
          <w:sz w:val="28"/>
          <w:szCs w:val="28"/>
          <w:highlight w:val="none"/>
          <w:u w:val="none" w:color="auto"/>
          <w:vertAlign w:val="subscript"/>
        </w:rPr>
        <w:t>3-1</w:t>
      </w:r>
      <w:r>
        <w:rPr>
          <w:rFonts w:hint="eastAsia" w:ascii="宋体" w:hAnsi="宋体" w:eastAsia="宋体" w:cs="宋体"/>
          <w:b w:val="0"/>
          <w:bCs w:val="0"/>
          <w:caps w:val="0"/>
          <w:smallCaps w:val="0"/>
          <w:color w:val="auto"/>
          <w:spacing w:val="0"/>
          <w:sz w:val="28"/>
          <w:szCs w:val="28"/>
          <w:highlight w:val="none"/>
          <w:u w:val="none" w:color="auto"/>
        </w:rPr>
        <w:t>。固废：减压蒸馏工序产生的固废S</w:t>
      </w:r>
      <w:r>
        <w:rPr>
          <w:rFonts w:hint="eastAsia" w:ascii="宋体" w:hAnsi="宋体" w:eastAsia="宋体" w:cs="宋体"/>
          <w:b w:val="0"/>
          <w:bCs w:val="0"/>
          <w:caps w:val="0"/>
          <w:smallCaps w:val="0"/>
          <w:color w:val="auto"/>
          <w:spacing w:val="0"/>
          <w:sz w:val="28"/>
          <w:szCs w:val="28"/>
          <w:highlight w:val="none"/>
          <w:u w:val="none" w:color="auto"/>
          <w:vertAlign w:val="subscript"/>
        </w:rPr>
        <w:t>3-1</w:t>
      </w:r>
      <w:r>
        <w:rPr>
          <w:rFonts w:hint="eastAsia" w:ascii="宋体" w:hAnsi="宋体" w:eastAsia="宋体" w:cs="宋体"/>
          <w:b w:val="0"/>
          <w:bCs w:val="0"/>
          <w:caps w:val="0"/>
          <w:smallCaps w:val="0"/>
          <w:color w:val="auto"/>
          <w:spacing w:val="0"/>
          <w:sz w:val="28"/>
          <w:szCs w:val="28"/>
          <w:highlight w:val="none"/>
          <w:u w:val="none" w:color="auto"/>
        </w:rPr>
        <w:t>，主要成分为三溴磷酸酯、氯苯和有机杂质。</w:t>
      </w:r>
    </w:p>
    <w:p>
      <w:pPr>
        <w:pageBreakBefore w:val="0"/>
        <w:kinsoku/>
        <w:wordWrap/>
        <w:bidi w:val="0"/>
        <w:spacing w:line="360" w:lineRule="auto"/>
        <w:ind w:left="0" w:leftChars="0" w:right="0" w:firstLine="560" w:firstLineChars="200"/>
        <w:rPr>
          <w:rFonts w:hint="eastAsia" w:ascii="宋体" w:hAnsi="宋体" w:eastAsia="宋体" w:cs="宋体"/>
          <w:caps w:val="0"/>
          <w:smallCaps w:val="0"/>
          <w:color w:val="auto"/>
          <w:spacing w:val="0"/>
          <w:sz w:val="28"/>
          <w:szCs w:val="28"/>
          <w:highlight w:val="none"/>
          <w:u w:val="none" w:color="auto"/>
        </w:rPr>
      </w:pPr>
      <w:r>
        <w:rPr>
          <w:rFonts w:hint="eastAsia" w:ascii="宋体" w:hAnsi="宋体" w:eastAsia="宋体" w:cs="宋体"/>
          <w:caps w:val="0"/>
          <w:smallCaps w:val="0"/>
          <w:color w:val="auto"/>
          <w:spacing w:val="0"/>
          <w:sz w:val="28"/>
          <w:szCs w:val="28"/>
          <w:highlight w:val="none"/>
          <w:u w:val="none" w:color="auto"/>
        </w:rPr>
        <mc:AlternateContent>
          <mc:Choice Requires="wps">
            <w:drawing>
              <wp:anchor distT="0" distB="0" distL="114300" distR="114300" simplePos="0" relativeHeight="251667456" behindDoc="0" locked="0" layoutInCell="1" allowOverlap="1">
                <wp:simplePos x="0" y="0"/>
                <wp:positionH relativeFrom="column">
                  <wp:posOffset>684530</wp:posOffset>
                </wp:positionH>
                <wp:positionV relativeFrom="paragraph">
                  <wp:posOffset>100330</wp:posOffset>
                </wp:positionV>
                <wp:extent cx="1407160" cy="269875"/>
                <wp:effectExtent l="0" t="0" r="0" b="0"/>
                <wp:wrapNone/>
                <wp:docPr id="148" name="文本框 148"/>
                <wp:cNvGraphicFramePr/>
                <a:graphic xmlns:a="http://schemas.openxmlformats.org/drawingml/2006/main">
                  <a:graphicData uri="http://schemas.microsoft.com/office/word/2010/wordprocessingShape">
                    <wps:wsp>
                      <wps:cNvSpPr txBox="1"/>
                      <wps:spPr>
                        <a:xfrm>
                          <a:off x="0" y="0"/>
                          <a:ext cx="1407160" cy="269875"/>
                        </a:xfrm>
                        <a:prstGeom prst="rect">
                          <a:avLst/>
                        </a:prstGeom>
                        <a:noFill/>
                        <a:ln>
                          <a:noFill/>
                        </a:ln>
                      </wps:spPr>
                      <wps:txbx>
                        <w:txbxContent>
                          <w:p>
                            <w:pPr>
                              <w:spacing w:line="240" w:lineRule="exact"/>
                              <w:ind w:left="0" w:leftChars="0" w:firstLine="0" w:firstLineChars="0"/>
                              <w:jc w:val="both"/>
                              <w:rPr>
                                <w:sz w:val="21"/>
                                <w:szCs w:val="21"/>
                              </w:rPr>
                            </w:pPr>
                            <w:r>
                              <w:rPr>
                                <w:rFonts w:hint="eastAsia"/>
                                <w:sz w:val="21"/>
                                <w:szCs w:val="21"/>
                              </w:rPr>
                              <w:t>99%三氯氧磷</w:t>
                            </w:r>
                          </w:p>
                        </w:txbxContent>
                      </wps:txbx>
                      <wps:bodyPr upright="1"/>
                    </wps:wsp>
                  </a:graphicData>
                </a:graphic>
              </wp:anchor>
            </w:drawing>
          </mc:Choice>
          <mc:Fallback>
            <w:pict>
              <v:shape id="_x0000_s1026" o:spid="_x0000_s1026" o:spt="202" type="#_x0000_t202" style="position:absolute;left:0pt;margin-left:53.9pt;margin-top:7.9pt;height:21.25pt;width:110.8pt;z-index:251667456;mso-width-relative:page;mso-height-relative:page;" filled="f" stroked="f" coordsize="21600,21600" o:gfxdata="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CYtYbQ1gAA&#10;AAkBAAAPAAAAAAAAAAEAIAAAACIAAABkcnMvZG93bnJldi54bWxQSwECFAAUAAAACACHTuJAkVxa&#10;4a4BAABSAwAADgAAAAAAAAABACAAAAAlAQAAZHJzL2Uyb0RvYy54bWxQSwUGAAAAAAYABgBZAQAA&#10;RQUAAAAA&#10;">
                <v:fill on="f" focussize="0,0"/>
                <v:stroke on="f"/>
                <v:imagedata o:title=""/>
                <o:lock v:ext="edit" aspectratio="f"/>
                <v:textbox>
                  <w:txbxContent>
                    <w:p>
                      <w:pPr>
                        <w:spacing w:line="240" w:lineRule="exact"/>
                        <w:ind w:left="0" w:leftChars="0" w:firstLine="0" w:firstLineChars="0"/>
                        <w:jc w:val="both"/>
                        <w:rPr>
                          <w:sz w:val="21"/>
                          <w:szCs w:val="21"/>
                        </w:rPr>
                      </w:pPr>
                      <w:r>
                        <w:rPr>
                          <w:rFonts w:hint="eastAsia"/>
                          <w:sz w:val="21"/>
                          <w:szCs w:val="21"/>
                        </w:rPr>
                        <w:t>99%三氯氧磷</w:t>
                      </w:r>
                    </w:p>
                  </w:txbxContent>
                </v:textbox>
              </v:shape>
            </w:pict>
          </mc:Fallback>
        </mc:AlternateContent>
      </w:r>
    </w:p>
    <w:p>
      <w:pPr>
        <w:pageBreakBefore w:val="0"/>
        <w:kinsoku/>
        <w:wordWrap/>
        <w:bidi w:val="0"/>
        <w:spacing w:line="360" w:lineRule="auto"/>
        <w:ind w:left="0" w:leftChars="0" w:right="0" w:firstLine="560" w:firstLineChars="200"/>
        <w:rPr>
          <w:rFonts w:hint="eastAsia" w:ascii="宋体" w:hAnsi="宋体" w:eastAsia="宋体" w:cs="宋体"/>
          <w:bCs/>
          <w:caps w:val="0"/>
          <w:smallCaps w:val="0"/>
          <w:color w:val="auto"/>
          <w:spacing w:val="0"/>
          <w:sz w:val="28"/>
          <w:szCs w:val="28"/>
          <w:highlight w:val="none"/>
          <w:u w:val="none" w:color="auto"/>
        </w:rPr>
      </w:pPr>
      <w:r>
        <w:rPr>
          <w:rFonts w:hint="eastAsia" w:ascii="宋体" w:hAnsi="宋体" w:eastAsia="宋体" w:cs="宋体"/>
          <w:caps w:val="0"/>
          <w:smallCaps w:val="0"/>
          <w:color w:val="auto"/>
          <w:spacing w:val="0"/>
          <w:sz w:val="28"/>
          <w:szCs w:val="28"/>
          <w:highlight w:val="none"/>
          <w:u w:val="none" w:color="auto"/>
        </w:rPr>
        <mc:AlternateContent>
          <mc:Choice Requires="wps">
            <w:drawing>
              <wp:anchor distT="0" distB="0" distL="114300" distR="114300" simplePos="0" relativeHeight="251676672" behindDoc="0" locked="0" layoutInCell="1" allowOverlap="1">
                <wp:simplePos x="0" y="0"/>
                <wp:positionH relativeFrom="column">
                  <wp:posOffset>1332230</wp:posOffset>
                </wp:positionH>
                <wp:positionV relativeFrom="paragraph">
                  <wp:posOffset>24765</wp:posOffset>
                </wp:positionV>
                <wp:extent cx="0" cy="334645"/>
                <wp:effectExtent l="38100" t="0" r="38100" b="8255"/>
                <wp:wrapNone/>
                <wp:docPr id="165" name="直接箭头连接符 165"/>
                <wp:cNvGraphicFramePr/>
                <a:graphic xmlns:a="http://schemas.openxmlformats.org/drawingml/2006/main">
                  <a:graphicData uri="http://schemas.microsoft.com/office/word/2010/wordprocessingShape">
                    <wps:wsp>
                      <wps:cNvCnPr/>
                      <wps:spPr>
                        <a:xfrm>
                          <a:off x="0" y="0"/>
                          <a:ext cx="0" cy="33464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104.9pt;margin-top:1.95pt;height:26.35pt;width:0pt;z-index:251676672;mso-width-relative:page;mso-height-relative:page;" filled="f" stroked="t" coordsize="21600,21600" o:gfxdata="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yfV+k1gAAAAgBAAAPAAAAAAAAAAEAIAAAACIAAABkcnMv&#10;ZG93bnJldi54bWxQSwECFAAUAAAACACHTuJAHk/xPAUCAADzAwAADgAAAAAAAAABACAAAAAlAQAA&#10;ZHJzL2Uyb0RvYy54bWxQSwUGAAAAAAYABgBZAQAAnAUAAAAA&#10;">
                <v:fill on="f" focussize="0,0"/>
                <v:stroke color="#000000" joinstyle="round" endarrow="block"/>
                <v:imagedata o:title=""/>
                <o:lock v:ext="edit" aspectratio="f"/>
              </v:shape>
            </w:pict>
          </mc:Fallback>
        </mc:AlternateContent>
      </w:r>
      <w:r>
        <w:rPr>
          <w:rFonts w:hint="eastAsia" w:ascii="宋体" w:hAnsi="宋体" w:eastAsia="宋体" w:cs="宋体"/>
          <w:caps w:val="0"/>
          <w:smallCaps w:val="0"/>
          <w:color w:val="auto"/>
          <w:spacing w:val="0"/>
          <w:sz w:val="28"/>
          <w:szCs w:val="28"/>
          <w:highlight w:val="none"/>
          <w:u w:val="none" w:color="auto"/>
        </w:rPr>
        <mc:AlternateContent>
          <mc:Choice Requires="wps">
            <w:drawing>
              <wp:anchor distT="0" distB="0" distL="114300" distR="114300" simplePos="0" relativeHeight="251675648" behindDoc="0" locked="0" layoutInCell="1" allowOverlap="1">
                <wp:simplePos x="0" y="0"/>
                <wp:positionH relativeFrom="column">
                  <wp:posOffset>-342900</wp:posOffset>
                </wp:positionH>
                <wp:positionV relativeFrom="paragraph">
                  <wp:posOffset>279400</wp:posOffset>
                </wp:positionV>
                <wp:extent cx="1369060" cy="698500"/>
                <wp:effectExtent l="0" t="0" r="0" b="0"/>
                <wp:wrapNone/>
                <wp:docPr id="174" name="文本框 174"/>
                <wp:cNvGraphicFramePr/>
                <a:graphic xmlns:a="http://schemas.openxmlformats.org/drawingml/2006/main">
                  <a:graphicData uri="http://schemas.microsoft.com/office/word/2010/wordprocessingShape">
                    <wps:wsp>
                      <wps:cNvSpPr txBox="1"/>
                      <wps:spPr>
                        <a:xfrm>
                          <a:off x="0" y="0"/>
                          <a:ext cx="1369060" cy="698500"/>
                        </a:xfrm>
                        <a:prstGeom prst="rect">
                          <a:avLst/>
                        </a:prstGeom>
                        <a:noFill/>
                        <a:ln>
                          <a:noFill/>
                        </a:ln>
                      </wps:spPr>
                      <wps:txbx>
                        <w:txbxContent>
                          <w:p>
                            <w:pPr>
                              <w:spacing w:line="240" w:lineRule="exact"/>
                              <w:jc w:val="center"/>
                              <w:rPr>
                                <w:sz w:val="21"/>
                                <w:szCs w:val="21"/>
                              </w:rPr>
                            </w:pPr>
                            <w:r>
                              <w:rPr>
                                <w:sz w:val="21"/>
                                <w:szCs w:val="21"/>
                              </w:rPr>
                              <w:t>9</w:t>
                            </w:r>
                            <w:r>
                              <w:rPr>
                                <w:rFonts w:hint="eastAsia"/>
                                <w:sz w:val="21"/>
                                <w:szCs w:val="21"/>
                              </w:rPr>
                              <w:t>8</w:t>
                            </w:r>
                            <w:r>
                              <w:rPr>
                                <w:sz w:val="21"/>
                                <w:szCs w:val="21"/>
                              </w:rPr>
                              <w:t>%</w:t>
                            </w:r>
                            <w:r>
                              <w:rPr>
                                <w:rFonts w:hAnsi="宋体"/>
                                <w:sz w:val="21"/>
                                <w:szCs w:val="21"/>
                              </w:rPr>
                              <w:t>三溴新戊醇</w:t>
                            </w:r>
                          </w:p>
                          <w:p>
                            <w:pPr>
                              <w:spacing w:line="240" w:lineRule="exact"/>
                              <w:jc w:val="center"/>
                              <w:rPr>
                                <w:rFonts w:hAnsi="宋体"/>
                                <w:sz w:val="21"/>
                                <w:szCs w:val="21"/>
                              </w:rPr>
                            </w:pPr>
                            <w:r>
                              <w:rPr>
                                <w:rFonts w:hAnsi="宋体"/>
                                <w:sz w:val="21"/>
                                <w:szCs w:val="21"/>
                              </w:rPr>
                              <w:t>氯苯</w:t>
                            </w:r>
                            <w:r>
                              <w:rPr>
                                <w:rFonts w:hint="eastAsia" w:hAnsi="宋体"/>
                                <w:sz w:val="21"/>
                                <w:szCs w:val="21"/>
                              </w:rPr>
                              <w:t>（溶剂）</w:t>
                            </w:r>
                          </w:p>
                          <w:p>
                            <w:pPr>
                              <w:spacing w:line="240" w:lineRule="exact"/>
                              <w:jc w:val="center"/>
                              <w:rPr>
                                <w:sz w:val="21"/>
                                <w:szCs w:val="21"/>
                              </w:rPr>
                            </w:pPr>
                            <w:r>
                              <w:rPr>
                                <w:rFonts w:hint="eastAsia"/>
                                <w:sz w:val="21"/>
                                <w:szCs w:val="21"/>
                              </w:rPr>
                              <w:t>无水AlCl</w:t>
                            </w:r>
                            <w:r>
                              <w:rPr>
                                <w:rFonts w:hint="eastAsia"/>
                                <w:sz w:val="21"/>
                                <w:szCs w:val="21"/>
                                <w:vertAlign w:val="subscript"/>
                              </w:rPr>
                              <w:t>3</w:t>
                            </w:r>
                          </w:p>
                        </w:txbxContent>
                      </wps:txbx>
                      <wps:bodyPr upright="1"/>
                    </wps:wsp>
                  </a:graphicData>
                </a:graphic>
              </wp:anchor>
            </w:drawing>
          </mc:Choice>
          <mc:Fallback>
            <w:pict>
              <v:shape id="_x0000_s1026" o:spid="_x0000_s1026" o:spt="202" type="#_x0000_t202" style="position:absolute;left:0pt;margin-left:-27pt;margin-top:22pt;height:55pt;width:107.8pt;z-index:251675648;mso-width-relative:page;mso-height-relative:page;" filled="f" stroked="f" coordsize="21600,21600" o:gfxdata="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B6CvNq1gAA&#10;AAoBAAAPAAAAAAAAAAEAIAAAACIAAABkcnMvZG93bnJldi54bWxQSwECFAAUAAAACACHTuJAgc5M&#10;ba4BAABSAwAADgAAAAAAAAABACAAAAAlAQAAZHJzL2Uyb0RvYy54bWxQSwUGAAAAAAYABgBZAQAA&#10;RQUAAAAA&#10;">
                <v:fill on="f" focussize="0,0"/>
                <v:stroke on="f"/>
                <v:imagedata o:title=""/>
                <o:lock v:ext="edit" aspectratio="f"/>
                <v:textbox>
                  <w:txbxContent>
                    <w:p>
                      <w:pPr>
                        <w:spacing w:line="240" w:lineRule="exact"/>
                        <w:jc w:val="center"/>
                        <w:rPr>
                          <w:sz w:val="21"/>
                          <w:szCs w:val="21"/>
                        </w:rPr>
                      </w:pPr>
                      <w:r>
                        <w:rPr>
                          <w:sz w:val="21"/>
                          <w:szCs w:val="21"/>
                        </w:rPr>
                        <w:t>9</w:t>
                      </w:r>
                      <w:r>
                        <w:rPr>
                          <w:rFonts w:hint="eastAsia"/>
                          <w:sz w:val="21"/>
                          <w:szCs w:val="21"/>
                        </w:rPr>
                        <w:t>8</w:t>
                      </w:r>
                      <w:r>
                        <w:rPr>
                          <w:sz w:val="21"/>
                          <w:szCs w:val="21"/>
                        </w:rPr>
                        <w:t>%</w:t>
                      </w:r>
                      <w:r>
                        <w:rPr>
                          <w:rFonts w:hAnsi="宋体"/>
                          <w:sz w:val="21"/>
                          <w:szCs w:val="21"/>
                        </w:rPr>
                        <w:t>三溴新戊醇</w:t>
                      </w:r>
                    </w:p>
                    <w:p>
                      <w:pPr>
                        <w:spacing w:line="240" w:lineRule="exact"/>
                        <w:jc w:val="center"/>
                        <w:rPr>
                          <w:rFonts w:hAnsi="宋体"/>
                          <w:sz w:val="21"/>
                          <w:szCs w:val="21"/>
                        </w:rPr>
                      </w:pPr>
                      <w:r>
                        <w:rPr>
                          <w:rFonts w:hAnsi="宋体"/>
                          <w:sz w:val="21"/>
                          <w:szCs w:val="21"/>
                        </w:rPr>
                        <w:t>氯苯</w:t>
                      </w:r>
                      <w:r>
                        <w:rPr>
                          <w:rFonts w:hint="eastAsia" w:hAnsi="宋体"/>
                          <w:sz w:val="21"/>
                          <w:szCs w:val="21"/>
                        </w:rPr>
                        <w:t>（溶剂）</w:t>
                      </w:r>
                    </w:p>
                    <w:p>
                      <w:pPr>
                        <w:spacing w:line="240" w:lineRule="exact"/>
                        <w:jc w:val="center"/>
                        <w:rPr>
                          <w:sz w:val="21"/>
                          <w:szCs w:val="21"/>
                        </w:rPr>
                      </w:pPr>
                      <w:r>
                        <w:rPr>
                          <w:rFonts w:hint="eastAsia"/>
                          <w:sz w:val="21"/>
                          <w:szCs w:val="21"/>
                        </w:rPr>
                        <w:t>无水AlCl</w:t>
                      </w:r>
                      <w:r>
                        <w:rPr>
                          <w:rFonts w:hint="eastAsia"/>
                          <w:sz w:val="21"/>
                          <w:szCs w:val="21"/>
                          <w:vertAlign w:val="subscript"/>
                        </w:rPr>
                        <w:t>3</w:t>
                      </w:r>
                    </w:p>
                  </w:txbxContent>
                </v:textbox>
              </v:shape>
            </w:pict>
          </mc:Fallback>
        </mc:AlternateContent>
      </w:r>
      <w:r>
        <w:rPr>
          <w:rFonts w:hint="eastAsia" w:ascii="宋体" w:hAnsi="宋体" w:eastAsia="宋体" w:cs="宋体"/>
          <w:caps w:val="0"/>
          <w:smallCaps w:val="0"/>
          <w:color w:val="auto"/>
          <w:spacing w:val="0"/>
          <w:sz w:val="28"/>
          <w:szCs w:val="28"/>
          <w:highlight w:val="none"/>
          <w:u w:val="none" w:color="auto"/>
        </w:rPr>
        <mc:AlternateContent>
          <mc:Choice Requires="wps">
            <w:drawing>
              <wp:anchor distT="0" distB="0" distL="114300" distR="114300" simplePos="0" relativeHeight="251672576" behindDoc="0" locked="0" layoutInCell="1" allowOverlap="1">
                <wp:simplePos x="0" y="0"/>
                <wp:positionH relativeFrom="column">
                  <wp:posOffset>3884295</wp:posOffset>
                </wp:positionH>
                <wp:positionV relativeFrom="paragraph">
                  <wp:posOffset>109855</wp:posOffset>
                </wp:positionV>
                <wp:extent cx="467360" cy="249555"/>
                <wp:effectExtent l="0" t="29210" r="2540" b="13335"/>
                <wp:wrapNone/>
                <wp:docPr id="149" name="曲线连接符 149"/>
                <wp:cNvGraphicFramePr/>
                <a:graphic xmlns:a="http://schemas.openxmlformats.org/drawingml/2006/main">
                  <a:graphicData uri="http://schemas.microsoft.com/office/word/2010/wordprocessingShape">
                    <wps:wsp>
                      <wps:cNvCnPr/>
                      <wps:spPr>
                        <a:xfrm flipV="1">
                          <a:off x="0" y="0"/>
                          <a:ext cx="467360" cy="249555"/>
                        </a:xfrm>
                        <a:prstGeom prst="curvedConnector3">
                          <a:avLst>
                            <a:gd name="adj1" fmla="val 50000"/>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8" type="#_x0000_t38" style="position:absolute;left:0pt;flip:y;margin-left:305.85pt;margin-top:8.65pt;height:19.65pt;width:36.8pt;z-index:251672576;mso-width-relative:page;mso-height-relative:page;" filled="f" stroked="t" coordsize="21600,21600" o:gfxdata="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A4rHwE&#10;1wAAAAkBAAAPAAAAAAAAAAEAIAAAACIAAABkcnMvZG93bnJldi54bWxQSwECFAAUAAAACACHTuJA&#10;Dc3KwCICAAAnBAAADgAAAAAAAAABACAAAAAmAQAAZHJzL2Uyb0RvYy54bWxQSwUGAAAAAAYABgBZ&#10;AQAAugUAAAAA&#10;" adj="10800">
                <v:fill on="f" focussize="0,0"/>
                <v:stroke color="#000000" joinstyle="round" endarrow="block"/>
                <v:imagedata o:title=""/>
                <o:lock v:ext="edit" aspectratio="f"/>
              </v:shape>
            </w:pict>
          </mc:Fallback>
        </mc:AlternateContent>
      </w:r>
      <w:r>
        <w:rPr>
          <w:rFonts w:hint="eastAsia" w:ascii="宋体" w:hAnsi="宋体" w:eastAsia="宋体" w:cs="宋体"/>
          <w:caps w:val="0"/>
          <w:smallCaps w:val="0"/>
          <w:color w:val="auto"/>
          <w:spacing w:val="0"/>
          <w:sz w:val="28"/>
          <w:szCs w:val="28"/>
          <w:highlight w:val="none"/>
          <w:u w:val="none" w:color="auto"/>
        </w:rPr>
        <mc:AlternateContent>
          <mc:Choice Requires="wps">
            <w:drawing>
              <wp:anchor distT="0" distB="0" distL="114300" distR="114300" simplePos="0" relativeHeight="251671552" behindDoc="0" locked="0" layoutInCell="1" allowOverlap="1">
                <wp:simplePos x="0" y="0"/>
                <wp:positionH relativeFrom="column">
                  <wp:posOffset>3601720</wp:posOffset>
                </wp:positionH>
                <wp:positionV relativeFrom="paragraph">
                  <wp:posOffset>29210</wp:posOffset>
                </wp:positionV>
                <wp:extent cx="0" cy="334645"/>
                <wp:effectExtent l="38100" t="0" r="38100" b="8255"/>
                <wp:wrapNone/>
                <wp:docPr id="155" name="直接箭头连接符 155"/>
                <wp:cNvGraphicFramePr/>
                <a:graphic xmlns:a="http://schemas.openxmlformats.org/drawingml/2006/main">
                  <a:graphicData uri="http://schemas.microsoft.com/office/word/2010/wordprocessingShape">
                    <wps:wsp>
                      <wps:cNvCnPr/>
                      <wps:spPr>
                        <a:xfrm>
                          <a:off x="0" y="0"/>
                          <a:ext cx="0" cy="33464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283.6pt;margin-top:2.3pt;height:26.35pt;width:0pt;z-index:251671552;mso-width-relative:page;mso-height-relative:page;" filled="f" stroked="t" coordsize="21600,21600" o:gfxdata="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u3IqotcAAAAIAQAADwAAAAAAAAABACAAAAAiAAAAZHJz&#10;L2Rvd25yZXYueG1sUEsBAhQAFAAAAAgAh07iQLjGiaAFAgAA8wMAAA4AAAAAAAAAAQAgAAAAJgEA&#10;AGRycy9lMm9Eb2MueG1sUEsFBgAAAAAGAAYAWQEAAJ0FAAAAAA==&#10;">
                <v:fill on="f" focussize="0,0"/>
                <v:stroke color="#000000" joinstyle="round" endarrow="block"/>
                <v:imagedata o:title=""/>
                <o:lock v:ext="edit" aspectratio="f"/>
              </v:shape>
            </w:pict>
          </mc:Fallback>
        </mc:AlternateContent>
      </w:r>
      <w:r>
        <w:rPr>
          <w:rFonts w:hint="eastAsia" w:ascii="宋体" w:hAnsi="宋体" w:eastAsia="宋体" w:cs="宋体"/>
          <w:caps w:val="0"/>
          <w:smallCaps w:val="0"/>
          <w:color w:val="auto"/>
          <w:spacing w:val="0"/>
          <w:sz w:val="28"/>
          <w:szCs w:val="28"/>
          <w:highlight w:val="none"/>
          <w:u w:val="none" w:color="auto"/>
        </w:rPr>
        <mc:AlternateContent>
          <mc:Choice Requires="wps">
            <w:drawing>
              <wp:anchor distT="0" distB="0" distL="114300" distR="114300" simplePos="0" relativeHeight="251670528" behindDoc="0" locked="0" layoutInCell="1" allowOverlap="1">
                <wp:simplePos x="0" y="0"/>
                <wp:positionH relativeFrom="column">
                  <wp:posOffset>3104515</wp:posOffset>
                </wp:positionH>
                <wp:positionV relativeFrom="paragraph">
                  <wp:posOffset>52705</wp:posOffset>
                </wp:positionV>
                <wp:extent cx="635635" cy="259080"/>
                <wp:effectExtent l="0" t="0" r="0" b="0"/>
                <wp:wrapNone/>
                <wp:docPr id="176" name="文本框 176"/>
                <wp:cNvGraphicFramePr/>
                <a:graphic xmlns:a="http://schemas.openxmlformats.org/drawingml/2006/main">
                  <a:graphicData uri="http://schemas.microsoft.com/office/word/2010/wordprocessingShape">
                    <wps:wsp>
                      <wps:cNvSpPr txBox="1"/>
                      <wps:spPr>
                        <a:xfrm>
                          <a:off x="0" y="0"/>
                          <a:ext cx="635635" cy="259080"/>
                        </a:xfrm>
                        <a:prstGeom prst="rect">
                          <a:avLst/>
                        </a:prstGeom>
                        <a:noFill/>
                        <a:ln>
                          <a:noFill/>
                        </a:ln>
                      </wps:spPr>
                      <wps:txbx>
                        <w:txbxContent>
                          <w:p>
                            <w:pPr>
                              <w:spacing w:line="240" w:lineRule="exact"/>
                              <w:jc w:val="center"/>
                              <w:rPr>
                                <w:sz w:val="21"/>
                                <w:szCs w:val="21"/>
                              </w:rPr>
                            </w:pPr>
                            <w:r>
                              <w:rPr>
                                <w:rFonts w:hint="eastAsia"/>
                                <w:sz w:val="21"/>
                                <w:szCs w:val="21"/>
                              </w:rPr>
                              <w:t>水</w:t>
                            </w:r>
                          </w:p>
                        </w:txbxContent>
                      </wps:txbx>
                      <wps:bodyPr upright="1"/>
                    </wps:wsp>
                  </a:graphicData>
                </a:graphic>
              </wp:anchor>
            </w:drawing>
          </mc:Choice>
          <mc:Fallback>
            <w:pict>
              <v:shape id="_x0000_s1026" o:spid="_x0000_s1026" o:spt="202" type="#_x0000_t202" style="position:absolute;left:0pt;margin-left:244.45pt;margin-top:4.15pt;height:20.4pt;width:50.05pt;z-index:251670528;mso-width-relative:page;mso-height-relative:page;" filled="f" stroked="f" coordsize="21600,21600" o:gfxdata="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BgnpB/1QAA&#10;AAgBAAAPAAAAAAAAAAEAIAAAACIAAABkcnMvZG93bnJldi54bWxQSwECFAAUAAAACACHTuJAAz3X&#10;cq8BAABRAwAADgAAAAAAAAABACAAAAAkAQAAZHJzL2Uyb0RvYy54bWxQSwUGAAAAAAYABgBZAQAA&#10;RQUAAAAA&#10;">
                <v:fill on="f" focussize="0,0"/>
                <v:stroke on="f"/>
                <v:imagedata o:title=""/>
                <o:lock v:ext="edit" aspectratio="f"/>
                <v:textbox>
                  <w:txbxContent>
                    <w:p>
                      <w:pPr>
                        <w:spacing w:line="240" w:lineRule="exact"/>
                        <w:jc w:val="center"/>
                        <w:rPr>
                          <w:sz w:val="21"/>
                          <w:szCs w:val="21"/>
                        </w:rPr>
                      </w:pPr>
                      <w:r>
                        <w:rPr>
                          <w:rFonts w:hint="eastAsia"/>
                          <w:sz w:val="21"/>
                          <w:szCs w:val="21"/>
                        </w:rPr>
                        <w:t>水</w:t>
                      </w:r>
                    </w:p>
                  </w:txbxContent>
                </v:textbox>
              </v:shape>
            </w:pict>
          </mc:Fallback>
        </mc:AlternateContent>
      </w:r>
      <w:r>
        <w:rPr>
          <w:rFonts w:hint="eastAsia" w:ascii="宋体" w:hAnsi="宋体" w:eastAsia="宋体" w:cs="宋体"/>
          <w:caps w:val="0"/>
          <w:smallCaps w:val="0"/>
          <w:color w:val="auto"/>
          <w:spacing w:val="0"/>
          <w:sz w:val="28"/>
          <w:szCs w:val="28"/>
          <w:highlight w:val="none"/>
          <w:u w:val="none" w:color="auto"/>
        </w:rPr>
        <mc:AlternateContent>
          <mc:Choice Requires="wps">
            <w:drawing>
              <wp:anchor distT="0" distB="0" distL="114300" distR="114300" simplePos="0" relativeHeight="251669504" behindDoc="0" locked="0" layoutInCell="1" allowOverlap="1">
                <wp:simplePos x="0" y="0"/>
                <wp:positionH relativeFrom="column">
                  <wp:posOffset>4351655</wp:posOffset>
                </wp:positionH>
                <wp:positionV relativeFrom="paragraph">
                  <wp:posOffset>24765</wp:posOffset>
                </wp:positionV>
                <wp:extent cx="1289050" cy="287020"/>
                <wp:effectExtent l="5080" t="4445" r="13970" b="13335"/>
                <wp:wrapNone/>
                <wp:docPr id="167" name="文本框 167"/>
                <wp:cNvGraphicFramePr/>
                <a:graphic xmlns:a="http://schemas.openxmlformats.org/drawingml/2006/main">
                  <a:graphicData uri="http://schemas.microsoft.com/office/word/2010/wordprocessingShape">
                    <wps:wsp>
                      <wps:cNvSpPr txBox="1"/>
                      <wps:spPr>
                        <a:xfrm>
                          <a:off x="0" y="0"/>
                          <a:ext cx="1289050" cy="287020"/>
                        </a:xfrm>
                        <a:prstGeom prst="rect">
                          <a:avLst/>
                        </a:prstGeom>
                        <a:noFill/>
                        <a:ln w="9525" cap="flat" cmpd="sng">
                          <a:solidFill>
                            <a:srgbClr val="000000"/>
                          </a:solidFill>
                          <a:prstDash val="dash"/>
                          <a:miter/>
                          <a:headEnd type="none" w="med" len="med"/>
                          <a:tailEnd type="none" w="med" len="med"/>
                        </a:ln>
                      </wps:spPr>
                      <wps:txbx>
                        <w:txbxContent>
                          <w:p>
                            <w:pPr>
                              <w:spacing w:line="240" w:lineRule="exact"/>
                              <w:ind w:left="0" w:leftChars="0" w:firstLine="0" w:firstLineChars="0"/>
                              <w:rPr>
                                <w:sz w:val="21"/>
                                <w:szCs w:val="21"/>
                              </w:rPr>
                            </w:pPr>
                            <w:r>
                              <w:rPr>
                                <w:sz w:val="21"/>
                                <w:szCs w:val="21"/>
                              </w:rPr>
                              <w:t>G</w:t>
                            </w:r>
                            <w:r>
                              <w:rPr>
                                <w:rFonts w:hint="eastAsia"/>
                                <w:sz w:val="21"/>
                                <w:szCs w:val="21"/>
                                <w:vertAlign w:val="subscript"/>
                              </w:rPr>
                              <w:t>3</w:t>
                            </w:r>
                            <w:r>
                              <w:rPr>
                                <w:sz w:val="21"/>
                                <w:szCs w:val="21"/>
                                <w:vertAlign w:val="subscript"/>
                              </w:rPr>
                              <w:t>-</w:t>
                            </w:r>
                            <w:r>
                              <w:rPr>
                                <w:rFonts w:hint="eastAsia"/>
                                <w:sz w:val="21"/>
                                <w:szCs w:val="21"/>
                                <w:vertAlign w:val="subscript"/>
                              </w:rPr>
                              <w:t>1</w:t>
                            </w:r>
                            <w:r>
                              <w:rPr>
                                <w:rFonts w:hAnsi="宋体"/>
                                <w:sz w:val="21"/>
                                <w:szCs w:val="21"/>
                              </w:rPr>
                              <w:t>：氯化氢</w:t>
                            </w:r>
                            <w:r>
                              <w:rPr>
                                <w:rFonts w:hint="eastAsia" w:hAnsi="宋体"/>
                                <w:sz w:val="21"/>
                                <w:szCs w:val="21"/>
                              </w:rPr>
                              <w:t>、氯苯</w:t>
                            </w:r>
                          </w:p>
                        </w:txbxContent>
                      </wps:txbx>
                      <wps:bodyPr upright="1"/>
                    </wps:wsp>
                  </a:graphicData>
                </a:graphic>
              </wp:anchor>
            </w:drawing>
          </mc:Choice>
          <mc:Fallback>
            <w:pict>
              <v:shape id="_x0000_s1026" o:spid="_x0000_s1026" o:spt="202" type="#_x0000_t202" style="position:absolute;left:0pt;margin-left:342.65pt;margin-top:1.95pt;height:22.6pt;width:101.5pt;z-index:251669504;mso-width-relative:page;mso-height-relative:page;" filled="f" stroked="t" coordsize="21600,21600" o:gfxdata="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Qs6qH2QAAAAgBAAAPAAAAAAAAAAEAIAAAACIA&#10;AABkcnMvZG93bnJldi54bWxQSwECFAAUAAAACACHTuJAVg+asAgCAAAQBAAADgAAAAAAAAABACAA&#10;AAAoAQAAZHJzL2Uyb0RvYy54bWxQSwUGAAAAAAYABgBZAQAAogUAAAAA&#10;">
                <v:fill on="f" focussize="0,0"/>
                <v:stroke color="#000000" joinstyle="miter" dashstyle="dash"/>
                <v:imagedata o:title=""/>
                <o:lock v:ext="edit" aspectratio="f"/>
                <v:textbox>
                  <w:txbxContent>
                    <w:p>
                      <w:pPr>
                        <w:spacing w:line="240" w:lineRule="exact"/>
                        <w:ind w:left="0" w:leftChars="0" w:firstLine="0" w:firstLineChars="0"/>
                        <w:rPr>
                          <w:sz w:val="21"/>
                          <w:szCs w:val="21"/>
                        </w:rPr>
                      </w:pPr>
                      <w:r>
                        <w:rPr>
                          <w:sz w:val="21"/>
                          <w:szCs w:val="21"/>
                        </w:rPr>
                        <w:t>G</w:t>
                      </w:r>
                      <w:r>
                        <w:rPr>
                          <w:rFonts w:hint="eastAsia"/>
                          <w:sz w:val="21"/>
                          <w:szCs w:val="21"/>
                          <w:vertAlign w:val="subscript"/>
                        </w:rPr>
                        <w:t>3</w:t>
                      </w:r>
                      <w:r>
                        <w:rPr>
                          <w:sz w:val="21"/>
                          <w:szCs w:val="21"/>
                          <w:vertAlign w:val="subscript"/>
                        </w:rPr>
                        <w:t>-</w:t>
                      </w:r>
                      <w:r>
                        <w:rPr>
                          <w:rFonts w:hint="eastAsia"/>
                          <w:sz w:val="21"/>
                          <w:szCs w:val="21"/>
                          <w:vertAlign w:val="subscript"/>
                        </w:rPr>
                        <w:t>1</w:t>
                      </w:r>
                      <w:r>
                        <w:rPr>
                          <w:rFonts w:hAnsi="宋体"/>
                          <w:sz w:val="21"/>
                          <w:szCs w:val="21"/>
                        </w:rPr>
                        <w:t>：氯化氢</w:t>
                      </w:r>
                      <w:r>
                        <w:rPr>
                          <w:rFonts w:hint="eastAsia" w:hAnsi="宋体"/>
                          <w:sz w:val="21"/>
                          <w:szCs w:val="21"/>
                        </w:rPr>
                        <w:t>、氯苯</w:t>
                      </w:r>
                    </w:p>
                  </w:txbxContent>
                </v:textbox>
              </v:shape>
            </w:pict>
          </mc:Fallback>
        </mc:AlternateContent>
      </w:r>
    </w:p>
    <w:p>
      <w:pPr>
        <w:pageBreakBefore w:val="0"/>
        <w:kinsoku/>
        <w:wordWrap/>
        <w:bidi w:val="0"/>
        <w:spacing w:line="360" w:lineRule="auto"/>
        <w:ind w:left="0" w:leftChars="0" w:right="0" w:firstLine="560" w:firstLineChars="200"/>
        <w:rPr>
          <w:rFonts w:hint="eastAsia" w:ascii="宋体" w:hAnsi="宋体" w:eastAsia="宋体" w:cs="宋体"/>
          <w:bCs/>
          <w:caps w:val="0"/>
          <w:smallCaps w:val="0"/>
          <w:color w:val="auto"/>
          <w:spacing w:val="0"/>
          <w:sz w:val="28"/>
          <w:szCs w:val="28"/>
          <w:highlight w:val="none"/>
          <w:u w:val="none" w:color="auto"/>
        </w:rPr>
      </w:pPr>
      <w:r>
        <w:rPr>
          <w:rFonts w:hint="eastAsia" w:ascii="宋体" w:hAnsi="宋体" w:eastAsia="宋体" w:cs="宋体"/>
          <w:caps w:val="0"/>
          <w:smallCaps w:val="0"/>
          <w:color w:val="auto"/>
          <w:spacing w:val="0"/>
          <w:sz w:val="28"/>
          <w:szCs w:val="28"/>
          <w:highlight w:val="none"/>
          <w:u w:val="none" w:color="auto"/>
        </w:rPr>
        <mc:AlternateContent>
          <mc:Choice Requires="wps">
            <w:drawing>
              <wp:anchor distT="0" distB="0" distL="114300" distR="114300" simplePos="0" relativeHeight="251682816" behindDoc="0" locked="0" layoutInCell="1" allowOverlap="1">
                <wp:simplePos x="0" y="0"/>
                <wp:positionH relativeFrom="column">
                  <wp:posOffset>1004570</wp:posOffset>
                </wp:positionH>
                <wp:positionV relativeFrom="paragraph">
                  <wp:posOffset>46355</wp:posOffset>
                </wp:positionV>
                <wp:extent cx="762000" cy="320040"/>
                <wp:effectExtent l="4445" t="4445" r="8255" b="5715"/>
                <wp:wrapNone/>
                <wp:docPr id="173" name="文本框 173"/>
                <wp:cNvGraphicFramePr/>
                <a:graphic xmlns:a="http://schemas.openxmlformats.org/drawingml/2006/main">
                  <a:graphicData uri="http://schemas.microsoft.com/office/word/2010/wordprocessingShape">
                    <wps:wsp>
                      <wps:cNvSpPr txBox="1"/>
                      <wps:spPr>
                        <a:xfrm>
                          <a:off x="0" y="0"/>
                          <a:ext cx="762000" cy="3200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exact"/>
                              <w:ind w:left="0" w:leftChars="0" w:firstLine="0" w:firstLineChars="0"/>
                              <w:jc w:val="both"/>
                              <w:rPr>
                                <w:sz w:val="21"/>
                                <w:szCs w:val="21"/>
                              </w:rPr>
                            </w:pPr>
                            <w:r>
                              <w:rPr>
                                <w:rFonts w:hint="eastAsia"/>
                                <w:sz w:val="21"/>
                                <w:szCs w:val="21"/>
                              </w:rPr>
                              <w:t>缩合</w:t>
                            </w:r>
                          </w:p>
                        </w:txbxContent>
                      </wps:txbx>
                      <wps:bodyPr upright="1"/>
                    </wps:wsp>
                  </a:graphicData>
                </a:graphic>
              </wp:anchor>
            </w:drawing>
          </mc:Choice>
          <mc:Fallback>
            <w:pict>
              <v:shape id="_x0000_s1026" o:spid="_x0000_s1026" o:spt="202" type="#_x0000_t202" style="position:absolute;left:0pt;margin-left:79.1pt;margin-top:3.65pt;height:25.2pt;width:60pt;z-index:251682816;mso-width-relative:page;mso-height-relative:page;" fillcolor="#FFFFFF" filled="t" stroked="t" coordsize="21600,21600" o:gfxdata="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BiIfHPWAAAACAEAAA8AAAAAAAAAAQAgAAAA&#10;IgAAAGRycy9kb3ducmV2LnhtbFBLAQIUABQAAAAIAIdO4kC1ByaiDQIAADkEAAAOAAAAAAAAAAEA&#10;IAAAACUBAABkcnMvZTJvRG9jLnhtbFBLBQYAAAAABgAGAFkBAACkBQAAAAA=&#10;">
                <v:fill on="t" focussize="0,0"/>
                <v:stroke color="#000000" joinstyle="miter"/>
                <v:imagedata o:title=""/>
                <o:lock v:ext="edit" aspectratio="f"/>
                <v:textbox>
                  <w:txbxContent>
                    <w:p>
                      <w:pPr>
                        <w:spacing w:line="240" w:lineRule="exact"/>
                        <w:ind w:left="0" w:leftChars="0" w:firstLine="0" w:firstLineChars="0"/>
                        <w:jc w:val="both"/>
                        <w:rPr>
                          <w:sz w:val="21"/>
                          <w:szCs w:val="21"/>
                        </w:rPr>
                      </w:pPr>
                      <w:r>
                        <w:rPr>
                          <w:rFonts w:hint="eastAsia"/>
                          <w:sz w:val="21"/>
                          <w:szCs w:val="21"/>
                        </w:rPr>
                        <w:t>缩合</w:t>
                      </w:r>
                    </w:p>
                  </w:txbxContent>
                </v:textbox>
              </v:shape>
            </w:pict>
          </mc:Fallback>
        </mc:AlternateContent>
      </w:r>
      <w:r>
        <w:rPr>
          <w:rFonts w:hint="eastAsia" w:ascii="宋体" w:hAnsi="宋体" w:eastAsia="宋体" w:cs="宋体"/>
          <w:caps w:val="0"/>
          <w:smallCaps w:val="0"/>
          <w:color w:val="auto"/>
          <w:spacing w:val="0"/>
          <w:sz w:val="28"/>
          <w:szCs w:val="28"/>
          <w:highlight w:val="none"/>
          <w:u w:val="none" w:color="auto"/>
        </w:rPr>
        <mc:AlternateContent>
          <mc:Choice Requires="wps">
            <w:drawing>
              <wp:anchor distT="0" distB="0" distL="114300" distR="114300" simplePos="0" relativeHeight="251681792" behindDoc="0" locked="0" layoutInCell="1" allowOverlap="1">
                <wp:simplePos x="0" y="0"/>
                <wp:positionH relativeFrom="column">
                  <wp:posOffset>1766570</wp:posOffset>
                </wp:positionH>
                <wp:positionV relativeFrom="paragraph">
                  <wp:posOffset>199390</wp:posOffset>
                </wp:positionV>
                <wp:extent cx="433070" cy="5715"/>
                <wp:effectExtent l="0" t="33655" r="11430" b="36830"/>
                <wp:wrapNone/>
                <wp:docPr id="168" name="直接箭头连接符 168"/>
                <wp:cNvGraphicFramePr/>
                <a:graphic xmlns:a="http://schemas.openxmlformats.org/drawingml/2006/main">
                  <a:graphicData uri="http://schemas.microsoft.com/office/word/2010/wordprocessingShape">
                    <wps:wsp>
                      <wps:cNvCnPr/>
                      <wps:spPr>
                        <a:xfrm>
                          <a:off x="0" y="0"/>
                          <a:ext cx="433070" cy="571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139.1pt;margin-top:15.7pt;height:0.45pt;width:34.1pt;z-index:251681792;mso-width-relative:page;mso-height-relative:page;" filled="f" stroked="t" coordsize="21600,21600" o:gfxdata="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hrnJQ2QAAAAkBAAAPAAAAAAAAAAEAIAAAACIA&#10;AABkcnMvZG93bnJldi54bWxQSwECFAAUAAAACACHTuJAiixynQgCAAD2AwAADgAAAAAAAAABACAA&#10;AAAoAQAAZHJzL2Uyb0RvYy54bWxQSwUGAAAAAAYABgBZAQAAogUAAAAA&#10;">
                <v:fill on="f" focussize="0,0"/>
                <v:stroke color="#000000" joinstyle="round" endarrow="block"/>
                <v:imagedata o:title=""/>
                <o:lock v:ext="edit" aspectratio="f"/>
              </v:shape>
            </w:pict>
          </mc:Fallback>
        </mc:AlternateContent>
      </w:r>
      <w:r>
        <w:rPr>
          <w:rFonts w:hint="eastAsia" w:ascii="宋体" w:hAnsi="宋体" w:eastAsia="宋体" w:cs="宋体"/>
          <w:caps w:val="0"/>
          <w:smallCaps w:val="0"/>
          <w:color w:val="auto"/>
          <w:spacing w:val="0"/>
          <w:sz w:val="28"/>
          <w:szCs w:val="28"/>
          <w:highlight w:val="none"/>
          <w:u w:val="none" w:color="auto"/>
        </w:rPr>
        <mc:AlternateContent>
          <mc:Choice Requires="wps">
            <w:drawing>
              <wp:anchor distT="0" distB="0" distL="114300" distR="114300" simplePos="0" relativeHeight="251679744" behindDoc="0" locked="0" layoutInCell="1" allowOverlap="1">
                <wp:simplePos x="0" y="0"/>
                <wp:positionH relativeFrom="column">
                  <wp:posOffset>640715</wp:posOffset>
                </wp:positionH>
                <wp:positionV relativeFrom="paragraph">
                  <wp:posOffset>205105</wp:posOffset>
                </wp:positionV>
                <wp:extent cx="376555" cy="0"/>
                <wp:effectExtent l="0" t="38100" r="4445" b="38100"/>
                <wp:wrapNone/>
                <wp:docPr id="175" name="直接箭头连接符 175"/>
                <wp:cNvGraphicFramePr/>
                <a:graphic xmlns:a="http://schemas.openxmlformats.org/drawingml/2006/main">
                  <a:graphicData uri="http://schemas.microsoft.com/office/word/2010/wordprocessingShape">
                    <wps:wsp>
                      <wps:cNvCnPr/>
                      <wps:spPr>
                        <a:xfrm>
                          <a:off x="0" y="0"/>
                          <a:ext cx="376555" cy="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50.45pt;margin-top:16.15pt;height:0pt;width:29.65pt;z-index:251679744;mso-width-relative:page;mso-height-relative:page;" filled="f" stroked="t" coordsize="21600,21600" o:gfxdata="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fpCgptcAAAAJAQAADwAAAAAAAAABACAAAAAiAAAAZHJz&#10;L2Rvd25yZXYueG1sUEsBAhQAFAAAAAgAh07iQMZh94YFAgAA8wMAAA4AAAAAAAAAAQAgAAAAJgEA&#10;AGRycy9lMm9Eb2MueG1sUEsFBgAAAAAGAAYAWQEAAJ0FAAAAAA==&#10;">
                <v:fill on="f" focussize="0,0"/>
                <v:stroke color="#000000" joinstyle="round" endarrow="block"/>
                <v:imagedata o:title=""/>
                <o:lock v:ext="edit" aspectratio="f"/>
              </v:shape>
            </w:pict>
          </mc:Fallback>
        </mc:AlternateContent>
      </w:r>
      <w:r>
        <w:rPr>
          <w:rFonts w:hint="eastAsia" w:ascii="宋体" w:hAnsi="宋体" w:eastAsia="宋体" w:cs="宋体"/>
          <w:caps w:val="0"/>
          <w:smallCaps w:val="0"/>
          <w:color w:val="auto"/>
          <w:spacing w:val="0"/>
          <w:sz w:val="28"/>
          <w:szCs w:val="28"/>
          <w:highlight w:val="none"/>
          <w:u w:val="none" w:color="auto"/>
        </w:rPr>
        <mc:AlternateContent>
          <mc:Choice Requires="wps">
            <w:drawing>
              <wp:anchor distT="0" distB="0" distL="114300" distR="114300" simplePos="0" relativeHeight="251678720" behindDoc="0" locked="0" layoutInCell="1" allowOverlap="1">
                <wp:simplePos x="0" y="0"/>
                <wp:positionH relativeFrom="column">
                  <wp:posOffset>2199640</wp:posOffset>
                </wp:positionH>
                <wp:positionV relativeFrom="paragraph">
                  <wp:posOffset>46355</wp:posOffset>
                </wp:positionV>
                <wp:extent cx="474980" cy="320040"/>
                <wp:effectExtent l="4445" t="4445" r="15875" b="5715"/>
                <wp:wrapNone/>
                <wp:docPr id="169" name="文本框 169"/>
                <wp:cNvGraphicFramePr/>
                <a:graphic xmlns:a="http://schemas.openxmlformats.org/drawingml/2006/main">
                  <a:graphicData uri="http://schemas.microsoft.com/office/word/2010/wordprocessingShape">
                    <wps:wsp>
                      <wps:cNvSpPr txBox="1"/>
                      <wps:spPr>
                        <a:xfrm>
                          <a:off x="0" y="0"/>
                          <a:ext cx="474980" cy="3200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exact"/>
                              <w:ind w:left="0" w:leftChars="0" w:firstLine="0" w:firstLineChars="0"/>
                              <w:jc w:val="both"/>
                              <w:rPr>
                                <w:sz w:val="21"/>
                                <w:szCs w:val="21"/>
                              </w:rPr>
                            </w:pPr>
                            <w:r>
                              <w:rPr>
                                <w:rFonts w:hint="eastAsia"/>
                                <w:sz w:val="21"/>
                                <w:szCs w:val="21"/>
                              </w:rPr>
                              <w:t>冷凝</w:t>
                            </w:r>
                          </w:p>
                          <w:p/>
                        </w:txbxContent>
                      </wps:txbx>
                      <wps:bodyPr upright="1"/>
                    </wps:wsp>
                  </a:graphicData>
                </a:graphic>
              </wp:anchor>
            </w:drawing>
          </mc:Choice>
          <mc:Fallback>
            <w:pict>
              <v:shape id="_x0000_s1026" o:spid="_x0000_s1026" o:spt="202" type="#_x0000_t202" style="position:absolute;left:0pt;margin-left:173.2pt;margin-top:3.65pt;height:25.2pt;width:37.4pt;z-index:251678720;mso-width-relative:page;mso-height-relative:page;" fillcolor="#FFFFFF" filled="t" stroked="t" coordsize="21600,21600" o:gfxdata="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AQXkaHYAAAACAEAAA8AAAAAAAAAAQAg&#10;AAAAIgAAAGRycy9kb3ducmV2LnhtbFBLAQIUABQAAAAIAIdO4kBaWEo2DgIAADkEAAAOAAAAAAAA&#10;AAEAIAAAACcBAABkcnMvZTJvRG9jLnhtbFBLBQYAAAAABgAGAFkBAACnBQAAAAA=&#10;">
                <v:fill on="t" focussize="0,0"/>
                <v:stroke color="#000000" joinstyle="miter"/>
                <v:imagedata o:title=""/>
                <o:lock v:ext="edit" aspectratio="f"/>
                <v:textbox>
                  <w:txbxContent>
                    <w:p>
                      <w:pPr>
                        <w:spacing w:line="240" w:lineRule="exact"/>
                        <w:ind w:left="0" w:leftChars="0" w:firstLine="0" w:firstLineChars="0"/>
                        <w:jc w:val="both"/>
                        <w:rPr>
                          <w:sz w:val="21"/>
                          <w:szCs w:val="21"/>
                        </w:rPr>
                      </w:pPr>
                      <w:r>
                        <w:rPr>
                          <w:rFonts w:hint="eastAsia"/>
                          <w:sz w:val="21"/>
                          <w:szCs w:val="21"/>
                        </w:rPr>
                        <w:t>冷凝</w:t>
                      </w:r>
                    </w:p>
                    <w:p/>
                  </w:txbxContent>
                </v:textbox>
              </v:shape>
            </w:pict>
          </mc:Fallback>
        </mc:AlternateContent>
      </w:r>
      <w:r>
        <w:rPr>
          <w:rFonts w:hint="eastAsia" w:ascii="宋体" w:hAnsi="宋体" w:eastAsia="宋体" w:cs="宋体"/>
          <w:caps w:val="0"/>
          <w:smallCaps w:val="0"/>
          <w:color w:val="auto"/>
          <w:spacing w:val="0"/>
          <w:sz w:val="28"/>
          <w:szCs w:val="28"/>
          <w:highlight w:val="none"/>
          <w:u w:val="none" w:color="auto"/>
        </w:rPr>
        <mc:AlternateContent>
          <mc:Choice Requires="wps">
            <w:drawing>
              <wp:anchor distT="0" distB="0" distL="114300" distR="114300" simplePos="0" relativeHeight="251677696" behindDoc="0" locked="0" layoutInCell="1" allowOverlap="1">
                <wp:simplePos x="0" y="0"/>
                <wp:positionH relativeFrom="column">
                  <wp:posOffset>2674620</wp:posOffset>
                </wp:positionH>
                <wp:positionV relativeFrom="paragraph">
                  <wp:posOffset>193675</wp:posOffset>
                </wp:positionV>
                <wp:extent cx="433070" cy="5715"/>
                <wp:effectExtent l="0" t="33655" r="11430" b="36830"/>
                <wp:wrapNone/>
                <wp:docPr id="150" name="直接箭头连接符 150"/>
                <wp:cNvGraphicFramePr/>
                <a:graphic xmlns:a="http://schemas.openxmlformats.org/drawingml/2006/main">
                  <a:graphicData uri="http://schemas.microsoft.com/office/word/2010/wordprocessingShape">
                    <wps:wsp>
                      <wps:cNvCnPr/>
                      <wps:spPr>
                        <a:xfrm>
                          <a:off x="0" y="0"/>
                          <a:ext cx="433070" cy="571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210.6pt;margin-top:15.25pt;height:0.45pt;width:34.1pt;z-index:251677696;mso-width-relative:page;mso-height-relative:page;" filled="f" stroked="t" coordsize="21600,21600" o:gfxdata="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wCdqt2gAAAAkBAAAPAAAAAAAAAAEAIAAAACIA&#10;AABkcnMvZG93bnJldi54bWxQSwECFAAUAAAACACHTuJAPnACuQcCAAD2AwAADgAAAAAAAAABACAA&#10;AAApAQAAZHJzL2Uyb0RvYy54bWxQSwUGAAAAAAYABgBZAQAAogUAAAAA&#10;">
                <v:fill on="f" focussize="0,0"/>
                <v:stroke color="#000000" joinstyle="round" endarrow="block"/>
                <v:imagedata o:title=""/>
                <o:lock v:ext="edit" aspectratio="f"/>
              </v:shape>
            </w:pict>
          </mc:Fallback>
        </mc:AlternateContent>
      </w:r>
      <w:r>
        <w:rPr>
          <w:rFonts w:hint="eastAsia" w:ascii="宋体" w:hAnsi="宋体" w:eastAsia="宋体" w:cs="宋体"/>
          <w:caps w:val="0"/>
          <w:smallCaps w:val="0"/>
          <w:color w:val="auto"/>
          <w:spacing w:val="0"/>
          <w:sz w:val="28"/>
          <w:szCs w:val="28"/>
          <w:highlight w:val="none"/>
          <w:u w:val="none" w:color="auto"/>
        </w:rPr>
        <mc:AlternateContent>
          <mc:Choice Requires="wps">
            <w:drawing>
              <wp:anchor distT="0" distB="0" distL="114300" distR="114300" simplePos="0" relativeHeight="251674624" behindDoc="0" locked="0" layoutInCell="1" allowOverlap="1">
                <wp:simplePos x="0" y="0"/>
                <wp:positionH relativeFrom="column">
                  <wp:posOffset>4156075</wp:posOffset>
                </wp:positionH>
                <wp:positionV relativeFrom="paragraph">
                  <wp:posOffset>205105</wp:posOffset>
                </wp:positionV>
                <wp:extent cx="433070" cy="5715"/>
                <wp:effectExtent l="0" t="33655" r="11430" b="36830"/>
                <wp:wrapNone/>
                <wp:docPr id="154" name="直接箭头连接符 154"/>
                <wp:cNvGraphicFramePr/>
                <a:graphic xmlns:a="http://schemas.openxmlformats.org/drawingml/2006/main">
                  <a:graphicData uri="http://schemas.microsoft.com/office/word/2010/wordprocessingShape">
                    <wps:wsp>
                      <wps:cNvCnPr/>
                      <wps:spPr>
                        <a:xfrm>
                          <a:off x="0" y="0"/>
                          <a:ext cx="433070" cy="571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327.25pt;margin-top:16.15pt;height:0.45pt;width:34.1pt;z-index:251674624;mso-width-relative:page;mso-height-relative:page;" filled="f" stroked="t" coordsize="21600,21600" o:gfxdata="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ccN0mdoAAAAJAQAADwAAAAAAAAABACAAAAAi&#10;AAAAZHJzL2Rvd25yZXYueG1sUEsBAhQAFAAAAAgAh07iQMUjj58IAgAA9gMAAA4AAAAAAAAAAQAg&#10;AAAAKQEAAGRycy9lMm9Eb2MueG1sUEsFBgAAAAAGAAYAWQEAAKMFAAAAAA==&#10;">
                <v:fill on="f" focussize="0,0"/>
                <v:stroke color="#000000" joinstyle="round" endarrow="block"/>
                <v:imagedata o:title=""/>
                <o:lock v:ext="edit" aspectratio="f"/>
              </v:shape>
            </w:pict>
          </mc:Fallback>
        </mc:AlternateContent>
      </w:r>
      <w:r>
        <w:rPr>
          <w:rFonts w:hint="eastAsia" w:ascii="宋体" w:hAnsi="宋体" w:eastAsia="宋体" w:cs="宋体"/>
          <w:caps w:val="0"/>
          <w:smallCaps w:val="0"/>
          <w:color w:val="auto"/>
          <w:spacing w:val="0"/>
          <w:sz w:val="28"/>
          <w:szCs w:val="28"/>
          <w:highlight w:val="none"/>
          <w:u w:val="none" w:color="auto"/>
        </w:rPr>
        <mc:AlternateContent>
          <mc:Choice Requires="wps">
            <w:drawing>
              <wp:anchor distT="0" distB="0" distL="114300" distR="114300" simplePos="0" relativeHeight="251673600" behindDoc="0" locked="0" layoutInCell="1" allowOverlap="1">
                <wp:simplePos x="0" y="0"/>
                <wp:positionH relativeFrom="column">
                  <wp:posOffset>4589145</wp:posOffset>
                </wp:positionH>
                <wp:positionV relativeFrom="paragraph">
                  <wp:posOffset>84455</wp:posOffset>
                </wp:positionV>
                <wp:extent cx="1051560" cy="281940"/>
                <wp:effectExtent l="4445" t="4445" r="10795" b="5715"/>
                <wp:wrapNone/>
                <wp:docPr id="159" name="文本框 159"/>
                <wp:cNvGraphicFramePr/>
                <a:graphic xmlns:a="http://schemas.openxmlformats.org/drawingml/2006/main">
                  <a:graphicData uri="http://schemas.microsoft.com/office/word/2010/wordprocessingShape">
                    <wps:wsp>
                      <wps:cNvSpPr txBox="1"/>
                      <wps:spPr>
                        <a:xfrm>
                          <a:off x="0" y="0"/>
                          <a:ext cx="1051560" cy="2819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exact"/>
                              <w:ind w:left="0" w:leftChars="0" w:firstLine="0" w:firstLineChars="0"/>
                              <w:jc w:val="both"/>
                              <w:rPr>
                                <w:sz w:val="21"/>
                                <w:szCs w:val="21"/>
                              </w:rPr>
                            </w:pPr>
                            <w:r>
                              <w:rPr>
                                <w:rFonts w:hint="eastAsia"/>
                                <w:sz w:val="21"/>
                                <w:szCs w:val="21"/>
                              </w:rPr>
                              <w:t>25%HCl溶液</w:t>
                            </w:r>
                          </w:p>
                          <w:p/>
                        </w:txbxContent>
                      </wps:txbx>
                      <wps:bodyPr upright="1"/>
                    </wps:wsp>
                  </a:graphicData>
                </a:graphic>
              </wp:anchor>
            </w:drawing>
          </mc:Choice>
          <mc:Fallback>
            <w:pict>
              <v:shape id="_x0000_s1026" o:spid="_x0000_s1026" o:spt="202" type="#_x0000_t202" style="position:absolute;left:0pt;margin-left:361.35pt;margin-top:6.65pt;height:22.2pt;width:82.8pt;z-index:251673600;mso-width-relative:page;mso-height-relative:page;" fillcolor="#FFFFFF" filled="t" stroked="t" coordsize="21600,21600" o:gfxdata="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A4J4ufYAAAACQEAAA8AAAAAAAAAAQAg&#10;AAAAIgAAAGRycy9kb3ducmV2LnhtbFBLAQIUABQAAAAIAIdO4kCXzPisDgIAADoEAAAOAAAAAAAA&#10;AAEAIAAAACcBAABkcnMvZTJvRG9jLnhtbFBLBQYAAAAABgAGAFkBAACnBQAAAAA=&#10;">
                <v:fill on="t" focussize="0,0"/>
                <v:stroke color="#000000" joinstyle="miter"/>
                <v:imagedata o:title=""/>
                <o:lock v:ext="edit" aspectratio="f"/>
                <v:textbox>
                  <w:txbxContent>
                    <w:p>
                      <w:pPr>
                        <w:spacing w:line="240" w:lineRule="exact"/>
                        <w:ind w:left="0" w:leftChars="0" w:firstLine="0" w:firstLineChars="0"/>
                        <w:jc w:val="both"/>
                        <w:rPr>
                          <w:sz w:val="21"/>
                          <w:szCs w:val="21"/>
                        </w:rPr>
                      </w:pPr>
                      <w:r>
                        <w:rPr>
                          <w:rFonts w:hint="eastAsia"/>
                          <w:sz w:val="21"/>
                          <w:szCs w:val="21"/>
                        </w:rPr>
                        <w:t>25%HCl溶液</w:t>
                      </w:r>
                    </w:p>
                    <w:p/>
                  </w:txbxContent>
                </v:textbox>
              </v:shape>
            </w:pict>
          </mc:Fallback>
        </mc:AlternateContent>
      </w:r>
      <w:r>
        <w:rPr>
          <w:rFonts w:hint="eastAsia" w:ascii="宋体" w:hAnsi="宋体" w:eastAsia="宋体" w:cs="宋体"/>
          <w:caps w:val="0"/>
          <w:smallCaps w:val="0"/>
          <w:color w:val="auto"/>
          <w:spacing w:val="0"/>
          <w:sz w:val="28"/>
          <w:szCs w:val="28"/>
          <w:highlight w:val="none"/>
          <w:u w:val="none" w:color="auto"/>
        </w:rPr>
        <mc:AlternateContent>
          <mc:Choice Requires="wps">
            <w:drawing>
              <wp:anchor distT="0" distB="0" distL="114300" distR="114300" simplePos="0" relativeHeight="251668480" behindDoc="0" locked="0" layoutInCell="1" allowOverlap="1">
                <wp:simplePos x="0" y="0"/>
                <wp:positionH relativeFrom="column">
                  <wp:posOffset>3104515</wp:posOffset>
                </wp:positionH>
                <wp:positionV relativeFrom="paragraph">
                  <wp:posOffset>46355</wp:posOffset>
                </wp:positionV>
                <wp:extent cx="1051560" cy="281940"/>
                <wp:effectExtent l="4445" t="4445" r="10795" b="5715"/>
                <wp:wrapNone/>
                <wp:docPr id="164" name="文本框 164"/>
                <wp:cNvGraphicFramePr/>
                <a:graphic xmlns:a="http://schemas.openxmlformats.org/drawingml/2006/main">
                  <a:graphicData uri="http://schemas.microsoft.com/office/word/2010/wordprocessingShape">
                    <wps:wsp>
                      <wps:cNvSpPr txBox="1"/>
                      <wps:spPr>
                        <a:xfrm>
                          <a:off x="0" y="0"/>
                          <a:ext cx="1051560" cy="2819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exact"/>
                              <w:ind w:left="0" w:leftChars="0" w:firstLine="0" w:firstLineChars="0"/>
                              <w:jc w:val="both"/>
                              <w:rPr>
                                <w:sz w:val="21"/>
                                <w:szCs w:val="21"/>
                              </w:rPr>
                            </w:pPr>
                            <w:r>
                              <w:rPr>
                                <w:rFonts w:hint="eastAsia"/>
                                <w:sz w:val="21"/>
                                <w:szCs w:val="21"/>
                              </w:rPr>
                              <w:t>三级降膜吸收</w:t>
                            </w:r>
                          </w:p>
                          <w:p/>
                        </w:txbxContent>
                      </wps:txbx>
                      <wps:bodyPr upright="1"/>
                    </wps:wsp>
                  </a:graphicData>
                </a:graphic>
              </wp:anchor>
            </w:drawing>
          </mc:Choice>
          <mc:Fallback>
            <w:pict>
              <v:shape id="_x0000_s1026" o:spid="_x0000_s1026" o:spt="202" type="#_x0000_t202" style="position:absolute;left:0pt;margin-left:244.45pt;margin-top:3.65pt;height:22.2pt;width:82.8pt;z-index:251668480;mso-width-relative:page;mso-height-relative:page;" fillcolor="#FFFFFF" filled="t" stroked="t" coordsize="21600,21600" o:gfxdata="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C/2Y4LYAAAACAEAAA8AAAAAAAAAAQAg&#10;AAAAIgAAAGRycy9kb3ducmV2LnhtbFBLAQIUABQAAAAIAIdO4kDB4ANQDgIAADoEAAAOAAAAAAAA&#10;AAEAIAAAACcBAABkcnMvZTJvRG9jLnhtbFBLBQYAAAAABgAGAFkBAACnBQAAAAA=&#10;">
                <v:fill on="t" focussize="0,0"/>
                <v:stroke color="#000000" joinstyle="miter"/>
                <v:imagedata o:title=""/>
                <o:lock v:ext="edit" aspectratio="f"/>
                <v:textbox>
                  <w:txbxContent>
                    <w:p>
                      <w:pPr>
                        <w:spacing w:line="240" w:lineRule="exact"/>
                        <w:ind w:left="0" w:leftChars="0" w:firstLine="0" w:firstLineChars="0"/>
                        <w:jc w:val="both"/>
                        <w:rPr>
                          <w:sz w:val="21"/>
                          <w:szCs w:val="21"/>
                        </w:rPr>
                      </w:pPr>
                      <w:r>
                        <w:rPr>
                          <w:rFonts w:hint="eastAsia"/>
                          <w:sz w:val="21"/>
                          <w:szCs w:val="21"/>
                        </w:rPr>
                        <w:t>三级降膜吸收</w:t>
                      </w:r>
                    </w:p>
                    <w:p/>
                  </w:txbxContent>
                </v:textbox>
              </v:shape>
            </w:pict>
          </mc:Fallback>
        </mc:AlternateContent>
      </w:r>
    </w:p>
    <w:p>
      <w:pPr>
        <w:pageBreakBefore w:val="0"/>
        <w:kinsoku/>
        <w:wordWrap/>
        <w:bidi w:val="0"/>
        <w:spacing w:line="360" w:lineRule="auto"/>
        <w:ind w:left="0" w:leftChars="0" w:right="0" w:firstLine="560" w:firstLineChars="200"/>
        <w:rPr>
          <w:rFonts w:hint="eastAsia" w:ascii="宋体" w:hAnsi="宋体" w:eastAsia="宋体" w:cs="宋体"/>
          <w:bCs/>
          <w:caps w:val="0"/>
          <w:smallCaps w:val="0"/>
          <w:color w:val="auto"/>
          <w:spacing w:val="0"/>
          <w:sz w:val="28"/>
          <w:szCs w:val="28"/>
          <w:highlight w:val="none"/>
          <w:u w:val="none" w:color="auto"/>
        </w:rPr>
      </w:pPr>
      <w:r>
        <w:rPr>
          <w:rFonts w:hint="eastAsia" w:ascii="宋体" w:hAnsi="宋体" w:eastAsia="宋体" w:cs="宋体"/>
          <w:caps w:val="0"/>
          <w:smallCaps w:val="0"/>
          <w:color w:val="auto"/>
          <w:spacing w:val="0"/>
          <w:sz w:val="28"/>
          <w:szCs w:val="28"/>
          <w:highlight w:val="none"/>
          <w:u w:val="none" w:color="auto"/>
        </w:rPr>
        <mc:AlternateContent>
          <mc:Choice Requires="wps">
            <w:drawing>
              <wp:anchor distT="0" distB="0" distL="114300" distR="114300" simplePos="0" relativeHeight="251683840" behindDoc="0" locked="0" layoutInCell="1" allowOverlap="1">
                <wp:simplePos x="0" y="0"/>
                <wp:positionH relativeFrom="column">
                  <wp:posOffset>1331595</wp:posOffset>
                </wp:positionH>
                <wp:positionV relativeFrom="paragraph">
                  <wp:posOffset>43180</wp:posOffset>
                </wp:positionV>
                <wp:extent cx="635" cy="548005"/>
                <wp:effectExtent l="37465" t="0" r="38100" b="10795"/>
                <wp:wrapNone/>
                <wp:docPr id="170" name="直接箭头连接符 170"/>
                <wp:cNvGraphicFramePr/>
                <a:graphic xmlns:a="http://schemas.openxmlformats.org/drawingml/2006/main">
                  <a:graphicData uri="http://schemas.microsoft.com/office/word/2010/wordprocessingShape">
                    <wps:wsp>
                      <wps:cNvCnPr/>
                      <wps:spPr>
                        <a:xfrm>
                          <a:off x="0" y="0"/>
                          <a:ext cx="635" cy="54800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104.85pt;margin-top:3.4pt;height:43.15pt;width:0.05pt;z-index:251683840;mso-width-relative:page;mso-height-relative:page;" filled="f" stroked="t" coordsize="21600,21600" o:gfxdata="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KXFNdLXAAAACAEAAA8AAAAAAAAAAQAgAAAAIgAAAGRy&#10;cy9kb3ducmV2LnhtbFBLAQIUABQAAAAIAIdO4kCgaAkHBgIAAPUDAAAOAAAAAAAAAAEAIAAAACYB&#10;AABkcnMvZTJvRG9jLnhtbFBLBQYAAAAABgAGAFkBAACeBQAAAAA=&#10;">
                <v:fill on="f" focussize="0,0"/>
                <v:stroke color="#000000" joinstyle="round" endarrow="block"/>
                <v:imagedata o:title=""/>
                <o:lock v:ext="edit" aspectratio="f"/>
              </v:shape>
            </w:pict>
          </mc:Fallback>
        </mc:AlternateContent>
      </w:r>
    </w:p>
    <w:p>
      <w:pPr>
        <w:pageBreakBefore w:val="0"/>
        <w:kinsoku/>
        <w:wordWrap/>
        <w:bidi w:val="0"/>
        <w:spacing w:line="360" w:lineRule="auto"/>
        <w:ind w:left="0" w:leftChars="0" w:right="0" w:firstLine="560" w:firstLineChars="200"/>
        <w:rPr>
          <w:rFonts w:hint="eastAsia" w:ascii="宋体" w:hAnsi="宋体" w:eastAsia="宋体" w:cs="宋体"/>
          <w:bCs/>
          <w:caps w:val="0"/>
          <w:smallCaps w:val="0"/>
          <w:color w:val="auto"/>
          <w:spacing w:val="0"/>
          <w:sz w:val="28"/>
          <w:szCs w:val="28"/>
          <w:highlight w:val="none"/>
          <w:u w:val="none" w:color="auto"/>
        </w:rPr>
      </w:pPr>
      <w:r>
        <w:rPr>
          <w:rFonts w:hint="eastAsia" w:ascii="宋体" w:hAnsi="宋体" w:eastAsia="宋体" w:cs="宋体"/>
          <w:caps w:val="0"/>
          <w:smallCaps w:val="0"/>
          <w:color w:val="auto"/>
          <w:spacing w:val="0"/>
          <w:sz w:val="28"/>
          <w:szCs w:val="28"/>
          <w:highlight w:val="none"/>
          <w:u w:val="none" w:color="auto"/>
        </w:rPr>
        <mc:AlternateContent>
          <mc:Choice Requires="wps">
            <w:drawing>
              <wp:anchor distT="0" distB="0" distL="114300" distR="114300" simplePos="0" relativeHeight="251687936" behindDoc="0" locked="0" layoutInCell="1" allowOverlap="1">
                <wp:simplePos x="0" y="0"/>
                <wp:positionH relativeFrom="column">
                  <wp:posOffset>977900</wp:posOffset>
                </wp:positionH>
                <wp:positionV relativeFrom="paragraph">
                  <wp:posOffset>273685</wp:posOffset>
                </wp:positionV>
                <wp:extent cx="762000" cy="320040"/>
                <wp:effectExtent l="4445" t="4445" r="8255" b="5715"/>
                <wp:wrapNone/>
                <wp:docPr id="166" name="文本框 166"/>
                <wp:cNvGraphicFramePr/>
                <a:graphic xmlns:a="http://schemas.openxmlformats.org/drawingml/2006/main">
                  <a:graphicData uri="http://schemas.microsoft.com/office/word/2010/wordprocessingShape">
                    <wps:wsp>
                      <wps:cNvSpPr txBox="1"/>
                      <wps:spPr>
                        <a:xfrm>
                          <a:off x="0" y="0"/>
                          <a:ext cx="762000" cy="3200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exact"/>
                              <w:ind w:left="0" w:leftChars="0" w:firstLine="0" w:firstLineChars="0"/>
                              <w:jc w:val="both"/>
                              <w:rPr>
                                <w:sz w:val="21"/>
                                <w:szCs w:val="21"/>
                              </w:rPr>
                            </w:pPr>
                            <w:r>
                              <w:rPr>
                                <w:rFonts w:hint="eastAsia"/>
                                <w:sz w:val="21"/>
                                <w:szCs w:val="21"/>
                              </w:rPr>
                              <w:t>搅拌结晶</w:t>
                            </w:r>
                          </w:p>
                          <w:p/>
                        </w:txbxContent>
                      </wps:txbx>
                      <wps:bodyPr upright="1"/>
                    </wps:wsp>
                  </a:graphicData>
                </a:graphic>
              </wp:anchor>
            </w:drawing>
          </mc:Choice>
          <mc:Fallback>
            <w:pict>
              <v:shape id="_x0000_s1026" o:spid="_x0000_s1026" o:spt="202" type="#_x0000_t202" style="position:absolute;left:0pt;margin-left:77pt;margin-top:21.55pt;height:25.2pt;width:60pt;z-index:251687936;mso-width-relative:page;mso-height-relative:page;" fillcolor="#FFFFFF" filled="t" stroked="t" coordsize="21600,21600" o:gfxdata="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bzt3I2AAAAAkBAAAPAAAAAAAAAAEAIAAA&#10;ACIAAABkcnMvZG93bnJldi54bWxQSwECFAAUAAAACACHTuJAfFNREwwCAAA5BAAADgAAAAAAAAAB&#10;ACAAAAAnAQAAZHJzL2Uyb0RvYy54bWxQSwUGAAAAAAYABgBZAQAApQUAAAAA&#10;">
                <v:fill on="t" focussize="0,0"/>
                <v:stroke color="#000000" joinstyle="miter"/>
                <v:imagedata o:title=""/>
                <o:lock v:ext="edit" aspectratio="f"/>
                <v:textbox>
                  <w:txbxContent>
                    <w:p>
                      <w:pPr>
                        <w:spacing w:line="240" w:lineRule="exact"/>
                        <w:ind w:left="0" w:leftChars="0" w:firstLine="0" w:firstLineChars="0"/>
                        <w:jc w:val="both"/>
                        <w:rPr>
                          <w:sz w:val="21"/>
                          <w:szCs w:val="21"/>
                        </w:rPr>
                      </w:pPr>
                      <w:r>
                        <w:rPr>
                          <w:rFonts w:hint="eastAsia"/>
                          <w:sz w:val="21"/>
                          <w:szCs w:val="21"/>
                        </w:rPr>
                        <w:t>搅拌结晶</w:t>
                      </w:r>
                    </w:p>
                    <w:p/>
                  </w:txbxContent>
                </v:textbox>
              </v:shape>
            </w:pict>
          </mc:Fallback>
        </mc:AlternateContent>
      </w:r>
      <w:r>
        <w:rPr>
          <w:rFonts w:hint="eastAsia" w:ascii="宋体" w:hAnsi="宋体" w:eastAsia="宋体" w:cs="宋体"/>
          <w:caps w:val="0"/>
          <w:smallCaps w:val="0"/>
          <w:color w:val="auto"/>
          <w:spacing w:val="0"/>
          <w:sz w:val="28"/>
          <w:szCs w:val="28"/>
          <w:highlight w:val="none"/>
          <w:u w:val="none" w:color="auto"/>
        </w:rPr>
        <mc:AlternateContent>
          <mc:Choice Requires="wps">
            <w:drawing>
              <wp:anchor distT="0" distB="0" distL="114300" distR="114300" simplePos="0" relativeHeight="251686912" behindDoc="0" locked="0" layoutInCell="1" allowOverlap="1">
                <wp:simplePos x="0" y="0"/>
                <wp:positionH relativeFrom="column">
                  <wp:posOffset>50165</wp:posOffset>
                </wp:positionH>
                <wp:positionV relativeFrom="paragraph">
                  <wp:posOffset>248285</wp:posOffset>
                </wp:positionV>
                <wp:extent cx="635635" cy="398780"/>
                <wp:effectExtent l="0" t="0" r="0" b="0"/>
                <wp:wrapNone/>
                <wp:docPr id="160" name="文本框 160"/>
                <wp:cNvGraphicFramePr/>
                <a:graphic xmlns:a="http://schemas.openxmlformats.org/drawingml/2006/main">
                  <a:graphicData uri="http://schemas.microsoft.com/office/word/2010/wordprocessingShape">
                    <wps:wsp>
                      <wps:cNvSpPr txBox="1"/>
                      <wps:spPr>
                        <a:xfrm>
                          <a:off x="0" y="0"/>
                          <a:ext cx="635635" cy="398780"/>
                        </a:xfrm>
                        <a:prstGeom prst="rect">
                          <a:avLst/>
                        </a:prstGeom>
                        <a:noFill/>
                        <a:ln>
                          <a:noFill/>
                        </a:ln>
                      </wps:spPr>
                      <wps:txbx>
                        <w:txbxContent>
                          <w:p>
                            <w:pPr>
                              <w:spacing w:line="240" w:lineRule="exact"/>
                              <w:ind w:left="0" w:leftChars="0" w:firstLine="0" w:firstLineChars="0"/>
                              <w:jc w:val="both"/>
                              <w:rPr>
                                <w:sz w:val="21"/>
                                <w:szCs w:val="21"/>
                              </w:rPr>
                            </w:pPr>
                            <w:r>
                              <w:rPr>
                                <w:rFonts w:hint="eastAsia"/>
                                <w:sz w:val="21"/>
                                <w:szCs w:val="21"/>
                              </w:rPr>
                              <w:t>水</w:t>
                            </w:r>
                          </w:p>
                          <w:p>
                            <w:pPr>
                              <w:spacing w:line="240" w:lineRule="exact"/>
                              <w:ind w:left="0" w:leftChars="0" w:firstLine="0" w:firstLineChars="0"/>
                              <w:jc w:val="both"/>
                              <w:rPr>
                                <w:sz w:val="21"/>
                                <w:szCs w:val="21"/>
                              </w:rPr>
                            </w:pPr>
                            <w:r>
                              <w:rPr>
                                <w:rFonts w:hint="eastAsia"/>
                                <w:sz w:val="21"/>
                                <w:szCs w:val="21"/>
                              </w:rPr>
                              <w:t>碳酸钠</w:t>
                            </w:r>
                          </w:p>
                        </w:txbxContent>
                      </wps:txbx>
                      <wps:bodyPr upright="1"/>
                    </wps:wsp>
                  </a:graphicData>
                </a:graphic>
              </wp:anchor>
            </w:drawing>
          </mc:Choice>
          <mc:Fallback>
            <w:pict>
              <v:shape id="_x0000_s1026" o:spid="_x0000_s1026" o:spt="202" type="#_x0000_t202" style="position:absolute;left:0pt;margin-left:3.95pt;margin-top:19.55pt;height:31.4pt;width:50.05pt;z-index:251686912;mso-width-relative:page;mso-height-relative:page;" filled="f" stroked="f" coordsize="21600,21600" o:gfxdata="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B8LacK1AAAAAgB&#10;AAAPAAAAAAAAAAEAIAAAACIAAABkcnMvZG93bnJldi54bWxQSwECFAAUAAAACACHTuJA1VeJf60B&#10;AABRAwAADgAAAAAAAAABACAAAAAjAQAAZHJzL2Uyb0RvYy54bWxQSwUGAAAAAAYABgBZAQAAQgUA&#10;AAAA&#10;">
                <v:fill on="f" focussize="0,0"/>
                <v:stroke on="f"/>
                <v:imagedata o:title=""/>
                <o:lock v:ext="edit" aspectratio="f"/>
                <v:textbox>
                  <w:txbxContent>
                    <w:p>
                      <w:pPr>
                        <w:spacing w:line="240" w:lineRule="exact"/>
                        <w:ind w:left="0" w:leftChars="0" w:firstLine="0" w:firstLineChars="0"/>
                        <w:jc w:val="both"/>
                        <w:rPr>
                          <w:sz w:val="21"/>
                          <w:szCs w:val="21"/>
                        </w:rPr>
                      </w:pPr>
                      <w:r>
                        <w:rPr>
                          <w:rFonts w:hint="eastAsia"/>
                          <w:sz w:val="21"/>
                          <w:szCs w:val="21"/>
                        </w:rPr>
                        <w:t>水</w:t>
                      </w:r>
                    </w:p>
                    <w:p>
                      <w:pPr>
                        <w:spacing w:line="240" w:lineRule="exact"/>
                        <w:ind w:left="0" w:leftChars="0" w:firstLine="0" w:firstLineChars="0"/>
                        <w:jc w:val="both"/>
                        <w:rPr>
                          <w:sz w:val="21"/>
                          <w:szCs w:val="21"/>
                        </w:rPr>
                      </w:pPr>
                      <w:r>
                        <w:rPr>
                          <w:rFonts w:hint="eastAsia"/>
                          <w:sz w:val="21"/>
                          <w:szCs w:val="21"/>
                        </w:rPr>
                        <w:t>碳酸钠</w:t>
                      </w:r>
                    </w:p>
                  </w:txbxContent>
                </v:textbox>
              </v:shape>
            </w:pict>
          </mc:Fallback>
        </mc:AlternateContent>
      </w:r>
      <w:r>
        <w:rPr>
          <w:rFonts w:hint="eastAsia" w:ascii="宋体" w:hAnsi="宋体" w:eastAsia="宋体" w:cs="宋体"/>
          <w:caps w:val="0"/>
          <w:smallCaps w:val="0"/>
          <w:color w:val="auto"/>
          <w:spacing w:val="0"/>
          <w:sz w:val="28"/>
          <w:szCs w:val="28"/>
          <w:highlight w:val="none"/>
          <w:u w:val="none" w:color="auto"/>
        </w:rPr>
        <mc:AlternateContent>
          <mc:Choice Requires="wps">
            <w:drawing>
              <wp:anchor distT="0" distB="0" distL="114300" distR="114300" simplePos="0" relativeHeight="251685888" behindDoc="0" locked="0" layoutInCell="1" allowOverlap="1">
                <wp:simplePos x="0" y="0"/>
                <wp:positionH relativeFrom="column">
                  <wp:posOffset>1726565</wp:posOffset>
                </wp:positionH>
                <wp:positionV relativeFrom="paragraph">
                  <wp:posOffset>143510</wp:posOffset>
                </wp:positionV>
                <wp:extent cx="236220" cy="127000"/>
                <wp:effectExtent l="0" t="20955" r="5080" b="4445"/>
                <wp:wrapNone/>
                <wp:docPr id="161" name="曲线连接符 161"/>
                <wp:cNvGraphicFramePr/>
                <a:graphic xmlns:a="http://schemas.openxmlformats.org/drawingml/2006/main">
                  <a:graphicData uri="http://schemas.microsoft.com/office/word/2010/wordprocessingShape">
                    <wps:wsp>
                      <wps:cNvCnPr/>
                      <wps:spPr>
                        <a:xfrm flipV="1">
                          <a:off x="0" y="0"/>
                          <a:ext cx="236220" cy="127000"/>
                        </a:xfrm>
                        <a:prstGeom prst="curvedConnector3">
                          <a:avLst>
                            <a:gd name="adj1" fmla="val 50000"/>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8" type="#_x0000_t38" style="position:absolute;left:0pt;flip:y;margin-left:135.95pt;margin-top:11.3pt;height:10pt;width:18.6pt;z-index:251685888;mso-width-relative:page;mso-height-relative:page;" filled="f" stroked="t" coordsize="21600,21600" o:gfxdata="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E2p7r3X&#10;AAAACQEAAA8AAAAAAAAAAQAgAAAAIgAAAGRycy9kb3ducmV2LnhtbFBLAQIUABQAAAAIAIdO4kBS&#10;31HsIQIAACcEAAAOAAAAAAAAAAEAIAAAACYBAABkcnMvZTJvRG9jLnhtbFBLBQYAAAAABgAGAFkB&#10;AAC5BQAAAAA=&#10;" adj="10800">
                <v:fill on="f" focussize="0,0"/>
                <v:stroke color="#000000" joinstyle="round" endarrow="block"/>
                <v:imagedata o:title=""/>
                <o:lock v:ext="edit" aspectratio="f"/>
              </v:shape>
            </w:pict>
          </mc:Fallback>
        </mc:AlternateContent>
      </w:r>
      <w:r>
        <w:rPr>
          <w:rFonts w:hint="eastAsia" w:ascii="宋体" w:hAnsi="宋体" w:eastAsia="宋体" w:cs="宋体"/>
          <w:caps w:val="0"/>
          <w:smallCaps w:val="0"/>
          <w:color w:val="auto"/>
          <w:spacing w:val="0"/>
          <w:sz w:val="28"/>
          <w:szCs w:val="28"/>
          <w:highlight w:val="none"/>
          <w:u w:val="none" w:color="auto"/>
        </w:rPr>
        <mc:AlternateContent>
          <mc:Choice Requires="wps">
            <w:drawing>
              <wp:anchor distT="0" distB="0" distL="114300" distR="114300" simplePos="0" relativeHeight="251684864" behindDoc="0" locked="0" layoutInCell="1" allowOverlap="1">
                <wp:simplePos x="0" y="0"/>
                <wp:positionH relativeFrom="column">
                  <wp:posOffset>1953260</wp:posOffset>
                </wp:positionH>
                <wp:positionV relativeFrom="paragraph">
                  <wp:posOffset>6350</wp:posOffset>
                </wp:positionV>
                <wp:extent cx="790575" cy="287020"/>
                <wp:effectExtent l="5080" t="4445" r="4445" b="13335"/>
                <wp:wrapNone/>
                <wp:docPr id="171" name="文本框 171"/>
                <wp:cNvGraphicFramePr/>
                <a:graphic xmlns:a="http://schemas.openxmlformats.org/drawingml/2006/main">
                  <a:graphicData uri="http://schemas.microsoft.com/office/word/2010/wordprocessingShape">
                    <wps:wsp>
                      <wps:cNvSpPr txBox="1"/>
                      <wps:spPr>
                        <a:xfrm>
                          <a:off x="0" y="0"/>
                          <a:ext cx="790575" cy="287020"/>
                        </a:xfrm>
                        <a:prstGeom prst="rect">
                          <a:avLst/>
                        </a:prstGeom>
                        <a:noFill/>
                        <a:ln w="9525" cap="flat" cmpd="sng">
                          <a:solidFill>
                            <a:srgbClr val="000000"/>
                          </a:solidFill>
                          <a:prstDash val="dash"/>
                          <a:miter/>
                          <a:headEnd type="none" w="med" len="med"/>
                          <a:tailEnd type="none" w="med" len="med"/>
                        </a:ln>
                      </wps:spPr>
                      <wps:txbx>
                        <w:txbxContent>
                          <w:p>
                            <w:pPr>
                              <w:spacing w:line="240" w:lineRule="exact"/>
                              <w:ind w:left="0" w:leftChars="0" w:firstLine="0" w:firstLineChars="0"/>
                              <w:rPr>
                                <w:sz w:val="21"/>
                                <w:szCs w:val="21"/>
                                <w:vertAlign w:val="subscript"/>
                              </w:rPr>
                            </w:pPr>
                            <w:r>
                              <w:rPr>
                                <w:sz w:val="21"/>
                                <w:szCs w:val="21"/>
                              </w:rPr>
                              <w:t>G</w:t>
                            </w:r>
                            <w:r>
                              <w:rPr>
                                <w:rFonts w:hint="eastAsia"/>
                                <w:sz w:val="21"/>
                                <w:szCs w:val="21"/>
                                <w:vertAlign w:val="subscript"/>
                              </w:rPr>
                              <w:t>3</w:t>
                            </w:r>
                            <w:r>
                              <w:rPr>
                                <w:sz w:val="21"/>
                                <w:szCs w:val="21"/>
                                <w:vertAlign w:val="subscript"/>
                              </w:rPr>
                              <w:t>-</w:t>
                            </w:r>
                            <w:r>
                              <w:rPr>
                                <w:rFonts w:hint="eastAsia"/>
                                <w:sz w:val="21"/>
                                <w:szCs w:val="21"/>
                                <w:vertAlign w:val="subscript"/>
                              </w:rPr>
                              <w:t>2</w:t>
                            </w:r>
                            <w:r>
                              <w:rPr>
                                <w:rFonts w:hAnsi="宋体"/>
                                <w:sz w:val="21"/>
                                <w:szCs w:val="21"/>
                              </w:rPr>
                              <w:t>：</w:t>
                            </w:r>
                            <w:r>
                              <w:rPr>
                                <w:rFonts w:hint="eastAsia"/>
                                <w:sz w:val="21"/>
                                <w:szCs w:val="21"/>
                              </w:rPr>
                              <w:t>CO</w:t>
                            </w:r>
                            <w:r>
                              <w:rPr>
                                <w:rFonts w:hint="eastAsia"/>
                                <w:sz w:val="21"/>
                                <w:szCs w:val="21"/>
                                <w:vertAlign w:val="subscript"/>
                              </w:rPr>
                              <w:t>2</w:t>
                            </w:r>
                          </w:p>
                          <w:p>
                            <w:pPr>
                              <w:spacing w:line="240" w:lineRule="exact"/>
                              <w:rPr>
                                <w:sz w:val="21"/>
                                <w:szCs w:val="21"/>
                              </w:rPr>
                            </w:pPr>
                          </w:p>
                        </w:txbxContent>
                      </wps:txbx>
                      <wps:bodyPr upright="1"/>
                    </wps:wsp>
                  </a:graphicData>
                </a:graphic>
              </wp:anchor>
            </w:drawing>
          </mc:Choice>
          <mc:Fallback>
            <w:pict>
              <v:shape id="_x0000_s1026" o:spid="_x0000_s1026" o:spt="202" type="#_x0000_t202" style="position:absolute;left:0pt;margin-left:153.8pt;margin-top:0.5pt;height:22.6pt;width:62.25pt;z-index:251684864;mso-width-relative:page;mso-height-relative:page;" filled="f" stroked="t" coordsize="21600,21600" o:gfxdata="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Ejp2uXYAAAACAEAAA8AAAAAAAAAAQAgAAAAIgAA&#10;AGRycy9kb3ducmV2LnhtbFBLAQIUABQAAAAIAIdO4kArQufICAIAAA8EAAAOAAAAAAAAAAEAIAAA&#10;ACcBAABkcnMvZTJvRG9jLnhtbFBLBQYAAAAABgAGAFkBAAChBQAAAAA=&#10;">
                <v:fill on="f" focussize="0,0"/>
                <v:stroke color="#000000" joinstyle="miter" dashstyle="dash"/>
                <v:imagedata o:title=""/>
                <o:lock v:ext="edit" aspectratio="f"/>
                <v:textbox>
                  <w:txbxContent>
                    <w:p>
                      <w:pPr>
                        <w:spacing w:line="240" w:lineRule="exact"/>
                        <w:ind w:left="0" w:leftChars="0" w:firstLine="0" w:firstLineChars="0"/>
                        <w:rPr>
                          <w:sz w:val="21"/>
                          <w:szCs w:val="21"/>
                          <w:vertAlign w:val="subscript"/>
                        </w:rPr>
                      </w:pPr>
                      <w:r>
                        <w:rPr>
                          <w:sz w:val="21"/>
                          <w:szCs w:val="21"/>
                        </w:rPr>
                        <w:t>G</w:t>
                      </w:r>
                      <w:r>
                        <w:rPr>
                          <w:rFonts w:hint="eastAsia"/>
                          <w:sz w:val="21"/>
                          <w:szCs w:val="21"/>
                          <w:vertAlign w:val="subscript"/>
                        </w:rPr>
                        <w:t>3</w:t>
                      </w:r>
                      <w:r>
                        <w:rPr>
                          <w:sz w:val="21"/>
                          <w:szCs w:val="21"/>
                          <w:vertAlign w:val="subscript"/>
                        </w:rPr>
                        <w:t>-</w:t>
                      </w:r>
                      <w:r>
                        <w:rPr>
                          <w:rFonts w:hint="eastAsia"/>
                          <w:sz w:val="21"/>
                          <w:szCs w:val="21"/>
                          <w:vertAlign w:val="subscript"/>
                        </w:rPr>
                        <w:t>2</w:t>
                      </w:r>
                      <w:r>
                        <w:rPr>
                          <w:rFonts w:hAnsi="宋体"/>
                          <w:sz w:val="21"/>
                          <w:szCs w:val="21"/>
                        </w:rPr>
                        <w:t>：</w:t>
                      </w:r>
                      <w:r>
                        <w:rPr>
                          <w:rFonts w:hint="eastAsia"/>
                          <w:sz w:val="21"/>
                          <w:szCs w:val="21"/>
                        </w:rPr>
                        <w:t>CO</w:t>
                      </w:r>
                      <w:r>
                        <w:rPr>
                          <w:rFonts w:hint="eastAsia"/>
                          <w:sz w:val="21"/>
                          <w:szCs w:val="21"/>
                          <w:vertAlign w:val="subscript"/>
                        </w:rPr>
                        <w:t>2</w:t>
                      </w:r>
                    </w:p>
                    <w:p>
                      <w:pPr>
                        <w:spacing w:line="240" w:lineRule="exact"/>
                        <w:rPr>
                          <w:sz w:val="21"/>
                          <w:szCs w:val="21"/>
                        </w:rPr>
                      </w:pPr>
                    </w:p>
                  </w:txbxContent>
                </v:textbox>
              </v:shape>
            </w:pict>
          </mc:Fallback>
        </mc:AlternateContent>
      </w:r>
    </w:p>
    <w:p>
      <w:pPr>
        <w:pageBreakBefore w:val="0"/>
        <w:kinsoku/>
        <w:wordWrap/>
        <w:bidi w:val="0"/>
        <w:spacing w:line="360" w:lineRule="auto"/>
        <w:ind w:left="0" w:leftChars="0" w:right="0" w:firstLine="560" w:firstLineChars="200"/>
        <w:rPr>
          <w:rFonts w:hint="eastAsia" w:ascii="宋体" w:hAnsi="宋体" w:eastAsia="宋体" w:cs="宋体"/>
          <w:bCs/>
          <w:caps w:val="0"/>
          <w:smallCaps w:val="0"/>
          <w:color w:val="auto"/>
          <w:spacing w:val="0"/>
          <w:sz w:val="28"/>
          <w:szCs w:val="28"/>
          <w:highlight w:val="none"/>
          <w:u w:val="none" w:color="auto"/>
        </w:rPr>
      </w:pPr>
      <w:r>
        <w:rPr>
          <w:rFonts w:hint="eastAsia" w:ascii="宋体" w:hAnsi="宋体" w:eastAsia="宋体" w:cs="宋体"/>
          <w:caps w:val="0"/>
          <w:smallCaps w:val="0"/>
          <w:color w:val="auto"/>
          <w:spacing w:val="0"/>
          <w:sz w:val="28"/>
          <w:szCs w:val="28"/>
          <w:highlight w:val="none"/>
          <w:u w:val="none" w:color="auto"/>
        </w:rPr>
        <mc:AlternateContent>
          <mc:Choice Requires="wps">
            <w:drawing>
              <wp:anchor distT="0" distB="0" distL="114300" distR="114300" simplePos="0" relativeHeight="251694080" behindDoc="0" locked="0" layoutInCell="1" allowOverlap="1">
                <wp:simplePos x="0" y="0"/>
                <wp:positionH relativeFrom="column">
                  <wp:posOffset>1318260</wp:posOffset>
                </wp:positionH>
                <wp:positionV relativeFrom="paragraph">
                  <wp:posOffset>276225</wp:posOffset>
                </wp:positionV>
                <wp:extent cx="635" cy="548005"/>
                <wp:effectExtent l="37465" t="0" r="38100" b="10795"/>
                <wp:wrapNone/>
                <wp:docPr id="162" name="直接箭头连接符 162"/>
                <wp:cNvGraphicFramePr/>
                <a:graphic xmlns:a="http://schemas.openxmlformats.org/drawingml/2006/main">
                  <a:graphicData uri="http://schemas.microsoft.com/office/word/2010/wordprocessingShape">
                    <wps:wsp>
                      <wps:cNvCnPr/>
                      <wps:spPr>
                        <a:xfrm>
                          <a:off x="0" y="0"/>
                          <a:ext cx="635" cy="54800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103.8pt;margin-top:21.75pt;height:43.15pt;width:0.05pt;z-index:251694080;mso-width-relative:page;mso-height-relative:page;" filled="f" stroked="t" coordsize="21600,21600" o:gfxdata="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KTLc5naAAAACgEAAA8AAAAAAAAAAQAgAAAAIgAA&#10;AGRycy9kb3ducmV2LnhtbFBLAQIUABQAAAAIAIdO4kB2Vf+/BgIAAPUDAAAOAAAAAAAAAAEAIAAA&#10;ACkBAABkcnMvZTJvRG9jLnhtbFBLBQYAAAAABgAGAFkBAAChBQAAAAA=&#10;">
                <v:fill on="f" focussize="0,0"/>
                <v:stroke color="#000000" joinstyle="round" endarrow="block"/>
                <v:imagedata o:title=""/>
                <o:lock v:ext="edit" aspectratio="f"/>
              </v:shape>
            </w:pict>
          </mc:Fallback>
        </mc:AlternateContent>
      </w:r>
      <w:r>
        <w:rPr>
          <w:rFonts w:hint="eastAsia" w:ascii="宋体" w:hAnsi="宋体" w:eastAsia="宋体" w:cs="宋体"/>
          <w:caps w:val="0"/>
          <w:smallCaps w:val="0"/>
          <w:color w:val="auto"/>
          <w:spacing w:val="0"/>
          <w:sz w:val="28"/>
          <w:szCs w:val="28"/>
          <w:highlight w:val="none"/>
          <w:u w:val="none" w:color="auto"/>
        </w:rPr>
        <mc:AlternateContent>
          <mc:Choice Requires="wps">
            <w:drawing>
              <wp:anchor distT="0" distB="0" distL="114300" distR="114300" simplePos="0" relativeHeight="251680768" behindDoc="0" locked="0" layoutInCell="1" allowOverlap="1">
                <wp:simplePos x="0" y="0"/>
                <wp:positionH relativeFrom="column">
                  <wp:posOffset>544830</wp:posOffset>
                </wp:positionH>
                <wp:positionV relativeFrom="paragraph">
                  <wp:posOffset>110490</wp:posOffset>
                </wp:positionV>
                <wp:extent cx="433070" cy="5715"/>
                <wp:effectExtent l="0" t="33655" r="11430" b="36830"/>
                <wp:wrapNone/>
                <wp:docPr id="147" name="直接箭头连接符 147"/>
                <wp:cNvGraphicFramePr/>
                <a:graphic xmlns:a="http://schemas.openxmlformats.org/drawingml/2006/main">
                  <a:graphicData uri="http://schemas.microsoft.com/office/word/2010/wordprocessingShape">
                    <wps:wsp>
                      <wps:cNvCnPr/>
                      <wps:spPr>
                        <a:xfrm>
                          <a:off x="0" y="0"/>
                          <a:ext cx="433070" cy="571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42.9pt;margin-top:8.7pt;height:0.45pt;width:34.1pt;z-index:251680768;mso-width-relative:page;mso-height-relative:page;" filled="f" stroked="t" coordsize="21600,21600" o:gfxdata="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cruwA9gAAAAIAQAADwAAAAAAAAABACAAAAAiAAAA&#10;ZHJzL2Rvd25yZXYueG1sUEsBAhQAFAAAAAgAh07iQFc0QGIHAgAA9gMAAA4AAAAAAAAAAQAgAAAA&#10;JwEAAGRycy9lMm9Eb2MueG1sUEsFBgAAAAAGAAYAWQEAAKAFAAAAAA==&#10;">
                <v:fill on="f" focussize="0,0"/>
                <v:stroke color="#000000" joinstyle="round" endarrow="block"/>
                <v:imagedata o:title=""/>
                <o:lock v:ext="edit" aspectratio="f"/>
              </v:shape>
            </w:pict>
          </mc:Fallback>
        </mc:AlternateContent>
      </w:r>
    </w:p>
    <w:p>
      <w:pPr>
        <w:pageBreakBefore w:val="0"/>
        <w:kinsoku/>
        <w:wordWrap/>
        <w:bidi w:val="0"/>
        <w:spacing w:line="360" w:lineRule="auto"/>
        <w:ind w:left="0" w:leftChars="0" w:right="0" w:firstLine="560" w:firstLineChars="200"/>
        <w:rPr>
          <w:rFonts w:hint="eastAsia" w:ascii="宋体" w:hAnsi="宋体" w:eastAsia="宋体" w:cs="宋体"/>
          <w:bCs/>
          <w:caps w:val="0"/>
          <w:smallCaps w:val="0"/>
          <w:color w:val="auto"/>
          <w:spacing w:val="0"/>
          <w:sz w:val="28"/>
          <w:szCs w:val="28"/>
          <w:highlight w:val="none"/>
          <w:u w:val="none" w:color="auto"/>
        </w:rPr>
      </w:pPr>
      <w:r>
        <w:rPr>
          <w:rFonts w:hint="eastAsia" w:ascii="宋体" w:hAnsi="宋体" w:eastAsia="宋体" w:cs="宋体"/>
          <w:caps w:val="0"/>
          <w:smallCaps w:val="0"/>
          <w:color w:val="auto"/>
          <w:spacing w:val="0"/>
          <w:sz w:val="28"/>
          <w:szCs w:val="28"/>
          <w:highlight w:val="none"/>
          <w:u w:val="none" w:color="auto"/>
        </w:rPr>
        <mc:AlternateContent>
          <mc:Choice Requires="wps">
            <w:drawing>
              <wp:anchor distT="0" distB="0" distL="114300" distR="114300" simplePos="0" relativeHeight="251702272" behindDoc="0" locked="0" layoutInCell="1" allowOverlap="1">
                <wp:simplePos x="0" y="0"/>
                <wp:positionH relativeFrom="column">
                  <wp:posOffset>4688205</wp:posOffset>
                </wp:positionH>
                <wp:positionV relativeFrom="paragraph">
                  <wp:posOffset>290830</wp:posOffset>
                </wp:positionV>
                <wp:extent cx="270510" cy="221615"/>
                <wp:effectExtent l="0" t="15875" r="8890" b="16510"/>
                <wp:wrapNone/>
                <wp:docPr id="172" name="曲线连接符 172"/>
                <wp:cNvGraphicFramePr/>
                <a:graphic xmlns:a="http://schemas.openxmlformats.org/drawingml/2006/main">
                  <a:graphicData uri="http://schemas.microsoft.com/office/word/2010/wordprocessingShape">
                    <wps:wsp>
                      <wps:cNvCnPr/>
                      <wps:spPr>
                        <a:xfrm flipV="1">
                          <a:off x="0" y="0"/>
                          <a:ext cx="270510" cy="221615"/>
                        </a:xfrm>
                        <a:prstGeom prst="curvedConnector3">
                          <a:avLst>
                            <a:gd name="adj1" fmla="val 50000"/>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8" type="#_x0000_t38" style="position:absolute;left:0pt;flip:y;margin-left:369.15pt;margin-top:22.9pt;height:17.45pt;width:21.3pt;z-index:251702272;mso-width-relative:page;mso-height-relative:page;" filled="f" stroked="t" coordsize="21600,21600" o:gfxdata="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qXMnQtcA&#10;AAAJAQAADwAAAAAAAAABACAAAAAiAAAAZHJzL2Rvd25yZXYueG1sUEsBAhQAFAAAAAgAh07iQM4D&#10;5bMgAgAAJwQAAA4AAAAAAAAAAQAgAAAAJgEAAGRycy9lMm9Eb2MueG1sUEsFBgAAAAAGAAYAWQEA&#10;ALgFAAAAAA==&#10;" adj="10800">
                <v:fill on="f" focussize="0,0"/>
                <v:stroke color="#000000" joinstyle="round" endarrow="block"/>
                <v:imagedata o:title=""/>
                <o:lock v:ext="edit" aspectratio="f"/>
              </v:shape>
            </w:pict>
          </mc:Fallback>
        </mc:AlternateContent>
      </w:r>
      <w:r>
        <w:rPr>
          <w:rFonts w:hint="eastAsia" w:ascii="宋体" w:hAnsi="宋体" w:eastAsia="宋体" w:cs="宋体"/>
          <w:caps w:val="0"/>
          <w:smallCaps w:val="0"/>
          <w:color w:val="auto"/>
          <w:spacing w:val="0"/>
          <w:sz w:val="28"/>
          <w:szCs w:val="28"/>
          <w:highlight w:val="none"/>
          <w:u w:val="none" w:color="auto"/>
        </w:rPr>
        <mc:AlternateContent>
          <mc:Choice Requires="wps">
            <w:drawing>
              <wp:anchor distT="0" distB="0" distL="114300" distR="114300" simplePos="0" relativeHeight="251701248" behindDoc="0" locked="0" layoutInCell="1" allowOverlap="1">
                <wp:simplePos x="0" y="0"/>
                <wp:positionH relativeFrom="column">
                  <wp:posOffset>4958715</wp:posOffset>
                </wp:positionH>
                <wp:positionV relativeFrom="paragraph">
                  <wp:posOffset>140970</wp:posOffset>
                </wp:positionV>
                <wp:extent cx="1076960" cy="307975"/>
                <wp:effectExtent l="4445" t="4445" r="10795" b="5080"/>
                <wp:wrapNone/>
                <wp:docPr id="163" name="文本框 163"/>
                <wp:cNvGraphicFramePr/>
                <a:graphic xmlns:a="http://schemas.openxmlformats.org/drawingml/2006/main">
                  <a:graphicData uri="http://schemas.microsoft.com/office/word/2010/wordprocessingShape">
                    <wps:wsp>
                      <wps:cNvSpPr txBox="1"/>
                      <wps:spPr>
                        <a:xfrm>
                          <a:off x="0" y="0"/>
                          <a:ext cx="1076960" cy="307975"/>
                        </a:xfrm>
                        <a:prstGeom prst="rect">
                          <a:avLst/>
                        </a:prstGeom>
                        <a:noFill/>
                        <a:ln w="9525" cap="flat" cmpd="sng">
                          <a:solidFill>
                            <a:srgbClr val="000000"/>
                          </a:solidFill>
                          <a:prstDash val="dash"/>
                          <a:miter/>
                          <a:headEnd type="none" w="med" len="med"/>
                          <a:tailEnd type="none" w="med" len="med"/>
                        </a:ln>
                      </wps:spPr>
                      <wps:txbx>
                        <w:txbxContent>
                          <w:p>
                            <w:pPr>
                              <w:spacing w:line="240" w:lineRule="exact"/>
                              <w:ind w:left="0" w:leftChars="0" w:firstLine="0" w:firstLineChars="0"/>
                              <w:rPr>
                                <w:sz w:val="21"/>
                                <w:szCs w:val="21"/>
                              </w:rPr>
                            </w:pPr>
                            <w:r>
                              <w:rPr>
                                <w:sz w:val="21"/>
                                <w:szCs w:val="21"/>
                              </w:rPr>
                              <w:t>G</w:t>
                            </w:r>
                            <w:r>
                              <w:rPr>
                                <w:rFonts w:hint="eastAsia"/>
                                <w:sz w:val="21"/>
                                <w:szCs w:val="21"/>
                                <w:vertAlign w:val="subscript"/>
                              </w:rPr>
                              <w:t>3</w:t>
                            </w:r>
                            <w:r>
                              <w:rPr>
                                <w:sz w:val="21"/>
                                <w:szCs w:val="21"/>
                                <w:vertAlign w:val="subscript"/>
                              </w:rPr>
                              <w:t>-</w:t>
                            </w:r>
                            <w:r>
                              <w:rPr>
                                <w:rFonts w:hint="eastAsia"/>
                                <w:sz w:val="21"/>
                                <w:szCs w:val="21"/>
                                <w:vertAlign w:val="subscript"/>
                              </w:rPr>
                              <w:t>3</w:t>
                            </w:r>
                            <w:r>
                              <w:rPr>
                                <w:rFonts w:hAnsi="宋体"/>
                                <w:sz w:val="21"/>
                                <w:szCs w:val="21"/>
                              </w:rPr>
                              <w:t>：氯苯，水</w:t>
                            </w:r>
                          </w:p>
                        </w:txbxContent>
                      </wps:txbx>
                      <wps:bodyPr upright="1"/>
                    </wps:wsp>
                  </a:graphicData>
                </a:graphic>
              </wp:anchor>
            </w:drawing>
          </mc:Choice>
          <mc:Fallback>
            <w:pict>
              <v:shape id="_x0000_s1026" o:spid="_x0000_s1026" o:spt="202" type="#_x0000_t202" style="position:absolute;left:0pt;margin-left:390.45pt;margin-top:11.1pt;height:24.25pt;width:84.8pt;z-index:251701248;mso-width-relative:page;mso-height-relative:page;" filled="f" stroked="t" coordsize="21600,21600" o:gfxdata="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OlRSaXZAAAACQEAAA8AAAAAAAAAAQAgAAAAIgAA&#10;AGRycy9kb3ducmV2LnhtbFBLAQIUABQAAAAIAIdO4kBDVVrZBwIAABAEAAAOAAAAAAAAAAEAIAAA&#10;ACgBAABkcnMvZTJvRG9jLnhtbFBLBQYAAAAABgAGAFkBAAChBQAAAAA=&#10;">
                <v:fill on="f" focussize="0,0"/>
                <v:stroke color="#000000" joinstyle="miter" dashstyle="dash"/>
                <v:imagedata o:title=""/>
                <o:lock v:ext="edit" aspectratio="f"/>
                <v:textbox>
                  <w:txbxContent>
                    <w:p>
                      <w:pPr>
                        <w:spacing w:line="240" w:lineRule="exact"/>
                        <w:ind w:left="0" w:leftChars="0" w:firstLine="0" w:firstLineChars="0"/>
                        <w:rPr>
                          <w:sz w:val="21"/>
                          <w:szCs w:val="21"/>
                        </w:rPr>
                      </w:pPr>
                      <w:r>
                        <w:rPr>
                          <w:sz w:val="21"/>
                          <w:szCs w:val="21"/>
                        </w:rPr>
                        <w:t>G</w:t>
                      </w:r>
                      <w:r>
                        <w:rPr>
                          <w:rFonts w:hint="eastAsia"/>
                          <w:sz w:val="21"/>
                          <w:szCs w:val="21"/>
                          <w:vertAlign w:val="subscript"/>
                        </w:rPr>
                        <w:t>3</w:t>
                      </w:r>
                      <w:r>
                        <w:rPr>
                          <w:sz w:val="21"/>
                          <w:szCs w:val="21"/>
                          <w:vertAlign w:val="subscript"/>
                        </w:rPr>
                        <w:t>-</w:t>
                      </w:r>
                      <w:r>
                        <w:rPr>
                          <w:rFonts w:hint="eastAsia"/>
                          <w:sz w:val="21"/>
                          <w:szCs w:val="21"/>
                          <w:vertAlign w:val="subscript"/>
                        </w:rPr>
                        <w:t>3</w:t>
                      </w:r>
                      <w:r>
                        <w:rPr>
                          <w:rFonts w:hAnsi="宋体"/>
                          <w:sz w:val="21"/>
                          <w:szCs w:val="21"/>
                        </w:rPr>
                        <w:t>：氯苯，水</w:t>
                      </w:r>
                    </w:p>
                  </w:txbxContent>
                </v:textbox>
              </v:shape>
            </w:pict>
          </mc:Fallback>
        </mc:AlternateContent>
      </w:r>
      <w:r>
        <w:rPr>
          <w:rFonts w:hint="eastAsia" w:ascii="宋体" w:hAnsi="宋体" w:eastAsia="宋体" w:cs="宋体"/>
          <w:caps w:val="0"/>
          <w:smallCaps w:val="0"/>
          <w:color w:val="auto"/>
          <w:spacing w:val="0"/>
          <w:sz w:val="28"/>
          <w:szCs w:val="28"/>
          <w:highlight w:val="none"/>
          <w:u w:val="none" w:color="auto"/>
        </w:rPr>
        <mc:AlternateContent>
          <mc:Choice Requires="wps">
            <w:drawing>
              <wp:anchor distT="0" distB="0" distL="114300" distR="114300" simplePos="0" relativeHeight="251699200" behindDoc="0" locked="0" layoutInCell="1" allowOverlap="1">
                <wp:simplePos x="0" y="0"/>
                <wp:positionH relativeFrom="column">
                  <wp:posOffset>3001010</wp:posOffset>
                </wp:positionH>
                <wp:positionV relativeFrom="paragraph">
                  <wp:posOffset>100330</wp:posOffset>
                </wp:positionV>
                <wp:extent cx="515620" cy="257175"/>
                <wp:effectExtent l="4445" t="5080" r="13335" b="4445"/>
                <wp:wrapNone/>
                <wp:docPr id="151" name="文本框 151"/>
                <wp:cNvGraphicFramePr/>
                <a:graphic xmlns:a="http://schemas.openxmlformats.org/drawingml/2006/main">
                  <a:graphicData uri="http://schemas.microsoft.com/office/word/2010/wordprocessingShape">
                    <wps:wsp>
                      <wps:cNvSpPr txBox="1"/>
                      <wps:spPr>
                        <a:xfrm>
                          <a:off x="0" y="0"/>
                          <a:ext cx="515620" cy="257175"/>
                        </a:xfrm>
                        <a:prstGeom prst="rect">
                          <a:avLst/>
                        </a:prstGeom>
                        <a:noFill/>
                        <a:ln w="9525" cap="flat" cmpd="sng">
                          <a:solidFill>
                            <a:srgbClr val="000000"/>
                          </a:solidFill>
                          <a:prstDash val="dash"/>
                          <a:miter/>
                          <a:headEnd type="none" w="med" len="med"/>
                          <a:tailEnd type="none" w="med" len="med"/>
                        </a:ln>
                      </wps:spPr>
                      <wps:txbx>
                        <w:txbxContent>
                          <w:p>
                            <w:pPr>
                              <w:spacing w:line="240" w:lineRule="exact"/>
                              <w:ind w:left="0" w:leftChars="0" w:firstLine="0" w:firstLineChars="0"/>
                              <w:rPr>
                                <w:sz w:val="21"/>
                                <w:szCs w:val="21"/>
                              </w:rPr>
                            </w:pPr>
                            <w:r>
                              <w:rPr>
                                <w:sz w:val="21"/>
                                <w:szCs w:val="21"/>
                              </w:rPr>
                              <w:t>W</w:t>
                            </w:r>
                            <w:r>
                              <w:rPr>
                                <w:rFonts w:hint="eastAsia"/>
                                <w:sz w:val="21"/>
                                <w:szCs w:val="21"/>
                                <w:vertAlign w:val="subscript"/>
                              </w:rPr>
                              <w:t>3</w:t>
                            </w:r>
                            <w:r>
                              <w:rPr>
                                <w:sz w:val="21"/>
                                <w:szCs w:val="21"/>
                                <w:vertAlign w:val="subscript"/>
                              </w:rPr>
                              <w:t>-</w:t>
                            </w:r>
                            <w:r>
                              <w:rPr>
                                <w:rFonts w:hint="eastAsia"/>
                                <w:sz w:val="21"/>
                                <w:szCs w:val="21"/>
                                <w:vertAlign w:val="subscript"/>
                              </w:rPr>
                              <w:t>1</w:t>
                            </w:r>
                          </w:p>
                        </w:txbxContent>
                      </wps:txbx>
                      <wps:bodyPr upright="1"/>
                    </wps:wsp>
                  </a:graphicData>
                </a:graphic>
              </wp:anchor>
            </w:drawing>
          </mc:Choice>
          <mc:Fallback>
            <w:pict>
              <v:shape id="_x0000_s1026" o:spid="_x0000_s1026" o:spt="202" type="#_x0000_t202" style="position:absolute;left:0pt;margin-left:236.3pt;margin-top:7.9pt;height:20.25pt;width:40.6pt;z-index:251699200;mso-width-relative:page;mso-height-relative:page;" filled="f" stroked="t" coordsize="21600,21600" o:gfxdata="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H231UXYAAAACQEAAA8AAAAAAAAAAQAgAAAAIgAAAGRy&#10;cy9kb3ducmV2LnhtbFBLAQIUABQAAAAIAIdO4kCujtvfBQIAAA8EAAAOAAAAAAAAAAEAIAAAACcB&#10;AABkcnMvZTJvRG9jLnhtbFBLBQYAAAAABgAGAFkBAACeBQAAAAA=&#10;">
                <v:fill on="f" focussize="0,0"/>
                <v:stroke color="#000000" joinstyle="miter" dashstyle="dash"/>
                <v:imagedata o:title=""/>
                <o:lock v:ext="edit" aspectratio="f"/>
                <v:textbox>
                  <w:txbxContent>
                    <w:p>
                      <w:pPr>
                        <w:spacing w:line="240" w:lineRule="exact"/>
                        <w:ind w:left="0" w:leftChars="0" w:firstLine="0" w:firstLineChars="0"/>
                        <w:rPr>
                          <w:sz w:val="21"/>
                          <w:szCs w:val="21"/>
                        </w:rPr>
                      </w:pPr>
                      <w:r>
                        <w:rPr>
                          <w:sz w:val="21"/>
                          <w:szCs w:val="21"/>
                        </w:rPr>
                        <w:t>W</w:t>
                      </w:r>
                      <w:r>
                        <w:rPr>
                          <w:rFonts w:hint="eastAsia"/>
                          <w:sz w:val="21"/>
                          <w:szCs w:val="21"/>
                          <w:vertAlign w:val="subscript"/>
                        </w:rPr>
                        <w:t>3</w:t>
                      </w:r>
                      <w:r>
                        <w:rPr>
                          <w:sz w:val="21"/>
                          <w:szCs w:val="21"/>
                          <w:vertAlign w:val="subscript"/>
                        </w:rPr>
                        <w:t>-</w:t>
                      </w:r>
                      <w:r>
                        <w:rPr>
                          <w:rFonts w:hint="eastAsia"/>
                          <w:sz w:val="21"/>
                          <w:szCs w:val="21"/>
                          <w:vertAlign w:val="subscript"/>
                        </w:rPr>
                        <w:t>1</w:t>
                      </w:r>
                    </w:p>
                  </w:txbxContent>
                </v:textbox>
              </v:shape>
            </w:pict>
          </mc:Fallback>
        </mc:AlternateContent>
      </w:r>
    </w:p>
    <w:p>
      <w:pPr>
        <w:pageBreakBefore w:val="0"/>
        <w:kinsoku/>
        <w:wordWrap/>
        <w:bidi w:val="0"/>
        <w:spacing w:line="360" w:lineRule="auto"/>
        <w:ind w:left="0" w:leftChars="0" w:right="0" w:firstLine="560" w:firstLineChars="200"/>
        <w:rPr>
          <w:rFonts w:hint="eastAsia" w:ascii="宋体" w:hAnsi="宋体" w:eastAsia="宋体" w:cs="宋体"/>
          <w:bCs/>
          <w:caps w:val="0"/>
          <w:smallCaps w:val="0"/>
          <w:color w:val="auto"/>
          <w:spacing w:val="0"/>
          <w:sz w:val="28"/>
          <w:szCs w:val="28"/>
          <w:highlight w:val="none"/>
          <w:u w:val="none" w:color="auto"/>
        </w:rPr>
      </w:pPr>
      <w:r>
        <w:rPr>
          <w:rFonts w:hint="eastAsia" w:ascii="宋体" w:hAnsi="宋体" w:eastAsia="宋体" w:cs="宋体"/>
          <w:caps w:val="0"/>
          <w:smallCaps w:val="0"/>
          <w:color w:val="auto"/>
          <w:spacing w:val="0"/>
          <w:sz w:val="28"/>
          <w:szCs w:val="28"/>
          <w:highlight w:val="none"/>
          <w:u w:val="none" w:color="auto"/>
        </w:rPr>
        <mc:AlternateContent>
          <mc:Choice Requires="wps">
            <w:drawing>
              <wp:anchor distT="0" distB="0" distL="114300" distR="114300" simplePos="0" relativeHeight="251704320" behindDoc="0" locked="0" layoutInCell="1" allowOverlap="1">
                <wp:simplePos x="0" y="0"/>
                <wp:positionH relativeFrom="column">
                  <wp:posOffset>4361815</wp:posOffset>
                </wp:positionH>
                <wp:positionV relativeFrom="paragraph">
                  <wp:posOffset>198755</wp:posOffset>
                </wp:positionV>
                <wp:extent cx="734695" cy="248920"/>
                <wp:effectExtent l="4445" t="5080" r="10160" b="12700"/>
                <wp:wrapNone/>
                <wp:docPr id="152" name="文本框 152"/>
                <wp:cNvGraphicFramePr/>
                <a:graphic xmlns:a="http://schemas.openxmlformats.org/drawingml/2006/main">
                  <a:graphicData uri="http://schemas.microsoft.com/office/word/2010/wordprocessingShape">
                    <wps:wsp>
                      <wps:cNvSpPr txBox="1"/>
                      <wps:spPr>
                        <a:xfrm>
                          <a:off x="0" y="0"/>
                          <a:ext cx="734695" cy="24892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exact"/>
                              <w:ind w:left="0" w:leftChars="0" w:firstLine="0" w:firstLineChars="0"/>
                              <w:jc w:val="both"/>
                              <w:rPr>
                                <w:sz w:val="21"/>
                                <w:szCs w:val="21"/>
                              </w:rPr>
                            </w:pPr>
                            <w:r>
                              <w:rPr>
                                <w:rFonts w:hint="eastAsia"/>
                                <w:sz w:val="21"/>
                                <w:szCs w:val="21"/>
                              </w:rPr>
                              <w:t>二级冷凝</w:t>
                            </w:r>
                          </w:p>
                          <w:p>
                            <w:pPr>
                              <w:spacing w:line="240" w:lineRule="exact"/>
                              <w:jc w:val="center"/>
                            </w:pPr>
                          </w:p>
                        </w:txbxContent>
                      </wps:txbx>
                      <wps:bodyPr upright="1"/>
                    </wps:wsp>
                  </a:graphicData>
                </a:graphic>
              </wp:anchor>
            </w:drawing>
          </mc:Choice>
          <mc:Fallback>
            <w:pict>
              <v:shape id="_x0000_s1026" o:spid="_x0000_s1026" o:spt="202" type="#_x0000_t202" style="position:absolute;left:0pt;margin-left:343.45pt;margin-top:15.65pt;height:19.6pt;width:57.85pt;z-index:251704320;mso-width-relative:page;mso-height-relative:page;" fillcolor="#FFFFFF" filled="t" stroked="t" coordsize="21600,21600" o:gfxdata="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oyb1o2QAAAAkBAAAPAAAAAAAAAAEA&#10;IAAAACIAAABkcnMvZG93bnJldi54bWxQSwECFAAUAAAACACHTuJA/ruYkA4CAAA5BAAADgAAAAAA&#10;AAABACAAAAAoAQAAZHJzL2Uyb0RvYy54bWxQSwUGAAAAAAYABgBZAQAAqAUAAAAA&#10;">
                <v:fill on="t" focussize="0,0"/>
                <v:stroke color="#000000" joinstyle="miter"/>
                <v:imagedata o:title=""/>
                <o:lock v:ext="edit" aspectratio="f"/>
                <v:textbox>
                  <w:txbxContent>
                    <w:p>
                      <w:pPr>
                        <w:spacing w:line="240" w:lineRule="exact"/>
                        <w:ind w:left="0" w:leftChars="0" w:firstLine="0" w:firstLineChars="0"/>
                        <w:jc w:val="both"/>
                        <w:rPr>
                          <w:sz w:val="21"/>
                          <w:szCs w:val="21"/>
                        </w:rPr>
                      </w:pPr>
                      <w:r>
                        <w:rPr>
                          <w:rFonts w:hint="eastAsia"/>
                          <w:sz w:val="21"/>
                          <w:szCs w:val="21"/>
                        </w:rPr>
                        <w:t>二级冷凝</w:t>
                      </w:r>
                    </w:p>
                    <w:p>
                      <w:pPr>
                        <w:spacing w:line="240" w:lineRule="exact"/>
                        <w:jc w:val="center"/>
                      </w:pPr>
                    </w:p>
                  </w:txbxContent>
                </v:textbox>
              </v:shape>
            </w:pict>
          </mc:Fallback>
        </mc:AlternateContent>
      </w:r>
      <w:r>
        <w:rPr>
          <w:rFonts w:hint="eastAsia" w:ascii="宋体" w:hAnsi="宋体" w:eastAsia="宋体" w:cs="宋体"/>
          <w:caps w:val="0"/>
          <w:smallCaps w:val="0"/>
          <w:color w:val="auto"/>
          <w:spacing w:val="0"/>
          <w:sz w:val="28"/>
          <w:szCs w:val="28"/>
          <w:highlight w:val="none"/>
          <w:u w:val="none" w:color="auto"/>
        </w:rPr>
        <mc:AlternateContent>
          <mc:Choice Requires="wps">
            <w:drawing>
              <wp:anchor distT="0" distB="0" distL="114300" distR="114300" simplePos="0" relativeHeight="251703296" behindDoc="0" locked="0" layoutInCell="1" allowOverlap="1">
                <wp:simplePos x="0" y="0"/>
                <wp:positionH relativeFrom="column">
                  <wp:posOffset>2810510</wp:posOffset>
                </wp:positionH>
                <wp:positionV relativeFrom="paragraph">
                  <wp:posOffset>9525</wp:posOffset>
                </wp:positionV>
                <wp:extent cx="190500" cy="194310"/>
                <wp:effectExtent l="3175" t="0" r="9525" b="8890"/>
                <wp:wrapNone/>
                <wp:docPr id="14" name="直接箭头连接符 14"/>
                <wp:cNvGraphicFramePr/>
                <a:graphic xmlns:a="http://schemas.openxmlformats.org/drawingml/2006/main">
                  <a:graphicData uri="http://schemas.microsoft.com/office/word/2010/wordprocessingShape">
                    <wps:wsp>
                      <wps:cNvCnPr/>
                      <wps:spPr>
                        <a:xfrm flipV="1">
                          <a:off x="0" y="0"/>
                          <a:ext cx="190500" cy="19431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flip:y;margin-left:221.3pt;margin-top:0.75pt;height:15.3pt;width:15pt;z-index:251703296;mso-width-relative:page;mso-height-relative:page;" filled="f" stroked="t" coordsize="21600,21600" o:gfxdata="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MKCJtLXAAAACAEAAA8AAAAAAAAA&#10;AQAgAAAAIgAAAGRycy9kb3ducmV2LnhtbFBLAQIUABQAAAAIAIdO4kAxoCrzEgIAAAAEAAAOAAAA&#10;AAAAAAEAIAAAACYBAABkcnMvZTJvRG9jLnhtbFBLBQYAAAAABgAGAFkBAACqBQAAAAA=&#10;">
                <v:fill on="f" focussize="0,0"/>
                <v:stroke color="#000000" joinstyle="round" endarrow="block"/>
                <v:imagedata o:title=""/>
                <o:lock v:ext="edit" aspectratio="f"/>
              </v:shape>
            </w:pict>
          </mc:Fallback>
        </mc:AlternateContent>
      </w:r>
      <w:r>
        <w:rPr>
          <w:rFonts w:hint="eastAsia" w:ascii="宋体" w:hAnsi="宋体" w:eastAsia="宋体" w:cs="宋体"/>
          <w:caps w:val="0"/>
          <w:smallCaps w:val="0"/>
          <w:color w:val="auto"/>
          <w:spacing w:val="0"/>
          <w:sz w:val="28"/>
          <w:szCs w:val="28"/>
          <w:highlight w:val="none"/>
          <w:u w:val="none" w:color="auto"/>
        </w:rPr>
        <mc:AlternateContent>
          <mc:Choice Requires="wps">
            <w:drawing>
              <wp:anchor distT="0" distB="0" distL="114300" distR="114300" simplePos="0" relativeHeight="251697152" behindDoc="0" locked="0" layoutInCell="1" allowOverlap="1">
                <wp:simplePos x="0" y="0"/>
                <wp:positionH relativeFrom="column">
                  <wp:posOffset>930910</wp:posOffset>
                </wp:positionH>
                <wp:positionV relativeFrom="paragraph">
                  <wp:posOffset>189230</wp:posOffset>
                </wp:positionV>
                <wp:extent cx="762000" cy="320040"/>
                <wp:effectExtent l="4445" t="4445" r="8255" b="5715"/>
                <wp:wrapNone/>
                <wp:docPr id="5" name="文本框 5"/>
                <wp:cNvGraphicFramePr/>
                <a:graphic xmlns:a="http://schemas.openxmlformats.org/drawingml/2006/main">
                  <a:graphicData uri="http://schemas.microsoft.com/office/word/2010/wordprocessingShape">
                    <wps:wsp>
                      <wps:cNvSpPr txBox="1"/>
                      <wps:spPr>
                        <a:xfrm>
                          <a:off x="0" y="0"/>
                          <a:ext cx="762000" cy="3200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exact"/>
                              <w:ind w:left="0" w:leftChars="0" w:firstLine="0" w:firstLineChars="0"/>
                              <w:jc w:val="both"/>
                              <w:rPr>
                                <w:sz w:val="21"/>
                                <w:szCs w:val="21"/>
                              </w:rPr>
                            </w:pPr>
                            <w:r>
                              <w:rPr>
                                <w:rFonts w:hint="eastAsia"/>
                                <w:sz w:val="21"/>
                                <w:szCs w:val="21"/>
                              </w:rPr>
                              <w:t>离心</w:t>
                            </w:r>
                          </w:p>
                          <w:p/>
                        </w:txbxContent>
                      </wps:txbx>
                      <wps:bodyPr upright="1"/>
                    </wps:wsp>
                  </a:graphicData>
                </a:graphic>
              </wp:anchor>
            </w:drawing>
          </mc:Choice>
          <mc:Fallback>
            <w:pict>
              <v:shape id="_x0000_s1026" o:spid="_x0000_s1026" o:spt="202" type="#_x0000_t202" style="position:absolute;left:0pt;margin-left:73.3pt;margin-top:14.9pt;height:25.2pt;width:60pt;z-index:251697152;mso-width-relative:page;mso-height-relative:page;" fillcolor="#FFFFFF" filled="t" stroked="t" coordsize="21600,21600" o:gfxdata="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O9J9gnWAAAACQEAAA8AAAAAAAAAAQAgAAAAIgAA&#10;AGRycy9kb3ducmV2LnhtbFBLAQIUABQAAAAIAIdO4kDoLtHtCgIAADUEAAAOAAAAAAAAAAEAIAAA&#10;ACUBAABkcnMvZTJvRG9jLnhtbFBLBQYAAAAABgAGAFkBAAChBQAAAAA=&#10;">
                <v:fill on="t" focussize="0,0"/>
                <v:stroke color="#000000" joinstyle="miter"/>
                <v:imagedata o:title=""/>
                <o:lock v:ext="edit" aspectratio="f"/>
                <v:textbox>
                  <w:txbxContent>
                    <w:p>
                      <w:pPr>
                        <w:spacing w:line="240" w:lineRule="exact"/>
                        <w:ind w:left="0" w:leftChars="0" w:firstLine="0" w:firstLineChars="0"/>
                        <w:jc w:val="both"/>
                        <w:rPr>
                          <w:sz w:val="21"/>
                          <w:szCs w:val="21"/>
                        </w:rPr>
                      </w:pPr>
                      <w:r>
                        <w:rPr>
                          <w:rFonts w:hint="eastAsia"/>
                          <w:sz w:val="21"/>
                          <w:szCs w:val="21"/>
                        </w:rPr>
                        <w:t>离心</w:t>
                      </w:r>
                    </w:p>
                    <w:p/>
                  </w:txbxContent>
                </v:textbox>
              </v:shape>
            </w:pict>
          </mc:Fallback>
        </mc:AlternateContent>
      </w:r>
      <w:r>
        <w:rPr>
          <w:rFonts w:hint="eastAsia" w:ascii="宋体" w:hAnsi="宋体" w:eastAsia="宋体" w:cs="宋体"/>
          <w:caps w:val="0"/>
          <w:smallCaps w:val="0"/>
          <w:color w:val="auto"/>
          <w:spacing w:val="0"/>
          <w:sz w:val="28"/>
          <w:szCs w:val="28"/>
          <w:highlight w:val="none"/>
          <w:u w:val="none" w:color="auto"/>
        </w:rPr>
        <mc:AlternateContent>
          <mc:Choice Requires="wps">
            <w:drawing>
              <wp:anchor distT="0" distB="0" distL="114300" distR="114300" simplePos="0" relativeHeight="251696128" behindDoc="0" locked="0" layoutInCell="1" allowOverlap="1">
                <wp:simplePos x="0" y="0"/>
                <wp:positionH relativeFrom="column">
                  <wp:posOffset>3243580</wp:posOffset>
                </wp:positionH>
                <wp:positionV relativeFrom="paragraph">
                  <wp:posOffset>203835</wp:posOffset>
                </wp:positionV>
                <wp:extent cx="833755" cy="281940"/>
                <wp:effectExtent l="4445" t="5080" r="12700" b="5080"/>
                <wp:wrapNone/>
                <wp:docPr id="77" name="文本框 77"/>
                <wp:cNvGraphicFramePr/>
                <a:graphic xmlns:a="http://schemas.openxmlformats.org/drawingml/2006/main">
                  <a:graphicData uri="http://schemas.microsoft.com/office/word/2010/wordprocessingShape">
                    <wps:wsp>
                      <wps:cNvSpPr txBox="1"/>
                      <wps:spPr>
                        <a:xfrm>
                          <a:off x="0" y="0"/>
                          <a:ext cx="833755" cy="2819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exact"/>
                              <w:ind w:left="0" w:leftChars="0" w:firstLine="0" w:firstLineChars="0"/>
                              <w:jc w:val="both"/>
                              <w:rPr>
                                <w:sz w:val="21"/>
                                <w:szCs w:val="21"/>
                              </w:rPr>
                            </w:pPr>
                            <w:r>
                              <w:rPr>
                                <w:rFonts w:hint="eastAsia"/>
                                <w:sz w:val="21"/>
                                <w:szCs w:val="21"/>
                              </w:rPr>
                              <w:t>常压蒸馏</w:t>
                            </w:r>
                          </w:p>
                          <w:p/>
                        </w:txbxContent>
                      </wps:txbx>
                      <wps:bodyPr upright="1"/>
                    </wps:wsp>
                  </a:graphicData>
                </a:graphic>
              </wp:anchor>
            </w:drawing>
          </mc:Choice>
          <mc:Fallback>
            <w:pict>
              <v:shape id="_x0000_s1026" o:spid="_x0000_s1026" o:spt="202" type="#_x0000_t202" style="position:absolute;left:0pt;margin-left:255.4pt;margin-top:16.05pt;height:22.2pt;width:65.65pt;z-index:251696128;mso-width-relative:page;mso-height-relative:page;" fillcolor="#FFFFFF" filled="t" stroked="t" coordsize="21600,21600" o:gfxdata="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J7Kq2QAAAAkBAAAPAAAAAAAAAAEA&#10;IAAAACIAAABkcnMvZG93bnJldi54bWxQSwECFAAUAAAACACHTuJApgj76w4CAAA3BAAADgAAAAAA&#10;AAABACAAAAAoAQAAZHJzL2Uyb0RvYy54bWxQSwUGAAAAAAYABgBZAQAAqAUAAAAA&#10;">
                <v:fill on="t" focussize="0,0"/>
                <v:stroke color="#000000" joinstyle="miter"/>
                <v:imagedata o:title=""/>
                <o:lock v:ext="edit" aspectratio="f"/>
                <v:textbox>
                  <w:txbxContent>
                    <w:p>
                      <w:pPr>
                        <w:spacing w:line="240" w:lineRule="exact"/>
                        <w:ind w:left="0" w:leftChars="0" w:firstLine="0" w:firstLineChars="0"/>
                        <w:jc w:val="both"/>
                        <w:rPr>
                          <w:sz w:val="21"/>
                          <w:szCs w:val="21"/>
                        </w:rPr>
                      </w:pPr>
                      <w:r>
                        <w:rPr>
                          <w:rFonts w:hint="eastAsia"/>
                          <w:sz w:val="21"/>
                          <w:szCs w:val="21"/>
                        </w:rPr>
                        <w:t>常压蒸馏</w:t>
                      </w:r>
                    </w:p>
                    <w:p/>
                  </w:txbxContent>
                </v:textbox>
              </v:shape>
            </w:pict>
          </mc:Fallback>
        </mc:AlternateContent>
      </w:r>
      <w:r>
        <w:rPr>
          <w:rFonts w:hint="eastAsia" w:ascii="宋体" w:hAnsi="宋体" w:eastAsia="宋体" w:cs="宋体"/>
          <w:caps w:val="0"/>
          <w:smallCaps w:val="0"/>
          <w:color w:val="auto"/>
          <w:spacing w:val="0"/>
          <w:sz w:val="28"/>
          <w:szCs w:val="28"/>
          <w:highlight w:val="none"/>
          <w:u w:val="none" w:color="auto"/>
        </w:rPr>
        <mc:AlternateContent>
          <mc:Choice Requires="wps">
            <w:drawing>
              <wp:anchor distT="0" distB="0" distL="114300" distR="114300" simplePos="0" relativeHeight="251695104" behindDoc="0" locked="0" layoutInCell="1" allowOverlap="1">
                <wp:simplePos x="0" y="0"/>
                <wp:positionH relativeFrom="column">
                  <wp:posOffset>2150745</wp:posOffset>
                </wp:positionH>
                <wp:positionV relativeFrom="paragraph">
                  <wp:posOffset>189230</wp:posOffset>
                </wp:positionV>
                <wp:extent cx="667385" cy="320040"/>
                <wp:effectExtent l="4445" t="4445" r="13970" b="5715"/>
                <wp:wrapNone/>
                <wp:docPr id="9" name="文本框 9"/>
                <wp:cNvGraphicFramePr/>
                <a:graphic xmlns:a="http://schemas.openxmlformats.org/drawingml/2006/main">
                  <a:graphicData uri="http://schemas.microsoft.com/office/word/2010/wordprocessingShape">
                    <wps:wsp>
                      <wps:cNvSpPr txBox="1"/>
                      <wps:spPr>
                        <a:xfrm>
                          <a:off x="0" y="0"/>
                          <a:ext cx="667385" cy="3200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exact"/>
                              <w:ind w:left="0" w:leftChars="0" w:firstLine="0" w:firstLineChars="0"/>
                              <w:jc w:val="both"/>
                              <w:rPr>
                                <w:sz w:val="21"/>
                                <w:szCs w:val="21"/>
                              </w:rPr>
                            </w:pPr>
                            <w:r>
                              <w:rPr>
                                <w:rFonts w:hint="eastAsia"/>
                                <w:sz w:val="21"/>
                                <w:szCs w:val="21"/>
                              </w:rPr>
                              <w:t>分层</w:t>
                            </w:r>
                          </w:p>
                          <w:p/>
                        </w:txbxContent>
                      </wps:txbx>
                      <wps:bodyPr upright="1"/>
                    </wps:wsp>
                  </a:graphicData>
                </a:graphic>
              </wp:anchor>
            </w:drawing>
          </mc:Choice>
          <mc:Fallback>
            <w:pict>
              <v:shape id="_x0000_s1026" o:spid="_x0000_s1026" o:spt="202" type="#_x0000_t202" style="position:absolute;left:0pt;margin-left:169.35pt;margin-top:14.9pt;height:25.2pt;width:52.55pt;z-index:251695104;mso-width-relative:page;mso-height-relative:page;" fillcolor="#FFFFFF" filled="t" stroked="t" coordsize="21600,21600" o:gfxdata="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LnWlANkAAAAJAQAADwAAAAAAAAABACAA&#10;AAAiAAAAZHJzL2Rvd25yZXYueG1sUEsBAhQAFAAAAAgAh07iQJBrIOEMAgAANQQAAA4AAAAAAAAA&#10;AQAgAAAAKAEAAGRycy9lMm9Eb2MueG1sUEsFBgAAAAAGAAYAWQEAAKYFAAAAAA==&#10;">
                <v:fill on="t" focussize="0,0"/>
                <v:stroke color="#000000" joinstyle="miter"/>
                <v:imagedata o:title=""/>
                <o:lock v:ext="edit" aspectratio="f"/>
                <v:textbox>
                  <w:txbxContent>
                    <w:p>
                      <w:pPr>
                        <w:spacing w:line="240" w:lineRule="exact"/>
                        <w:ind w:left="0" w:leftChars="0" w:firstLine="0" w:firstLineChars="0"/>
                        <w:jc w:val="both"/>
                        <w:rPr>
                          <w:sz w:val="21"/>
                          <w:szCs w:val="21"/>
                        </w:rPr>
                      </w:pPr>
                      <w:r>
                        <w:rPr>
                          <w:rFonts w:hint="eastAsia"/>
                          <w:sz w:val="21"/>
                          <w:szCs w:val="21"/>
                        </w:rPr>
                        <w:t>分层</w:t>
                      </w:r>
                    </w:p>
                    <w:p/>
                  </w:txbxContent>
                </v:textbox>
              </v:shape>
            </w:pict>
          </mc:Fallback>
        </mc:AlternateContent>
      </w:r>
    </w:p>
    <w:p>
      <w:pPr>
        <w:pageBreakBefore w:val="0"/>
        <w:kinsoku/>
        <w:wordWrap/>
        <w:bidi w:val="0"/>
        <w:spacing w:line="360" w:lineRule="auto"/>
        <w:ind w:left="0" w:leftChars="0" w:right="0" w:firstLine="560" w:firstLineChars="200"/>
        <w:rPr>
          <w:rFonts w:hint="eastAsia" w:ascii="宋体" w:hAnsi="宋体" w:eastAsia="宋体" w:cs="宋体"/>
          <w:caps w:val="0"/>
          <w:smallCaps w:val="0"/>
          <w:color w:val="auto"/>
          <w:spacing w:val="0"/>
          <w:sz w:val="28"/>
          <w:szCs w:val="28"/>
          <w:highlight w:val="none"/>
          <w:u w:val="none" w:color="auto"/>
        </w:rPr>
      </w:pPr>
      <w:r>
        <w:rPr>
          <w:rFonts w:hint="eastAsia" w:ascii="宋体" w:hAnsi="宋体" w:eastAsia="宋体" w:cs="宋体"/>
          <w:caps w:val="0"/>
          <w:smallCaps w:val="0"/>
          <w:color w:val="auto"/>
          <w:spacing w:val="0"/>
          <w:sz w:val="28"/>
          <w:szCs w:val="28"/>
          <w:highlight w:val="none"/>
          <w:u w:val="none" w:color="auto"/>
        </w:rPr>
        <mc:AlternateContent>
          <mc:Choice Requires="wps">
            <w:drawing>
              <wp:anchor distT="0" distB="0" distL="114300" distR="114300" simplePos="0" relativeHeight="251705344" behindDoc="0" locked="0" layoutInCell="1" allowOverlap="1">
                <wp:simplePos x="0" y="0"/>
                <wp:positionH relativeFrom="column">
                  <wp:posOffset>1314450</wp:posOffset>
                </wp:positionH>
                <wp:positionV relativeFrom="paragraph">
                  <wp:posOffset>191770</wp:posOffset>
                </wp:positionV>
                <wp:extent cx="3810" cy="530225"/>
                <wp:effectExtent l="34925" t="0" r="37465" b="3175"/>
                <wp:wrapNone/>
                <wp:docPr id="61" name="直接箭头连接符 61"/>
                <wp:cNvGraphicFramePr/>
                <a:graphic xmlns:a="http://schemas.openxmlformats.org/drawingml/2006/main">
                  <a:graphicData uri="http://schemas.microsoft.com/office/word/2010/wordprocessingShape">
                    <wps:wsp>
                      <wps:cNvCnPr/>
                      <wps:spPr>
                        <a:xfrm>
                          <a:off x="0" y="0"/>
                          <a:ext cx="3810" cy="53022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103.5pt;margin-top:15.1pt;height:41.75pt;width:0.3pt;z-index:251705344;mso-width-relative:page;mso-height-relative:page;" filled="f" stroked="t" coordsize="21600,21600" o:gfxdata="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JiLQw9kAAAAKAQAADwAAAAAAAAABACAAAAAiAAAA&#10;ZHJzL2Rvd25yZXYueG1sUEsBAhQAFAAAAAgAh07iQAidIhQGAgAA9AMAAA4AAAAAAAAAAQAgAAAA&#10;KAEAAGRycy9lMm9Eb2MueG1sUEsFBgAAAAAGAAYAWQEAAKAFAAAAAA==&#10;">
                <v:fill on="f" focussize="0,0"/>
                <v:stroke color="#000000" joinstyle="round" endarrow="block"/>
                <v:imagedata o:title=""/>
                <o:lock v:ext="edit" aspectratio="f"/>
              </v:shape>
            </w:pict>
          </mc:Fallback>
        </mc:AlternateContent>
      </w:r>
      <w:r>
        <w:rPr>
          <w:rFonts w:hint="eastAsia" w:ascii="宋体" w:hAnsi="宋体" w:eastAsia="宋体" w:cs="宋体"/>
          <w:caps w:val="0"/>
          <w:smallCaps w:val="0"/>
          <w:color w:val="auto"/>
          <w:spacing w:val="0"/>
          <w:sz w:val="28"/>
          <w:szCs w:val="28"/>
          <w:highlight w:val="none"/>
          <w:u w:val="none" w:color="auto"/>
        </w:rPr>
        <mc:AlternateContent>
          <mc:Choice Requires="wps">
            <w:drawing>
              <wp:anchor distT="0" distB="0" distL="114300" distR="114300" simplePos="0" relativeHeight="251698176" behindDoc="0" locked="0" layoutInCell="1" allowOverlap="1">
                <wp:simplePos x="0" y="0"/>
                <wp:positionH relativeFrom="column">
                  <wp:posOffset>4077335</wp:posOffset>
                </wp:positionH>
                <wp:positionV relativeFrom="paragraph">
                  <wp:posOffset>17780</wp:posOffset>
                </wp:positionV>
                <wp:extent cx="284480" cy="635"/>
                <wp:effectExtent l="0" t="37465" r="7620" b="38100"/>
                <wp:wrapNone/>
                <wp:docPr id="79" name="直接箭头连接符 79"/>
                <wp:cNvGraphicFramePr/>
                <a:graphic xmlns:a="http://schemas.openxmlformats.org/drawingml/2006/main">
                  <a:graphicData uri="http://schemas.microsoft.com/office/word/2010/wordprocessingShape">
                    <wps:wsp>
                      <wps:cNvCnPr/>
                      <wps:spPr>
                        <a:xfrm>
                          <a:off x="0" y="0"/>
                          <a:ext cx="284480" cy="63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321.05pt;margin-top:1.4pt;height:0.05pt;width:22.4pt;z-index:251698176;mso-width-relative:page;mso-height-relative:page;" filled="f" stroked="t" coordsize="21600,21600" o:gfxdata="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ooU/QtYAAAAHAQAADwAAAAAAAAABACAAAAAiAAAAZHJz&#10;L2Rvd25yZXYueG1sUEsBAhQAFAAAAAgAh07iQL3d0xsGAgAA8wMAAA4AAAAAAAAAAQAgAAAAJQEA&#10;AGRycy9lMm9Eb2MueG1sUEsFBgAAAAAGAAYAWQEAAJ0FAAAAAA==&#10;">
                <v:fill on="f" focussize="0,0"/>
                <v:stroke color="#000000" joinstyle="round" endarrow="block"/>
                <v:imagedata o:title=""/>
                <o:lock v:ext="edit" aspectratio="f"/>
              </v:shape>
            </w:pict>
          </mc:Fallback>
        </mc:AlternateContent>
      </w:r>
      <w:r>
        <w:rPr>
          <w:rFonts w:hint="eastAsia" w:ascii="宋体" w:hAnsi="宋体" w:eastAsia="宋体" w:cs="宋体"/>
          <w:caps w:val="0"/>
          <w:smallCaps w:val="0"/>
          <w:color w:val="auto"/>
          <w:spacing w:val="0"/>
          <w:sz w:val="28"/>
          <w:szCs w:val="28"/>
          <w:highlight w:val="none"/>
          <w:u w:val="none" w:color="auto"/>
        </w:rPr>
        <mc:AlternateContent>
          <mc:Choice Requires="wps">
            <w:drawing>
              <wp:anchor distT="0" distB="0" distL="114300" distR="114300" simplePos="0" relativeHeight="251692032" behindDoc="0" locked="0" layoutInCell="1" allowOverlap="1">
                <wp:simplePos x="0" y="0"/>
                <wp:positionH relativeFrom="column">
                  <wp:posOffset>1691640</wp:posOffset>
                </wp:positionH>
                <wp:positionV relativeFrom="paragraph">
                  <wp:posOffset>23495</wp:posOffset>
                </wp:positionV>
                <wp:extent cx="450215" cy="0"/>
                <wp:effectExtent l="0" t="38100" r="6985" b="38100"/>
                <wp:wrapNone/>
                <wp:docPr id="117" name="直接箭头连接符 117"/>
                <wp:cNvGraphicFramePr/>
                <a:graphic xmlns:a="http://schemas.openxmlformats.org/drawingml/2006/main">
                  <a:graphicData uri="http://schemas.microsoft.com/office/word/2010/wordprocessingShape">
                    <wps:wsp>
                      <wps:cNvCnPr/>
                      <wps:spPr>
                        <a:xfrm>
                          <a:off x="0" y="0"/>
                          <a:ext cx="450215" cy="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133.2pt;margin-top:1.85pt;height:0pt;width:35.45pt;z-index:251692032;mso-width-relative:page;mso-height-relative:page;" filled="f" stroked="t" coordsize="21600,21600" o:gfxdata="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gJHwtcAAAAHAQAADwAAAAAAAAABACAAAAAiAAAAZHJz&#10;L2Rvd25yZXYueG1sUEsBAhQAFAAAAAgAh07iQJKDIYoFAgAA8wMAAA4AAAAAAAAAAQAgAAAAJgEA&#10;AGRycy9lMm9Eb2MueG1sUEsFBgAAAAAGAAYAWQEAAJ0FAAAAAA==&#10;">
                <v:fill on="f" focussize="0,0"/>
                <v:stroke color="#000000" joinstyle="round" endarrow="block"/>
                <v:imagedata o:title=""/>
                <o:lock v:ext="edit" aspectratio="f"/>
              </v:shape>
            </w:pict>
          </mc:Fallback>
        </mc:AlternateContent>
      </w:r>
      <w:r>
        <w:rPr>
          <w:rFonts w:hint="eastAsia" w:ascii="宋体" w:hAnsi="宋体" w:eastAsia="宋体" w:cs="宋体"/>
          <w:caps w:val="0"/>
          <w:smallCaps w:val="0"/>
          <w:color w:val="auto"/>
          <w:spacing w:val="0"/>
          <w:sz w:val="28"/>
          <w:szCs w:val="28"/>
          <w:highlight w:val="none"/>
          <w:u w:val="none" w:color="auto"/>
        </w:rPr>
        <mc:AlternateContent>
          <mc:Choice Requires="wps">
            <w:drawing>
              <wp:anchor distT="0" distB="0" distL="114300" distR="114300" simplePos="0" relativeHeight="251691008" behindDoc="0" locked="0" layoutInCell="1" allowOverlap="1">
                <wp:simplePos x="0" y="0"/>
                <wp:positionH relativeFrom="column">
                  <wp:posOffset>4778375</wp:posOffset>
                </wp:positionH>
                <wp:positionV relativeFrom="paragraph">
                  <wp:posOffset>163195</wp:posOffset>
                </wp:positionV>
                <wp:extent cx="0" cy="310515"/>
                <wp:effectExtent l="38100" t="0" r="38100" b="6985"/>
                <wp:wrapNone/>
                <wp:docPr id="6" name="直接箭头连接符 6"/>
                <wp:cNvGraphicFramePr/>
                <a:graphic xmlns:a="http://schemas.openxmlformats.org/drawingml/2006/main">
                  <a:graphicData uri="http://schemas.microsoft.com/office/word/2010/wordprocessingShape">
                    <wps:wsp>
                      <wps:cNvCnPr/>
                      <wps:spPr>
                        <a:xfrm>
                          <a:off x="0" y="0"/>
                          <a:ext cx="0" cy="310515"/>
                        </a:xfrm>
                        <a:prstGeom prst="straightConnector1">
                          <a:avLst/>
                        </a:prstGeom>
                        <a:ln w="9525" cap="flat" cmpd="sng">
                          <a:solidFill>
                            <a:srgbClr val="000000"/>
                          </a:solidFill>
                          <a:prstDash val="dash"/>
                          <a:headEnd type="none" w="med" len="med"/>
                          <a:tailEnd type="triangle" w="med" len="med"/>
                        </a:ln>
                      </wps:spPr>
                      <wps:bodyPr/>
                    </wps:wsp>
                  </a:graphicData>
                </a:graphic>
              </wp:anchor>
            </w:drawing>
          </mc:Choice>
          <mc:Fallback>
            <w:pict>
              <v:shape id="_x0000_s1026" o:spid="_x0000_s1026" o:spt="32" type="#_x0000_t32" style="position:absolute;left:0pt;margin-left:376.25pt;margin-top:12.85pt;height:24.45pt;width:0pt;z-index:251691008;mso-width-relative:page;mso-height-relative:page;" filled="f" stroked="t" coordsize="21600,21600" o:gfxdata="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BMNchl1AAAAAkBAAAPAAAAAAAAAAEAIAAAACIAAABkcnMvZG93bnJl&#10;di54bWxQSwECFAAUAAAACACHTuJA8vR22gECAADuAwAADgAAAAAAAAABACAAAAAjAQAAZHJzL2Uy&#10;b0RvYy54bWxQSwUGAAAAAAYABgBZAQAAlgUAAAAA&#10;">
                <v:fill on="f" focussize="0,0"/>
                <v:stroke color="#000000" joinstyle="round" dashstyle="dash" endarrow="block"/>
                <v:imagedata o:title=""/>
                <o:lock v:ext="edit" aspectratio="f"/>
              </v:shape>
            </w:pict>
          </mc:Fallback>
        </mc:AlternateContent>
      </w:r>
      <w:r>
        <w:rPr>
          <w:rFonts w:hint="eastAsia" w:ascii="宋体" w:hAnsi="宋体" w:eastAsia="宋体" w:cs="宋体"/>
          <w:caps w:val="0"/>
          <w:smallCaps w:val="0"/>
          <w:color w:val="auto"/>
          <w:spacing w:val="0"/>
          <w:sz w:val="28"/>
          <w:szCs w:val="28"/>
          <w:highlight w:val="none"/>
          <w:u w:val="none" w:color="auto"/>
        </w:rPr>
        <mc:AlternateContent>
          <mc:Choice Requires="wps">
            <w:drawing>
              <wp:anchor distT="0" distB="0" distL="114300" distR="114300" simplePos="0" relativeHeight="251689984" behindDoc="0" locked="0" layoutInCell="1" allowOverlap="1">
                <wp:simplePos x="0" y="0"/>
                <wp:positionH relativeFrom="column">
                  <wp:posOffset>3716020</wp:posOffset>
                </wp:positionH>
                <wp:positionV relativeFrom="paragraph">
                  <wp:posOffset>192405</wp:posOffset>
                </wp:positionV>
                <wp:extent cx="0" cy="194945"/>
                <wp:effectExtent l="38100" t="0" r="38100" b="8255"/>
                <wp:wrapNone/>
                <wp:docPr id="8" name="直接箭头连接符 8"/>
                <wp:cNvGraphicFramePr/>
                <a:graphic xmlns:a="http://schemas.openxmlformats.org/drawingml/2006/main">
                  <a:graphicData uri="http://schemas.microsoft.com/office/word/2010/wordprocessingShape">
                    <wps:wsp>
                      <wps:cNvCnPr/>
                      <wps:spPr>
                        <a:xfrm>
                          <a:off x="0" y="0"/>
                          <a:ext cx="0" cy="19494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292.6pt;margin-top:15.15pt;height:15.35pt;width:0pt;z-index:251689984;mso-width-relative:page;mso-height-relative:page;" filled="f" stroked="t" coordsize="21600,21600" o:gfxdata="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spGfttgAAAAJAQAADwAAAAAAAAABACAAAAAiAAAAZHJzL2Rv&#10;d25yZXYueG1sUEsBAhQAFAAAAAgAh07iQG4D4OcBAgAA7wMAAA4AAAAAAAAAAQAgAAAAJwEAAGRy&#10;cy9lMm9Eb2MueG1sUEsFBgAAAAAGAAYAWQEAAJoFAAAAAA==&#10;">
                <v:fill on="f" focussize="0,0"/>
                <v:stroke color="#000000" joinstyle="round" endarrow="block"/>
                <v:imagedata o:title=""/>
                <o:lock v:ext="edit" aspectratio="f"/>
              </v:shape>
            </w:pict>
          </mc:Fallback>
        </mc:AlternateContent>
      </w:r>
      <w:r>
        <w:rPr>
          <w:rFonts w:hint="eastAsia" w:ascii="宋体" w:hAnsi="宋体" w:eastAsia="宋体" w:cs="宋体"/>
          <w:caps w:val="0"/>
          <w:smallCaps w:val="0"/>
          <w:color w:val="auto"/>
          <w:spacing w:val="0"/>
          <w:sz w:val="28"/>
          <w:szCs w:val="28"/>
          <w:highlight w:val="none"/>
          <w:u w:val="none" w:color="auto"/>
        </w:rPr>
        <mc:AlternateContent>
          <mc:Choice Requires="wps">
            <w:drawing>
              <wp:anchor distT="0" distB="0" distL="114300" distR="114300" simplePos="0" relativeHeight="251688960" behindDoc="0" locked="0" layoutInCell="1" allowOverlap="1">
                <wp:simplePos x="0" y="0"/>
                <wp:positionH relativeFrom="column">
                  <wp:posOffset>2818130</wp:posOffset>
                </wp:positionH>
                <wp:positionV relativeFrom="paragraph">
                  <wp:posOffset>17780</wp:posOffset>
                </wp:positionV>
                <wp:extent cx="433070" cy="5715"/>
                <wp:effectExtent l="0" t="33655" r="11430" b="36830"/>
                <wp:wrapNone/>
                <wp:docPr id="13" name="直接箭头连接符 13"/>
                <wp:cNvGraphicFramePr/>
                <a:graphic xmlns:a="http://schemas.openxmlformats.org/drawingml/2006/main">
                  <a:graphicData uri="http://schemas.microsoft.com/office/word/2010/wordprocessingShape">
                    <wps:wsp>
                      <wps:cNvCnPr/>
                      <wps:spPr>
                        <a:xfrm>
                          <a:off x="0" y="0"/>
                          <a:ext cx="433070" cy="571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221.9pt;margin-top:1.4pt;height:0.45pt;width:34.1pt;z-index:251688960;mso-width-relative:page;mso-height-relative:page;" filled="f" stroked="t" coordsize="21600,21600" o:gfxdata="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iauutkAAAAHAQAADwAAAAAAAAABACAAAAAiAAAA&#10;ZHJzL2Rvd25yZXYueG1sUEsBAhQAFAAAAAgAh07iQIowTwAGAgAA9AMAAA4AAAAAAAAAAQAgAAAA&#10;KAEAAGRycy9lMm9Eb2MueG1sUEsFBgAAAAAGAAYAWQEAAKAFAAAAAA==&#10;">
                <v:fill on="f" focussize="0,0"/>
                <v:stroke color="#000000" joinstyle="round" endarrow="block"/>
                <v:imagedata o:title=""/>
                <o:lock v:ext="edit" aspectratio="f"/>
              </v:shape>
            </w:pict>
          </mc:Fallback>
        </mc:AlternateContent>
      </w:r>
    </w:p>
    <w:p>
      <w:pPr>
        <w:pageBreakBefore w:val="0"/>
        <w:kinsoku/>
        <w:wordWrap/>
        <w:bidi w:val="0"/>
        <w:spacing w:line="360" w:lineRule="auto"/>
        <w:ind w:left="0" w:leftChars="0" w:right="0" w:firstLine="560" w:firstLineChars="200"/>
        <w:rPr>
          <w:rFonts w:hint="eastAsia" w:ascii="宋体" w:hAnsi="宋体" w:eastAsia="宋体" w:cs="宋体"/>
          <w:caps w:val="0"/>
          <w:smallCaps w:val="0"/>
          <w:color w:val="auto"/>
          <w:spacing w:val="0"/>
          <w:sz w:val="28"/>
          <w:szCs w:val="28"/>
          <w:highlight w:val="none"/>
          <w:u w:val="none" w:color="auto"/>
        </w:rPr>
      </w:pPr>
      <w:r>
        <w:rPr>
          <w:rFonts w:hint="eastAsia" w:ascii="宋体" w:hAnsi="宋体" w:eastAsia="宋体" w:cs="宋体"/>
          <w:caps w:val="0"/>
          <w:smallCaps w:val="0"/>
          <w:color w:val="auto"/>
          <w:spacing w:val="0"/>
          <w:sz w:val="28"/>
          <w:szCs w:val="28"/>
          <w:highlight w:val="none"/>
          <w:u w:val="none" w:color="auto"/>
        </w:rPr>
        <mc:AlternateContent>
          <mc:Choice Requires="wps">
            <w:drawing>
              <wp:anchor distT="0" distB="0" distL="114300" distR="114300" simplePos="0" relativeHeight="251707392" behindDoc="0" locked="0" layoutInCell="1" allowOverlap="1">
                <wp:simplePos x="0" y="0"/>
                <wp:positionH relativeFrom="column">
                  <wp:posOffset>3469005</wp:posOffset>
                </wp:positionH>
                <wp:positionV relativeFrom="paragraph">
                  <wp:posOffset>80645</wp:posOffset>
                </wp:positionV>
                <wp:extent cx="498475" cy="245745"/>
                <wp:effectExtent l="5080" t="4445" r="4445" b="16510"/>
                <wp:wrapNone/>
                <wp:docPr id="64" name="文本框 64"/>
                <wp:cNvGraphicFramePr/>
                <a:graphic xmlns:a="http://schemas.openxmlformats.org/drawingml/2006/main">
                  <a:graphicData uri="http://schemas.microsoft.com/office/word/2010/wordprocessingShape">
                    <wps:wsp>
                      <wps:cNvSpPr txBox="1"/>
                      <wps:spPr>
                        <a:xfrm>
                          <a:off x="0" y="0"/>
                          <a:ext cx="498475" cy="245745"/>
                        </a:xfrm>
                        <a:prstGeom prst="rect">
                          <a:avLst/>
                        </a:prstGeom>
                        <a:noFill/>
                        <a:ln w="9525" cap="flat" cmpd="sng">
                          <a:solidFill>
                            <a:srgbClr val="000000"/>
                          </a:solidFill>
                          <a:prstDash val="dash"/>
                          <a:miter/>
                          <a:headEnd type="none" w="med" len="med"/>
                          <a:tailEnd type="none" w="med" len="med"/>
                        </a:ln>
                      </wps:spPr>
                      <wps:txbx>
                        <w:txbxContent>
                          <w:p>
                            <w:pPr>
                              <w:spacing w:line="240" w:lineRule="exact"/>
                              <w:ind w:left="0" w:leftChars="0" w:firstLine="0" w:firstLineChars="0"/>
                              <w:jc w:val="both"/>
                              <w:rPr>
                                <w:sz w:val="21"/>
                                <w:szCs w:val="21"/>
                              </w:rPr>
                            </w:pPr>
                            <w:r>
                              <w:rPr>
                                <w:sz w:val="21"/>
                                <w:szCs w:val="21"/>
                              </w:rPr>
                              <w:t>S</w:t>
                            </w:r>
                            <w:r>
                              <w:rPr>
                                <w:rFonts w:hint="eastAsia"/>
                                <w:sz w:val="21"/>
                                <w:szCs w:val="21"/>
                                <w:vertAlign w:val="subscript"/>
                              </w:rPr>
                              <w:t>3</w:t>
                            </w:r>
                            <w:r>
                              <w:rPr>
                                <w:sz w:val="21"/>
                                <w:szCs w:val="21"/>
                                <w:vertAlign w:val="subscript"/>
                              </w:rPr>
                              <w:t>-1</w:t>
                            </w:r>
                          </w:p>
                        </w:txbxContent>
                      </wps:txbx>
                      <wps:bodyPr upright="1"/>
                    </wps:wsp>
                  </a:graphicData>
                </a:graphic>
              </wp:anchor>
            </w:drawing>
          </mc:Choice>
          <mc:Fallback>
            <w:pict>
              <v:shape id="_x0000_s1026" o:spid="_x0000_s1026" o:spt="202" type="#_x0000_t202" style="position:absolute;left:0pt;margin-left:273.15pt;margin-top:6.35pt;height:19.35pt;width:39.25pt;z-index:251707392;mso-width-relative:page;mso-height-relative:page;" filled="f" stroked="t" coordsize="21600,21600" o:gfxdata="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AmsjzNkAAAAJAQAADwAAAAAAAAABACAAAAAiAAAA&#10;ZHJzL2Rvd25yZXYueG1sUEsBAhQAFAAAAAgAh07iQNYdcK4GAgAADQQAAA4AAAAAAAAAAQAgAAAA&#10;KAEAAGRycy9lMm9Eb2MueG1sUEsFBgAAAAAGAAYAWQEAAKAFAAAAAA==&#10;">
                <v:fill on="f" focussize="0,0"/>
                <v:stroke color="#000000" joinstyle="miter" dashstyle="dash"/>
                <v:imagedata o:title=""/>
                <o:lock v:ext="edit" aspectratio="f"/>
                <v:textbox>
                  <w:txbxContent>
                    <w:p>
                      <w:pPr>
                        <w:spacing w:line="240" w:lineRule="exact"/>
                        <w:ind w:left="0" w:leftChars="0" w:firstLine="0" w:firstLineChars="0"/>
                        <w:jc w:val="both"/>
                        <w:rPr>
                          <w:sz w:val="21"/>
                          <w:szCs w:val="21"/>
                        </w:rPr>
                      </w:pPr>
                      <w:r>
                        <w:rPr>
                          <w:sz w:val="21"/>
                          <w:szCs w:val="21"/>
                        </w:rPr>
                        <w:t>S</w:t>
                      </w:r>
                      <w:r>
                        <w:rPr>
                          <w:rFonts w:hint="eastAsia"/>
                          <w:sz w:val="21"/>
                          <w:szCs w:val="21"/>
                          <w:vertAlign w:val="subscript"/>
                        </w:rPr>
                        <w:t>3</w:t>
                      </w:r>
                      <w:r>
                        <w:rPr>
                          <w:sz w:val="21"/>
                          <w:szCs w:val="21"/>
                          <w:vertAlign w:val="subscript"/>
                        </w:rPr>
                        <w:t>-1</w:t>
                      </w:r>
                    </w:p>
                  </w:txbxContent>
                </v:textbox>
              </v:shape>
            </w:pict>
          </mc:Fallback>
        </mc:AlternateContent>
      </w:r>
      <w:r>
        <w:rPr>
          <w:rFonts w:hint="eastAsia" w:ascii="宋体" w:hAnsi="宋体" w:eastAsia="宋体" w:cs="宋体"/>
          <w:caps w:val="0"/>
          <w:smallCaps w:val="0"/>
          <w:color w:val="auto"/>
          <w:spacing w:val="0"/>
          <w:sz w:val="28"/>
          <w:szCs w:val="28"/>
          <w:highlight w:val="none"/>
          <w:u w:val="none" w:color="auto"/>
        </w:rPr>
        <mc:AlternateContent>
          <mc:Choice Requires="wps">
            <w:drawing>
              <wp:anchor distT="0" distB="0" distL="114300" distR="114300" simplePos="0" relativeHeight="251706368" behindDoc="0" locked="0" layoutInCell="1" allowOverlap="1">
                <wp:simplePos x="0" y="0"/>
                <wp:positionH relativeFrom="column">
                  <wp:posOffset>1720850</wp:posOffset>
                </wp:positionH>
                <wp:positionV relativeFrom="paragraph">
                  <wp:posOffset>41275</wp:posOffset>
                </wp:positionV>
                <wp:extent cx="1264285" cy="285115"/>
                <wp:effectExtent l="5080" t="4445" r="13335" b="15240"/>
                <wp:wrapNone/>
                <wp:docPr id="63" name="文本框 63"/>
                <wp:cNvGraphicFramePr/>
                <a:graphic xmlns:a="http://schemas.openxmlformats.org/drawingml/2006/main">
                  <a:graphicData uri="http://schemas.microsoft.com/office/word/2010/wordprocessingShape">
                    <wps:wsp>
                      <wps:cNvSpPr txBox="1"/>
                      <wps:spPr>
                        <a:xfrm>
                          <a:off x="0" y="0"/>
                          <a:ext cx="1264285" cy="285115"/>
                        </a:xfrm>
                        <a:prstGeom prst="rect">
                          <a:avLst/>
                        </a:prstGeom>
                        <a:noFill/>
                        <a:ln w="9525" cap="flat" cmpd="sng">
                          <a:solidFill>
                            <a:srgbClr val="000000"/>
                          </a:solidFill>
                          <a:prstDash val="dash"/>
                          <a:miter/>
                          <a:headEnd type="none" w="med" len="med"/>
                          <a:tailEnd type="none" w="med" len="med"/>
                        </a:ln>
                      </wps:spPr>
                      <wps:txbx>
                        <w:txbxContent>
                          <w:p>
                            <w:pPr>
                              <w:spacing w:line="240" w:lineRule="exact"/>
                              <w:ind w:left="0" w:leftChars="0" w:firstLine="0" w:firstLineChars="0"/>
                              <w:rPr>
                                <w:sz w:val="21"/>
                                <w:szCs w:val="21"/>
                              </w:rPr>
                            </w:pPr>
                            <w:r>
                              <w:rPr>
                                <w:sz w:val="21"/>
                                <w:szCs w:val="21"/>
                              </w:rPr>
                              <w:t>G</w:t>
                            </w:r>
                            <w:r>
                              <w:rPr>
                                <w:rFonts w:hint="eastAsia"/>
                                <w:sz w:val="21"/>
                                <w:szCs w:val="21"/>
                                <w:vertAlign w:val="subscript"/>
                              </w:rPr>
                              <w:t>3</w:t>
                            </w:r>
                            <w:r>
                              <w:rPr>
                                <w:sz w:val="21"/>
                                <w:szCs w:val="21"/>
                                <w:vertAlign w:val="subscript"/>
                              </w:rPr>
                              <w:t>-</w:t>
                            </w:r>
                            <w:r>
                              <w:rPr>
                                <w:rFonts w:hint="eastAsia"/>
                                <w:sz w:val="21"/>
                                <w:szCs w:val="21"/>
                                <w:vertAlign w:val="subscript"/>
                              </w:rPr>
                              <w:t>4</w:t>
                            </w:r>
                            <w:r>
                              <w:rPr>
                                <w:rFonts w:hAnsi="宋体"/>
                                <w:sz w:val="21"/>
                                <w:szCs w:val="21"/>
                              </w:rPr>
                              <w:t>：氯苯</w:t>
                            </w:r>
                            <w:r>
                              <w:rPr>
                                <w:rFonts w:hint="eastAsia" w:hAnsi="宋体"/>
                                <w:sz w:val="21"/>
                                <w:szCs w:val="21"/>
                              </w:rPr>
                              <w:t>、水</w:t>
                            </w:r>
                          </w:p>
                          <w:p>
                            <w:pPr>
                              <w:spacing w:line="240" w:lineRule="exact"/>
                            </w:pPr>
                          </w:p>
                        </w:txbxContent>
                      </wps:txbx>
                      <wps:bodyPr upright="1"/>
                    </wps:wsp>
                  </a:graphicData>
                </a:graphic>
              </wp:anchor>
            </w:drawing>
          </mc:Choice>
          <mc:Fallback>
            <w:pict>
              <v:shape id="_x0000_s1026" o:spid="_x0000_s1026" o:spt="202" type="#_x0000_t202" style="position:absolute;left:0pt;margin-left:135.5pt;margin-top:3.25pt;height:22.45pt;width:99.55pt;z-index:251706368;mso-width-relative:page;mso-height-relative:page;" filled="f" stroked="t" coordsize="21600,21600" o:gfxdata="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&#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IJVr93ZAAAACAEAAA8AAAAAAAAAAQAgAAAAIgAAAGRy&#10;cy9kb3ducmV2LnhtbFBLAQIUABQAAAAIAIdO4kA6kfiNBAIAAA4EAAAOAAAAAAAAAAEAIAAAACgB&#10;AABkcnMvZTJvRG9jLnhtbFBLBQYAAAAABgAGAFkBAACeBQAAAAA=&#10;">
                <v:fill on="f" focussize="0,0"/>
                <v:stroke color="#000000" joinstyle="miter" dashstyle="dash"/>
                <v:imagedata o:title=""/>
                <o:lock v:ext="edit" aspectratio="f"/>
                <v:textbox>
                  <w:txbxContent>
                    <w:p>
                      <w:pPr>
                        <w:spacing w:line="240" w:lineRule="exact"/>
                        <w:ind w:left="0" w:leftChars="0" w:firstLine="0" w:firstLineChars="0"/>
                        <w:rPr>
                          <w:sz w:val="21"/>
                          <w:szCs w:val="21"/>
                        </w:rPr>
                      </w:pPr>
                      <w:r>
                        <w:rPr>
                          <w:sz w:val="21"/>
                          <w:szCs w:val="21"/>
                        </w:rPr>
                        <w:t>G</w:t>
                      </w:r>
                      <w:r>
                        <w:rPr>
                          <w:rFonts w:hint="eastAsia"/>
                          <w:sz w:val="21"/>
                          <w:szCs w:val="21"/>
                          <w:vertAlign w:val="subscript"/>
                        </w:rPr>
                        <w:t>3</w:t>
                      </w:r>
                      <w:r>
                        <w:rPr>
                          <w:sz w:val="21"/>
                          <w:szCs w:val="21"/>
                          <w:vertAlign w:val="subscript"/>
                        </w:rPr>
                        <w:t>-</w:t>
                      </w:r>
                      <w:r>
                        <w:rPr>
                          <w:rFonts w:hint="eastAsia"/>
                          <w:sz w:val="21"/>
                          <w:szCs w:val="21"/>
                          <w:vertAlign w:val="subscript"/>
                        </w:rPr>
                        <w:t>4</w:t>
                      </w:r>
                      <w:r>
                        <w:rPr>
                          <w:rFonts w:hAnsi="宋体"/>
                          <w:sz w:val="21"/>
                          <w:szCs w:val="21"/>
                        </w:rPr>
                        <w:t>：氯苯</w:t>
                      </w:r>
                      <w:r>
                        <w:rPr>
                          <w:rFonts w:hint="eastAsia" w:hAnsi="宋体"/>
                          <w:sz w:val="21"/>
                          <w:szCs w:val="21"/>
                        </w:rPr>
                        <w:t>、水</w:t>
                      </w:r>
                    </w:p>
                    <w:p>
                      <w:pPr>
                        <w:spacing w:line="240" w:lineRule="exact"/>
                      </w:pPr>
                    </w:p>
                  </w:txbxContent>
                </v:textbox>
              </v:shape>
            </w:pict>
          </mc:Fallback>
        </mc:AlternateContent>
      </w:r>
      <w:r>
        <w:rPr>
          <w:rFonts w:hint="eastAsia" w:ascii="宋体" w:hAnsi="宋体" w:eastAsia="宋体" w:cs="宋体"/>
          <w:caps w:val="0"/>
          <w:smallCaps w:val="0"/>
          <w:color w:val="auto"/>
          <w:spacing w:val="0"/>
          <w:sz w:val="28"/>
          <w:szCs w:val="28"/>
          <w:highlight w:val="none"/>
          <w:u w:val="none" w:color="auto"/>
        </w:rPr>
        <mc:AlternateContent>
          <mc:Choice Requires="wps">
            <w:drawing>
              <wp:anchor distT="0" distB="0" distL="114300" distR="114300" simplePos="0" relativeHeight="251700224" behindDoc="0" locked="0" layoutInCell="1" allowOverlap="1">
                <wp:simplePos x="0" y="0"/>
                <wp:positionH relativeFrom="column">
                  <wp:posOffset>1469390</wp:posOffset>
                </wp:positionH>
                <wp:positionV relativeFrom="paragraph">
                  <wp:posOffset>182880</wp:posOffset>
                </wp:positionV>
                <wp:extent cx="270510" cy="221615"/>
                <wp:effectExtent l="0" t="15875" r="8890" b="16510"/>
                <wp:wrapNone/>
                <wp:docPr id="7" name="曲线连接符 7"/>
                <wp:cNvGraphicFramePr/>
                <a:graphic xmlns:a="http://schemas.openxmlformats.org/drawingml/2006/main">
                  <a:graphicData uri="http://schemas.microsoft.com/office/word/2010/wordprocessingShape">
                    <wps:wsp>
                      <wps:cNvCnPr/>
                      <wps:spPr>
                        <a:xfrm flipV="1">
                          <a:off x="0" y="0"/>
                          <a:ext cx="270510" cy="221615"/>
                        </a:xfrm>
                        <a:prstGeom prst="curvedConnector3">
                          <a:avLst>
                            <a:gd name="adj1" fmla="val 50000"/>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8" type="#_x0000_t38" style="position:absolute;left:0pt;flip:y;margin-left:115.7pt;margin-top:14.4pt;height:17.45pt;width:21.3pt;z-index:251700224;mso-width-relative:page;mso-height-relative:page;" filled="f" stroked="t" coordsize="21600,21600" o:gfxdata="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A+tFDS1wAA&#10;AAkBAAAPAAAAAAAAAAEAIAAAACIAAABkcnMvZG93bnJldi54bWxQSwECFAAUAAAACACHTuJAh/0W&#10;fR8CAAAjBAAADgAAAAAAAAABACAAAAAmAQAAZHJzL2Uyb0RvYy54bWxQSwUGAAAAAAYABgBZAQAA&#10;twUAAAAA&#10;" adj="10800">
                <v:fill on="f" focussize="0,0"/>
                <v:stroke color="#000000" joinstyle="round" endarrow="block"/>
                <v:imagedata o:title=""/>
                <o:lock v:ext="edit" aspectratio="f"/>
              </v:shape>
            </w:pict>
          </mc:Fallback>
        </mc:AlternateContent>
      </w:r>
      <w:r>
        <w:rPr>
          <w:rFonts w:hint="eastAsia" w:ascii="宋体" w:hAnsi="宋体" w:eastAsia="宋体" w:cs="宋体"/>
          <w:caps w:val="0"/>
          <w:smallCaps w:val="0"/>
          <w:color w:val="auto"/>
          <w:spacing w:val="0"/>
          <w:sz w:val="28"/>
          <w:szCs w:val="28"/>
          <w:highlight w:val="none"/>
          <w:u w:val="none" w:color="auto"/>
        </w:rPr>
        <mc:AlternateContent>
          <mc:Choice Requires="wps">
            <w:drawing>
              <wp:anchor distT="0" distB="0" distL="114300" distR="114300" simplePos="0" relativeHeight="251693056" behindDoc="0" locked="0" layoutInCell="1" allowOverlap="1">
                <wp:simplePos x="0" y="0"/>
                <wp:positionH relativeFrom="column">
                  <wp:posOffset>4505325</wp:posOffset>
                </wp:positionH>
                <wp:positionV relativeFrom="paragraph">
                  <wp:posOffset>156210</wp:posOffset>
                </wp:positionV>
                <wp:extent cx="742315" cy="248285"/>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742315" cy="248285"/>
                        </a:xfrm>
                        <a:prstGeom prst="rect">
                          <a:avLst/>
                        </a:prstGeom>
                        <a:noFill/>
                        <a:ln>
                          <a:noFill/>
                        </a:ln>
                      </wps:spPr>
                      <wps:txbx>
                        <w:txbxContent>
                          <w:p>
                            <w:pPr>
                              <w:spacing w:line="240" w:lineRule="exact"/>
                              <w:ind w:left="0" w:leftChars="0" w:firstLine="0" w:firstLineChars="0"/>
                              <w:rPr>
                                <w:sz w:val="21"/>
                                <w:szCs w:val="21"/>
                              </w:rPr>
                            </w:pPr>
                            <w:r>
                              <w:rPr>
                                <w:rFonts w:hint="eastAsia"/>
                                <w:sz w:val="21"/>
                                <w:szCs w:val="21"/>
                              </w:rPr>
                              <w:t>回收氯苯</w:t>
                            </w:r>
                          </w:p>
                          <w:p>
                            <w:pPr>
                              <w:spacing w:line="240" w:lineRule="exact"/>
                            </w:pPr>
                          </w:p>
                        </w:txbxContent>
                      </wps:txbx>
                      <wps:bodyPr upright="1"/>
                    </wps:wsp>
                  </a:graphicData>
                </a:graphic>
              </wp:anchor>
            </w:drawing>
          </mc:Choice>
          <mc:Fallback>
            <w:pict>
              <v:shape id="_x0000_s1026" o:spid="_x0000_s1026" o:spt="202" type="#_x0000_t202" style="position:absolute;left:0pt;margin-left:354.75pt;margin-top:12.3pt;height:19.55pt;width:58.45pt;z-index:251693056;mso-width-relative:page;mso-height-relative:page;" filled="f" stroked="f" coordsize="21600,21600" o:gfxdata="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DAXSS22AAA&#10;AAkBAAAPAAAAAAAAAAEAIAAAACIAAABkcnMvZG93bnJldi54bWxQSwECFAAUAAAACACHTuJAXy+1&#10;36wBAABPAwAADgAAAAAAAAABACAAAAAnAQAAZHJzL2Uyb0RvYy54bWxQSwUGAAAAAAYABgBZAQAA&#10;RQUAAAAA&#10;">
                <v:fill on="f" focussize="0,0"/>
                <v:stroke on="f"/>
                <v:imagedata o:title=""/>
                <o:lock v:ext="edit" aspectratio="f"/>
                <v:textbox>
                  <w:txbxContent>
                    <w:p>
                      <w:pPr>
                        <w:spacing w:line="240" w:lineRule="exact"/>
                        <w:ind w:left="0" w:leftChars="0" w:firstLine="0" w:firstLineChars="0"/>
                        <w:rPr>
                          <w:sz w:val="21"/>
                          <w:szCs w:val="21"/>
                        </w:rPr>
                      </w:pPr>
                      <w:r>
                        <w:rPr>
                          <w:rFonts w:hint="eastAsia"/>
                          <w:sz w:val="21"/>
                          <w:szCs w:val="21"/>
                        </w:rPr>
                        <w:t>回收氯苯</w:t>
                      </w:r>
                    </w:p>
                    <w:p>
                      <w:pPr>
                        <w:spacing w:line="240" w:lineRule="exact"/>
                      </w:pPr>
                    </w:p>
                  </w:txbxContent>
                </v:textbox>
              </v:shape>
            </w:pict>
          </mc:Fallback>
        </mc:AlternateContent>
      </w:r>
    </w:p>
    <w:p>
      <w:pPr>
        <w:pageBreakBefore w:val="0"/>
        <w:kinsoku/>
        <w:wordWrap/>
        <w:bidi w:val="0"/>
        <w:spacing w:line="360" w:lineRule="auto"/>
        <w:ind w:left="0" w:leftChars="0" w:right="0" w:firstLine="560" w:firstLineChars="200"/>
        <w:rPr>
          <w:rFonts w:hint="eastAsia" w:ascii="宋体" w:hAnsi="宋体" w:eastAsia="宋体" w:cs="宋体"/>
          <w:caps w:val="0"/>
          <w:smallCaps w:val="0"/>
          <w:color w:val="auto"/>
          <w:spacing w:val="0"/>
          <w:sz w:val="28"/>
          <w:szCs w:val="28"/>
          <w:highlight w:val="none"/>
          <w:u w:val="none" w:color="auto"/>
        </w:rPr>
      </w:pPr>
      <w:r>
        <w:rPr>
          <w:rFonts w:hint="eastAsia" w:ascii="宋体" w:hAnsi="宋体" w:eastAsia="宋体" w:cs="宋体"/>
          <w:caps w:val="0"/>
          <w:smallCaps w:val="0"/>
          <w:color w:val="auto"/>
          <w:spacing w:val="0"/>
          <w:sz w:val="28"/>
          <w:szCs w:val="28"/>
          <w:highlight w:val="none"/>
          <w:u w:val="none" w:color="auto"/>
        </w:rPr>
        <mc:AlternateContent>
          <mc:Choice Requires="wps">
            <w:drawing>
              <wp:anchor distT="0" distB="0" distL="114300" distR="114300" simplePos="0" relativeHeight="251708416" behindDoc="0" locked="0" layoutInCell="1" allowOverlap="1">
                <wp:simplePos x="0" y="0"/>
                <wp:positionH relativeFrom="column">
                  <wp:posOffset>929640</wp:posOffset>
                </wp:positionH>
                <wp:positionV relativeFrom="paragraph">
                  <wp:posOffset>88265</wp:posOffset>
                </wp:positionV>
                <wp:extent cx="762000" cy="295275"/>
                <wp:effectExtent l="4445" t="4445" r="8255" b="5080"/>
                <wp:wrapNone/>
                <wp:docPr id="29" name="文本框 29"/>
                <wp:cNvGraphicFramePr/>
                <a:graphic xmlns:a="http://schemas.openxmlformats.org/drawingml/2006/main">
                  <a:graphicData uri="http://schemas.microsoft.com/office/word/2010/wordprocessingShape">
                    <wps:wsp>
                      <wps:cNvSpPr txBox="1"/>
                      <wps:spPr>
                        <a:xfrm>
                          <a:off x="0" y="0"/>
                          <a:ext cx="762000" cy="29527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exact"/>
                              <w:ind w:left="0" w:leftChars="0" w:firstLine="0" w:firstLineChars="0"/>
                              <w:jc w:val="both"/>
                              <w:rPr>
                                <w:sz w:val="21"/>
                                <w:szCs w:val="21"/>
                              </w:rPr>
                            </w:pPr>
                            <w:r>
                              <w:rPr>
                                <w:rFonts w:hint="eastAsia"/>
                                <w:sz w:val="21"/>
                                <w:szCs w:val="21"/>
                              </w:rPr>
                              <w:t>烘干</w:t>
                            </w:r>
                          </w:p>
                          <w:p/>
                        </w:txbxContent>
                      </wps:txbx>
                      <wps:bodyPr upright="1"/>
                    </wps:wsp>
                  </a:graphicData>
                </a:graphic>
              </wp:anchor>
            </w:drawing>
          </mc:Choice>
          <mc:Fallback>
            <w:pict>
              <v:shape id="_x0000_s1026" o:spid="_x0000_s1026" o:spt="202" type="#_x0000_t202" style="position:absolute;left:0pt;margin-left:73.2pt;margin-top:6.95pt;height:23.25pt;width:60pt;z-index:251708416;mso-width-relative:page;mso-height-relative:page;" fillcolor="#FFFFFF" filled="t" stroked="t" coordsize="21600,21600" o:gfxdata="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5WQIQ2AAAAAkBAAAPAAAAAAAAAAEAIAAA&#10;ACIAAABkcnMvZG93bnJldi54bWxQSwECFAAUAAAACACHTuJATRYmYwwCAAA3BAAADgAAAAAAAAAB&#10;ACAAAAAnAQAAZHJzL2Uyb0RvYy54bWxQSwUGAAAAAAYABgBZAQAApQUAAAAA&#10;">
                <v:fill on="t" focussize="0,0"/>
                <v:stroke color="#000000" joinstyle="miter"/>
                <v:imagedata o:title=""/>
                <o:lock v:ext="edit" aspectratio="f"/>
                <v:textbox>
                  <w:txbxContent>
                    <w:p>
                      <w:pPr>
                        <w:spacing w:line="240" w:lineRule="exact"/>
                        <w:ind w:left="0" w:leftChars="0" w:firstLine="0" w:firstLineChars="0"/>
                        <w:jc w:val="both"/>
                        <w:rPr>
                          <w:sz w:val="21"/>
                          <w:szCs w:val="21"/>
                        </w:rPr>
                      </w:pPr>
                      <w:r>
                        <w:rPr>
                          <w:rFonts w:hint="eastAsia"/>
                          <w:sz w:val="21"/>
                          <w:szCs w:val="21"/>
                        </w:rPr>
                        <w:t>烘干</w:t>
                      </w:r>
                    </w:p>
                    <w:p/>
                  </w:txbxContent>
                </v:textbox>
              </v:shape>
            </w:pict>
          </mc:Fallback>
        </mc:AlternateContent>
      </w:r>
    </w:p>
    <w:p>
      <w:pPr>
        <w:pageBreakBefore w:val="0"/>
        <w:kinsoku/>
        <w:wordWrap/>
        <w:bidi w:val="0"/>
        <w:spacing w:line="360" w:lineRule="auto"/>
        <w:ind w:left="0" w:leftChars="0" w:right="0"/>
        <w:rPr>
          <w:rFonts w:hint="eastAsia" w:ascii="宋体" w:hAnsi="宋体" w:eastAsia="宋体" w:cs="宋体"/>
          <w:b/>
          <w:caps w:val="0"/>
          <w:smallCaps w:val="0"/>
          <w:color w:val="auto"/>
          <w:spacing w:val="0"/>
          <w:sz w:val="28"/>
          <w:szCs w:val="28"/>
          <w:highlight w:val="none"/>
          <w:u w:val="none" w:color="auto"/>
          <w:lang w:val="en-GB"/>
        </w:rPr>
      </w:pPr>
      <w:r>
        <w:rPr>
          <w:rFonts w:hint="eastAsia" w:ascii="宋体" w:hAnsi="宋体" w:eastAsia="宋体" w:cs="宋体"/>
          <w:caps w:val="0"/>
          <w:smallCaps w:val="0"/>
          <w:color w:val="auto"/>
          <w:spacing w:val="0"/>
          <w:sz w:val="28"/>
          <w:szCs w:val="28"/>
          <w:highlight w:val="none"/>
          <w:u w:val="none" w:color="auto"/>
        </w:rPr>
        <mc:AlternateContent>
          <mc:Choice Requires="wps">
            <w:drawing>
              <wp:anchor distT="0" distB="0" distL="114300" distR="114300" simplePos="0" relativeHeight="251715584" behindDoc="0" locked="0" layoutInCell="1" allowOverlap="1">
                <wp:simplePos x="0" y="0"/>
                <wp:positionH relativeFrom="column">
                  <wp:posOffset>2018665</wp:posOffset>
                </wp:positionH>
                <wp:positionV relativeFrom="paragraph">
                  <wp:posOffset>205740</wp:posOffset>
                </wp:positionV>
                <wp:extent cx="1075055" cy="245745"/>
                <wp:effectExtent l="5080" t="5080" r="12065" b="15875"/>
                <wp:wrapNone/>
                <wp:docPr id="12" name="文本框 12"/>
                <wp:cNvGraphicFramePr/>
                <a:graphic xmlns:a="http://schemas.openxmlformats.org/drawingml/2006/main">
                  <a:graphicData uri="http://schemas.microsoft.com/office/word/2010/wordprocessingShape">
                    <wps:wsp>
                      <wps:cNvSpPr txBox="1"/>
                      <wps:spPr>
                        <a:xfrm>
                          <a:off x="0" y="0"/>
                          <a:ext cx="1075055" cy="245745"/>
                        </a:xfrm>
                        <a:prstGeom prst="rect">
                          <a:avLst/>
                        </a:prstGeom>
                        <a:noFill/>
                        <a:ln w="9525" cap="flat" cmpd="sng">
                          <a:solidFill>
                            <a:srgbClr val="000000"/>
                          </a:solidFill>
                          <a:prstDash val="dash"/>
                          <a:miter/>
                          <a:headEnd type="none" w="med" len="med"/>
                          <a:tailEnd type="none" w="med" len="med"/>
                        </a:ln>
                      </wps:spPr>
                      <wps:txbx>
                        <w:txbxContent>
                          <w:p>
                            <w:pPr>
                              <w:spacing w:line="240" w:lineRule="exact"/>
                              <w:ind w:left="0" w:leftChars="0" w:firstLine="0" w:firstLineChars="0"/>
                              <w:rPr>
                                <w:sz w:val="21"/>
                                <w:szCs w:val="21"/>
                              </w:rPr>
                            </w:pPr>
                            <w:r>
                              <w:rPr>
                                <w:sz w:val="21"/>
                                <w:szCs w:val="21"/>
                              </w:rPr>
                              <w:t>G</w:t>
                            </w:r>
                            <w:r>
                              <w:rPr>
                                <w:rFonts w:hint="eastAsia"/>
                                <w:sz w:val="21"/>
                                <w:szCs w:val="21"/>
                                <w:vertAlign w:val="subscript"/>
                              </w:rPr>
                              <w:t>3</w:t>
                            </w:r>
                            <w:r>
                              <w:rPr>
                                <w:sz w:val="21"/>
                                <w:szCs w:val="21"/>
                                <w:vertAlign w:val="subscript"/>
                              </w:rPr>
                              <w:t>-</w:t>
                            </w:r>
                            <w:r>
                              <w:rPr>
                                <w:rFonts w:hint="eastAsia"/>
                                <w:sz w:val="21"/>
                                <w:szCs w:val="21"/>
                                <w:vertAlign w:val="subscript"/>
                              </w:rPr>
                              <w:t>5</w:t>
                            </w:r>
                            <w:r>
                              <w:rPr>
                                <w:rFonts w:hAnsi="宋体"/>
                                <w:sz w:val="21"/>
                                <w:szCs w:val="21"/>
                              </w:rPr>
                              <w:t>：</w:t>
                            </w:r>
                            <w:r>
                              <w:rPr>
                                <w:rFonts w:hint="eastAsia" w:hAnsi="宋体"/>
                                <w:sz w:val="21"/>
                                <w:szCs w:val="21"/>
                              </w:rPr>
                              <w:t>三溴磷酸酯</w:t>
                            </w:r>
                          </w:p>
                        </w:txbxContent>
                      </wps:txbx>
                      <wps:bodyPr lIns="18000" tIns="10800" rIns="18000" bIns="10800" upright="1"/>
                    </wps:wsp>
                  </a:graphicData>
                </a:graphic>
              </wp:anchor>
            </w:drawing>
          </mc:Choice>
          <mc:Fallback>
            <w:pict>
              <v:shape id="_x0000_s1026" o:spid="_x0000_s1026" o:spt="202" type="#_x0000_t202" style="position:absolute;left:0pt;margin-left:158.95pt;margin-top:16.2pt;height:19.35pt;width:84.65pt;z-index:251715584;mso-width-relative:page;mso-height-relative:page;" filled="f" stroked="t" coordsize="21600,21600" o:gfxdata="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NJkZpbaAAAA&#10;CQEAAA8AAAAAAAAAAQAgAAAAIgAAAGRycy9kb3ducmV2LnhtbFBLAQIUABQAAAAIAIdO4kB+zYS0&#10;GwIAAEIEAAAOAAAAAAAAAAEAIAAAACkBAABkcnMvZTJvRG9jLnhtbFBLBQYAAAAABgAGAFkBAAC2&#10;BQAAAAA=&#10;">
                <v:fill on="f" focussize="0,0"/>
                <v:stroke color="#000000" joinstyle="miter" dashstyle="dash"/>
                <v:imagedata o:title=""/>
                <o:lock v:ext="edit" aspectratio="f"/>
                <v:textbox inset="0.5mm,0.3mm,0.5mm,0.3mm">
                  <w:txbxContent>
                    <w:p>
                      <w:pPr>
                        <w:spacing w:line="240" w:lineRule="exact"/>
                        <w:ind w:left="0" w:leftChars="0" w:firstLine="0" w:firstLineChars="0"/>
                        <w:rPr>
                          <w:sz w:val="21"/>
                          <w:szCs w:val="21"/>
                        </w:rPr>
                      </w:pPr>
                      <w:r>
                        <w:rPr>
                          <w:sz w:val="21"/>
                          <w:szCs w:val="21"/>
                        </w:rPr>
                        <w:t>G</w:t>
                      </w:r>
                      <w:r>
                        <w:rPr>
                          <w:rFonts w:hint="eastAsia"/>
                          <w:sz w:val="21"/>
                          <w:szCs w:val="21"/>
                          <w:vertAlign w:val="subscript"/>
                        </w:rPr>
                        <w:t>3</w:t>
                      </w:r>
                      <w:r>
                        <w:rPr>
                          <w:sz w:val="21"/>
                          <w:szCs w:val="21"/>
                          <w:vertAlign w:val="subscript"/>
                        </w:rPr>
                        <w:t>-</w:t>
                      </w:r>
                      <w:r>
                        <w:rPr>
                          <w:rFonts w:hint="eastAsia"/>
                          <w:sz w:val="21"/>
                          <w:szCs w:val="21"/>
                          <w:vertAlign w:val="subscript"/>
                        </w:rPr>
                        <w:t>5</w:t>
                      </w:r>
                      <w:r>
                        <w:rPr>
                          <w:rFonts w:hAnsi="宋体"/>
                          <w:sz w:val="21"/>
                          <w:szCs w:val="21"/>
                        </w:rPr>
                        <w:t>：</w:t>
                      </w:r>
                      <w:r>
                        <w:rPr>
                          <w:rFonts w:hint="eastAsia" w:hAnsi="宋体"/>
                          <w:sz w:val="21"/>
                          <w:szCs w:val="21"/>
                        </w:rPr>
                        <w:t>三溴磷酸酯</w:t>
                      </w:r>
                    </w:p>
                  </w:txbxContent>
                </v:textbox>
              </v:shape>
            </w:pict>
          </mc:Fallback>
        </mc:AlternateContent>
      </w:r>
      <w:r>
        <w:rPr>
          <w:rFonts w:hint="eastAsia" w:ascii="宋体" w:hAnsi="宋体" w:eastAsia="宋体" w:cs="宋体"/>
          <w:caps w:val="0"/>
          <w:smallCaps w:val="0"/>
          <w:color w:val="auto"/>
          <w:spacing w:val="0"/>
          <w:sz w:val="28"/>
          <w:szCs w:val="28"/>
          <w:highlight w:val="none"/>
          <w:u w:val="none" w:color="auto"/>
        </w:rPr>
        <mc:AlternateContent>
          <mc:Choice Requires="wps">
            <w:drawing>
              <wp:anchor distT="0" distB="0" distL="114300" distR="114300" simplePos="0" relativeHeight="251712512" behindDoc="0" locked="0" layoutInCell="1" allowOverlap="1">
                <wp:simplePos x="0" y="0"/>
                <wp:positionH relativeFrom="column">
                  <wp:posOffset>1310005</wp:posOffset>
                </wp:positionH>
                <wp:positionV relativeFrom="paragraph">
                  <wp:posOffset>66040</wp:posOffset>
                </wp:positionV>
                <wp:extent cx="0" cy="385445"/>
                <wp:effectExtent l="38100" t="0" r="38100" b="8255"/>
                <wp:wrapNone/>
                <wp:docPr id="17" name="直接箭头连接符 17"/>
                <wp:cNvGraphicFramePr/>
                <a:graphic xmlns:a="http://schemas.openxmlformats.org/drawingml/2006/main">
                  <a:graphicData uri="http://schemas.microsoft.com/office/word/2010/wordprocessingShape">
                    <wps:wsp>
                      <wps:cNvCnPr/>
                      <wps:spPr>
                        <a:xfrm>
                          <a:off x="0" y="0"/>
                          <a:ext cx="0" cy="38544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103.15pt;margin-top:5.2pt;height:30.35pt;width:0pt;z-index:251712512;mso-width-relative:page;mso-height-relative:page;" filled="f" stroked="t" coordsize="21600,21600" o:gfxdata="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znIiN2AAAAAkBAAAPAAAAAAAAAAEAIAAAACIAAABkcnMv&#10;ZG93bnJldi54bWxQSwECFAAUAAAACACHTuJAn6DSCAMCAADxAwAADgAAAAAAAAABACAAAAAnAQAA&#10;ZHJzL2Uyb0RvYy54bWxQSwUGAAAAAAYABgBZAQAAnAUAAAAA&#10;">
                <v:fill on="f" focussize="0,0"/>
                <v:stroke color="#000000" joinstyle="round" endarrow="block"/>
                <v:imagedata o:title=""/>
                <o:lock v:ext="edit" aspectratio="f"/>
              </v:shape>
            </w:pict>
          </mc:Fallback>
        </mc:AlternateContent>
      </w:r>
    </w:p>
    <w:p>
      <w:pPr>
        <w:pageBreakBefore w:val="0"/>
        <w:kinsoku/>
        <w:wordWrap/>
        <w:bidi w:val="0"/>
        <w:spacing w:line="360" w:lineRule="auto"/>
        <w:ind w:left="0" w:leftChars="0" w:right="0"/>
        <w:rPr>
          <w:rFonts w:hint="eastAsia" w:ascii="宋体" w:hAnsi="宋体" w:eastAsia="宋体" w:cs="宋体"/>
          <w:b/>
          <w:caps w:val="0"/>
          <w:smallCaps w:val="0"/>
          <w:color w:val="auto"/>
          <w:spacing w:val="0"/>
          <w:sz w:val="28"/>
          <w:szCs w:val="28"/>
          <w:highlight w:val="none"/>
          <w:u w:val="none" w:color="auto"/>
          <w:lang w:val="en-GB"/>
        </w:rPr>
      </w:pPr>
      <w:r>
        <w:rPr>
          <w:rFonts w:hint="eastAsia" w:ascii="宋体" w:hAnsi="宋体" w:eastAsia="宋体" w:cs="宋体"/>
          <w:caps w:val="0"/>
          <w:smallCaps w:val="0"/>
          <w:color w:val="auto"/>
          <w:spacing w:val="0"/>
          <w:sz w:val="28"/>
          <w:szCs w:val="28"/>
          <w:highlight w:val="none"/>
          <w:u w:val="none" w:color="auto"/>
        </w:rPr>
        <mc:AlternateContent>
          <mc:Choice Requires="wps">
            <w:drawing>
              <wp:anchor distT="0" distB="0" distL="114300" distR="114300" simplePos="0" relativeHeight="251714560" behindDoc="0" locked="0" layoutInCell="1" allowOverlap="1">
                <wp:simplePos x="0" y="0"/>
                <wp:positionH relativeFrom="column">
                  <wp:posOffset>1701800</wp:posOffset>
                </wp:positionH>
                <wp:positionV relativeFrom="paragraph">
                  <wp:posOffset>46355</wp:posOffset>
                </wp:positionV>
                <wp:extent cx="305435" cy="142875"/>
                <wp:effectExtent l="0" t="26670" r="12065" b="8255"/>
                <wp:wrapNone/>
                <wp:docPr id="18" name="曲线连接符 18"/>
                <wp:cNvGraphicFramePr/>
                <a:graphic xmlns:a="http://schemas.openxmlformats.org/drawingml/2006/main">
                  <a:graphicData uri="http://schemas.microsoft.com/office/word/2010/wordprocessingShape">
                    <wps:wsp>
                      <wps:cNvCnPr/>
                      <wps:spPr>
                        <a:xfrm flipV="1">
                          <a:off x="0" y="0"/>
                          <a:ext cx="305435" cy="142875"/>
                        </a:xfrm>
                        <a:prstGeom prst="curvedConnector3">
                          <a:avLst>
                            <a:gd name="adj1" fmla="val 49898"/>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8" type="#_x0000_t38" style="position:absolute;left:0pt;flip:y;margin-left:134pt;margin-top:3.65pt;height:11.25pt;width:24.05pt;z-index:251714560;mso-width-relative:page;mso-height-relative:page;" filled="f" stroked="t" coordsize="21600,21600" o:gfxdata="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p3vy&#10;dtkAAAAIAQAADwAAAAAAAAABACAAAAAiAAAAZHJzL2Rvd25yZXYueG1sUEsBAhQAFAAAAAgAh07i&#10;QG/PqWAhAgAAJQQAAA4AAAAAAAAAAQAgAAAAKAEAAGRycy9lMm9Eb2MueG1sUEsFBgAAAAAGAAYA&#10;WQEAALsFAAAAAA==&#10;" adj="10778">
                <v:fill on="f" focussize="0,0"/>
                <v:stroke color="#000000" joinstyle="round" endarrow="block"/>
                <v:imagedata o:title=""/>
                <o:lock v:ext="edit" aspectratio="f"/>
              </v:shape>
            </w:pict>
          </mc:Fallback>
        </mc:AlternateContent>
      </w:r>
      <w:r>
        <w:rPr>
          <w:rFonts w:hint="eastAsia" w:ascii="宋体" w:hAnsi="宋体" w:eastAsia="宋体" w:cs="宋体"/>
          <w:caps w:val="0"/>
          <w:smallCaps w:val="0"/>
          <w:color w:val="auto"/>
          <w:spacing w:val="0"/>
          <w:sz w:val="28"/>
          <w:szCs w:val="28"/>
          <w:highlight w:val="none"/>
          <w:u w:val="none" w:color="auto"/>
        </w:rPr>
        <mc:AlternateContent>
          <mc:Choice Requires="wps">
            <w:drawing>
              <wp:anchor distT="0" distB="0" distL="114300" distR="114300" simplePos="0" relativeHeight="251713536" behindDoc="0" locked="0" layoutInCell="1" allowOverlap="1">
                <wp:simplePos x="0" y="0"/>
                <wp:positionH relativeFrom="column">
                  <wp:posOffset>929640</wp:posOffset>
                </wp:positionH>
                <wp:positionV relativeFrom="paragraph">
                  <wp:posOffset>188595</wp:posOffset>
                </wp:positionV>
                <wp:extent cx="762000" cy="295275"/>
                <wp:effectExtent l="4445" t="4445" r="8255" b="5080"/>
                <wp:wrapNone/>
                <wp:docPr id="22" name="文本框 22"/>
                <wp:cNvGraphicFramePr/>
                <a:graphic xmlns:a="http://schemas.openxmlformats.org/drawingml/2006/main">
                  <a:graphicData uri="http://schemas.microsoft.com/office/word/2010/wordprocessingShape">
                    <wps:wsp>
                      <wps:cNvSpPr txBox="1"/>
                      <wps:spPr>
                        <a:xfrm>
                          <a:off x="0" y="0"/>
                          <a:ext cx="762000" cy="29527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exact"/>
                              <w:jc w:val="both"/>
                              <w:rPr>
                                <w:sz w:val="21"/>
                                <w:szCs w:val="21"/>
                              </w:rPr>
                            </w:pPr>
                            <w:r>
                              <w:rPr>
                                <w:rFonts w:hint="eastAsia"/>
                                <w:sz w:val="21"/>
                                <w:szCs w:val="21"/>
                              </w:rPr>
                              <w:t>粉碎</w:t>
                            </w:r>
                          </w:p>
                          <w:p/>
                        </w:txbxContent>
                      </wps:txbx>
                      <wps:bodyPr upright="1"/>
                    </wps:wsp>
                  </a:graphicData>
                </a:graphic>
              </wp:anchor>
            </w:drawing>
          </mc:Choice>
          <mc:Fallback>
            <w:pict>
              <v:shape id="_x0000_s1026" o:spid="_x0000_s1026" o:spt="202" type="#_x0000_t202" style="position:absolute;left:0pt;margin-left:73.2pt;margin-top:14.85pt;height:23.25pt;width:60pt;z-index:251713536;mso-width-relative:page;mso-height-relative:page;" fillcolor="#FFFFFF" filled="t" stroked="t" coordsize="21600,21600" o:gfxdata="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BWPmGTYAAAACQEAAA8AAAAAAAAAAQAgAAAA&#10;IgAAAGRycy9kb3ducmV2LnhtbFBLAQIUABQAAAAIAIdO4kCqT/56CwIAADcEAAAOAAAAAAAAAAEA&#10;IAAAACcBAABkcnMvZTJvRG9jLnhtbFBLBQYAAAAABgAGAFkBAACkBQAAAAA=&#10;">
                <v:fill on="t" focussize="0,0"/>
                <v:stroke color="#000000" joinstyle="miter"/>
                <v:imagedata o:title=""/>
                <o:lock v:ext="edit" aspectratio="f"/>
                <v:textbox>
                  <w:txbxContent>
                    <w:p>
                      <w:pPr>
                        <w:spacing w:line="240" w:lineRule="exact"/>
                        <w:jc w:val="both"/>
                        <w:rPr>
                          <w:sz w:val="21"/>
                          <w:szCs w:val="21"/>
                        </w:rPr>
                      </w:pPr>
                      <w:r>
                        <w:rPr>
                          <w:rFonts w:hint="eastAsia"/>
                          <w:sz w:val="21"/>
                          <w:szCs w:val="21"/>
                        </w:rPr>
                        <w:t>粉碎</w:t>
                      </w:r>
                    </w:p>
                    <w:p/>
                  </w:txbxContent>
                </v:textbox>
              </v:shape>
            </w:pict>
          </mc:Fallback>
        </mc:AlternateContent>
      </w:r>
    </w:p>
    <w:p>
      <w:pPr>
        <w:pageBreakBefore w:val="0"/>
        <w:kinsoku/>
        <w:wordWrap/>
        <w:bidi w:val="0"/>
        <w:spacing w:line="360" w:lineRule="auto"/>
        <w:ind w:left="0" w:leftChars="0" w:right="0"/>
        <w:jc w:val="center"/>
        <w:rPr>
          <w:rFonts w:hint="eastAsia" w:ascii="宋体" w:hAnsi="宋体" w:eastAsia="宋体" w:cs="宋体"/>
          <w:b/>
          <w:caps w:val="0"/>
          <w:smallCaps w:val="0"/>
          <w:color w:val="auto"/>
          <w:spacing w:val="0"/>
          <w:sz w:val="28"/>
          <w:szCs w:val="28"/>
          <w:highlight w:val="none"/>
          <w:u w:val="none" w:color="auto"/>
        </w:rPr>
      </w:pPr>
      <w:r>
        <w:rPr>
          <w:rFonts w:hint="eastAsia" w:ascii="宋体" w:hAnsi="宋体" w:eastAsia="宋体" w:cs="宋体"/>
          <w:caps w:val="0"/>
          <w:smallCaps w:val="0"/>
          <w:color w:val="auto"/>
          <w:spacing w:val="0"/>
          <w:sz w:val="28"/>
          <w:szCs w:val="28"/>
          <w:highlight w:val="none"/>
          <w:u w:val="none" w:color="auto"/>
        </w:rPr>
        <mc:AlternateContent>
          <mc:Choice Requires="wps">
            <w:drawing>
              <wp:anchor distT="0" distB="0" distL="114300" distR="114300" simplePos="0" relativeHeight="251716608" behindDoc="0" locked="0" layoutInCell="1" allowOverlap="1">
                <wp:simplePos x="0" y="0"/>
                <wp:positionH relativeFrom="column">
                  <wp:posOffset>1325880</wp:posOffset>
                </wp:positionH>
                <wp:positionV relativeFrom="paragraph">
                  <wp:posOffset>236855</wp:posOffset>
                </wp:positionV>
                <wp:extent cx="3810" cy="306705"/>
                <wp:effectExtent l="37465" t="0" r="34925" b="10795"/>
                <wp:wrapNone/>
                <wp:docPr id="23" name="直接箭头连接符 23"/>
                <wp:cNvGraphicFramePr/>
                <a:graphic xmlns:a="http://schemas.openxmlformats.org/drawingml/2006/main">
                  <a:graphicData uri="http://schemas.microsoft.com/office/word/2010/wordprocessingShape">
                    <wps:wsp>
                      <wps:cNvCnPr/>
                      <wps:spPr>
                        <a:xfrm flipH="1">
                          <a:off x="0" y="0"/>
                          <a:ext cx="3810" cy="30670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flip:x;margin-left:104.4pt;margin-top:18.65pt;height:24.15pt;width:0.3pt;z-index:251716608;mso-width-relative:page;mso-height-relative:page;" filled="f" stroked="t" coordsize="21600,21600" o:gfxdata="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f8yXP2QAAAAkBAAAPAAAAAAAAAAEA&#10;IAAAACIAAABkcnMvZG93bnJldi54bWxQSwECFAAUAAAACACHTuJAMYyzhg4CAAD+AwAADgAAAAAA&#10;AAABACAAAAAoAQAAZHJzL2Uyb0RvYy54bWxQSwUGAAAAAAYABgBZAQAAqAUAAAAA&#10;">
                <v:fill on="f" focussize="0,0"/>
                <v:stroke color="#000000" joinstyle="round" endarrow="block"/>
                <v:imagedata o:title=""/>
                <o:lock v:ext="edit" aspectratio="f"/>
              </v:shape>
            </w:pict>
          </mc:Fallback>
        </mc:AlternateContent>
      </w:r>
    </w:p>
    <w:p>
      <w:pPr>
        <w:pageBreakBefore w:val="0"/>
        <w:kinsoku/>
        <w:wordWrap/>
        <w:bidi w:val="0"/>
        <w:spacing w:line="360" w:lineRule="auto"/>
        <w:ind w:left="0" w:leftChars="0" w:right="0"/>
        <w:jc w:val="center"/>
        <w:rPr>
          <w:rFonts w:hint="eastAsia" w:ascii="宋体" w:hAnsi="宋体" w:eastAsia="宋体" w:cs="宋体"/>
          <w:b/>
          <w:caps w:val="0"/>
          <w:smallCaps w:val="0"/>
          <w:color w:val="auto"/>
          <w:spacing w:val="0"/>
          <w:sz w:val="28"/>
          <w:szCs w:val="28"/>
          <w:highlight w:val="none"/>
          <w:u w:val="none" w:color="auto"/>
        </w:rPr>
      </w:pPr>
      <w:r>
        <w:rPr>
          <w:rFonts w:hint="eastAsia" w:ascii="宋体" w:hAnsi="宋体" w:eastAsia="宋体" w:cs="宋体"/>
          <w:caps w:val="0"/>
          <w:smallCaps w:val="0"/>
          <w:color w:val="auto"/>
          <w:spacing w:val="0"/>
          <w:sz w:val="28"/>
          <w:szCs w:val="28"/>
          <w:highlight w:val="none"/>
          <w:u w:val="none" w:color="auto"/>
        </w:rPr>
        <mc:AlternateContent>
          <mc:Choice Requires="wps">
            <w:drawing>
              <wp:anchor distT="0" distB="0" distL="114300" distR="114300" simplePos="0" relativeHeight="251710464" behindDoc="0" locked="0" layoutInCell="1" allowOverlap="1">
                <wp:simplePos x="0" y="0"/>
                <wp:positionH relativeFrom="column">
                  <wp:posOffset>2009775</wp:posOffset>
                </wp:positionH>
                <wp:positionV relativeFrom="paragraph">
                  <wp:posOffset>10160</wp:posOffset>
                </wp:positionV>
                <wp:extent cx="1075055" cy="245745"/>
                <wp:effectExtent l="5080" t="5080" r="12065" b="15875"/>
                <wp:wrapNone/>
                <wp:docPr id="56" name="文本框 56"/>
                <wp:cNvGraphicFramePr/>
                <a:graphic xmlns:a="http://schemas.openxmlformats.org/drawingml/2006/main">
                  <a:graphicData uri="http://schemas.microsoft.com/office/word/2010/wordprocessingShape">
                    <wps:wsp>
                      <wps:cNvSpPr txBox="1"/>
                      <wps:spPr>
                        <a:xfrm>
                          <a:off x="0" y="0"/>
                          <a:ext cx="1075055" cy="245745"/>
                        </a:xfrm>
                        <a:prstGeom prst="rect">
                          <a:avLst/>
                        </a:prstGeom>
                        <a:noFill/>
                        <a:ln w="9525" cap="flat" cmpd="sng">
                          <a:solidFill>
                            <a:srgbClr val="000000"/>
                          </a:solidFill>
                          <a:prstDash val="dash"/>
                          <a:miter/>
                          <a:headEnd type="none" w="med" len="med"/>
                          <a:tailEnd type="none" w="med" len="med"/>
                        </a:ln>
                      </wps:spPr>
                      <wps:txbx>
                        <w:txbxContent>
                          <w:p>
                            <w:pPr>
                              <w:spacing w:line="240" w:lineRule="exact"/>
                              <w:ind w:left="0" w:leftChars="0" w:firstLine="0" w:firstLineChars="0"/>
                              <w:rPr>
                                <w:sz w:val="21"/>
                                <w:szCs w:val="21"/>
                              </w:rPr>
                            </w:pPr>
                            <w:r>
                              <w:rPr>
                                <w:sz w:val="21"/>
                                <w:szCs w:val="21"/>
                              </w:rPr>
                              <w:t>G</w:t>
                            </w:r>
                            <w:r>
                              <w:rPr>
                                <w:rFonts w:hint="eastAsia"/>
                                <w:sz w:val="21"/>
                                <w:szCs w:val="21"/>
                                <w:vertAlign w:val="subscript"/>
                              </w:rPr>
                              <w:t>3</w:t>
                            </w:r>
                            <w:r>
                              <w:rPr>
                                <w:sz w:val="21"/>
                                <w:szCs w:val="21"/>
                                <w:vertAlign w:val="subscript"/>
                              </w:rPr>
                              <w:t>-</w:t>
                            </w:r>
                            <w:r>
                              <w:rPr>
                                <w:rFonts w:hint="eastAsia"/>
                                <w:sz w:val="21"/>
                                <w:szCs w:val="21"/>
                                <w:vertAlign w:val="subscript"/>
                              </w:rPr>
                              <w:t>6</w:t>
                            </w:r>
                            <w:r>
                              <w:rPr>
                                <w:rFonts w:hAnsi="宋体"/>
                                <w:sz w:val="21"/>
                                <w:szCs w:val="21"/>
                              </w:rPr>
                              <w:t>：</w:t>
                            </w:r>
                            <w:r>
                              <w:rPr>
                                <w:rFonts w:hint="eastAsia" w:hAnsi="宋体"/>
                                <w:sz w:val="21"/>
                                <w:szCs w:val="21"/>
                              </w:rPr>
                              <w:t>三溴磷酸酯</w:t>
                            </w:r>
                          </w:p>
                        </w:txbxContent>
                      </wps:txbx>
                      <wps:bodyPr lIns="18000" tIns="10800" rIns="18000" bIns="10800" upright="1"/>
                    </wps:wsp>
                  </a:graphicData>
                </a:graphic>
              </wp:anchor>
            </w:drawing>
          </mc:Choice>
          <mc:Fallback>
            <w:pict>
              <v:shape id="_x0000_s1026" o:spid="_x0000_s1026" o:spt="202" type="#_x0000_t202" style="position:absolute;left:0pt;margin-left:158.25pt;margin-top:0.8pt;height:19.35pt;width:84.65pt;z-index:251710464;mso-width-relative:page;mso-height-relative:page;" filled="f" stroked="t" coordsize="21600,21600" o:gfxdata="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Lg2C8tgAAAAI&#10;AQAADwAAAAAAAAABACAAAAAiAAAAZHJzL2Rvd25yZXYueG1sUEsBAhQAFAAAAAgAh07iQCqFOxwc&#10;AgAAQgQAAA4AAAAAAAAAAQAgAAAAJwEAAGRycy9lMm9Eb2MueG1sUEsFBgAAAAAGAAYAWQEAALUF&#10;AAAAAA==&#10;">
                <v:fill on="f" focussize="0,0"/>
                <v:stroke color="#000000" joinstyle="miter" dashstyle="dash"/>
                <v:imagedata o:title=""/>
                <o:lock v:ext="edit" aspectratio="f"/>
                <v:textbox inset="0.5mm,0.3mm,0.5mm,0.3mm">
                  <w:txbxContent>
                    <w:p>
                      <w:pPr>
                        <w:spacing w:line="240" w:lineRule="exact"/>
                        <w:ind w:left="0" w:leftChars="0" w:firstLine="0" w:firstLineChars="0"/>
                        <w:rPr>
                          <w:sz w:val="21"/>
                          <w:szCs w:val="21"/>
                        </w:rPr>
                      </w:pPr>
                      <w:r>
                        <w:rPr>
                          <w:sz w:val="21"/>
                          <w:szCs w:val="21"/>
                        </w:rPr>
                        <w:t>G</w:t>
                      </w:r>
                      <w:r>
                        <w:rPr>
                          <w:rFonts w:hint="eastAsia"/>
                          <w:sz w:val="21"/>
                          <w:szCs w:val="21"/>
                          <w:vertAlign w:val="subscript"/>
                        </w:rPr>
                        <w:t>3</w:t>
                      </w:r>
                      <w:r>
                        <w:rPr>
                          <w:sz w:val="21"/>
                          <w:szCs w:val="21"/>
                          <w:vertAlign w:val="subscript"/>
                        </w:rPr>
                        <w:t>-</w:t>
                      </w:r>
                      <w:r>
                        <w:rPr>
                          <w:rFonts w:hint="eastAsia"/>
                          <w:sz w:val="21"/>
                          <w:szCs w:val="21"/>
                          <w:vertAlign w:val="subscript"/>
                        </w:rPr>
                        <w:t>6</w:t>
                      </w:r>
                      <w:r>
                        <w:rPr>
                          <w:rFonts w:hAnsi="宋体"/>
                          <w:sz w:val="21"/>
                          <w:szCs w:val="21"/>
                        </w:rPr>
                        <w:t>：</w:t>
                      </w:r>
                      <w:r>
                        <w:rPr>
                          <w:rFonts w:hint="eastAsia" w:hAnsi="宋体"/>
                          <w:sz w:val="21"/>
                          <w:szCs w:val="21"/>
                        </w:rPr>
                        <w:t>三溴磷酸酯</w:t>
                      </w:r>
                    </w:p>
                  </w:txbxContent>
                </v:textbox>
              </v:shape>
            </w:pict>
          </mc:Fallback>
        </mc:AlternateContent>
      </w:r>
      <w:r>
        <w:rPr>
          <w:rFonts w:hint="eastAsia" w:ascii="宋体" w:hAnsi="宋体" w:eastAsia="宋体" w:cs="宋体"/>
          <w:caps w:val="0"/>
          <w:smallCaps w:val="0"/>
          <w:color w:val="auto"/>
          <w:spacing w:val="0"/>
          <w:sz w:val="28"/>
          <w:szCs w:val="28"/>
          <w:highlight w:val="none"/>
          <w:u w:val="none" w:color="auto"/>
        </w:rPr>
        <mc:AlternateContent>
          <mc:Choice Requires="wps">
            <w:drawing>
              <wp:anchor distT="0" distB="0" distL="114300" distR="114300" simplePos="0" relativeHeight="251709440" behindDoc="0" locked="0" layoutInCell="1" allowOverlap="1">
                <wp:simplePos x="0" y="0"/>
                <wp:positionH relativeFrom="column">
                  <wp:posOffset>1692910</wp:posOffset>
                </wp:positionH>
                <wp:positionV relativeFrom="paragraph">
                  <wp:posOffset>113030</wp:posOffset>
                </wp:positionV>
                <wp:extent cx="305435" cy="142875"/>
                <wp:effectExtent l="0" t="26670" r="12065" b="8255"/>
                <wp:wrapNone/>
                <wp:docPr id="57" name="曲线连接符 57"/>
                <wp:cNvGraphicFramePr/>
                <a:graphic xmlns:a="http://schemas.openxmlformats.org/drawingml/2006/main">
                  <a:graphicData uri="http://schemas.microsoft.com/office/word/2010/wordprocessingShape">
                    <wps:wsp>
                      <wps:cNvCnPr/>
                      <wps:spPr>
                        <a:xfrm flipV="1">
                          <a:off x="0" y="0"/>
                          <a:ext cx="305435" cy="142875"/>
                        </a:xfrm>
                        <a:prstGeom prst="curvedConnector3">
                          <a:avLst>
                            <a:gd name="adj1" fmla="val 49898"/>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8" type="#_x0000_t38" style="position:absolute;left:0pt;flip:y;margin-left:133.3pt;margin-top:8.9pt;height:11.25pt;width:24.05pt;z-index:251709440;mso-width-relative:page;mso-height-relative:page;" filled="f" stroked="t" coordsize="21600,21600" o:gfxdata="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D4&#10;JX9v2gAAAAkBAAAPAAAAAAAAAAEAIAAAACIAAABkcnMvZG93bnJldi54bWxQSwECFAAUAAAACACH&#10;TuJAk3prfCICAAAlBAAADgAAAAAAAAABACAAAAApAQAAZHJzL2Uyb0RvYy54bWxQSwUGAAAAAAYA&#10;BgBZAQAAvQUAAAAA&#10;" adj="10778">
                <v:fill on="f" focussize="0,0"/>
                <v:stroke color="#000000" joinstyle="round" endarrow="block"/>
                <v:imagedata o:title=""/>
                <o:lock v:ext="edit" aspectratio="f"/>
              </v:shape>
            </w:pict>
          </mc:Fallback>
        </mc:AlternateContent>
      </w:r>
    </w:p>
    <w:p>
      <w:pPr>
        <w:pageBreakBefore w:val="0"/>
        <w:kinsoku/>
        <w:wordWrap/>
        <w:bidi w:val="0"/>
        <w:spacing w:line="360" w:lineRule="auto"/>
        <w:ind w:left="0" w:leftChars="0" w:right="0"/>
        <w:jc w:val="center"/>
        <w:rPr>
          <w:rFonts w:hint="eastAsia" w:ascii="宋体" w:hAnsi="宋体" w:eastAsia="宋体" w:cs="宋体"/>
          <w:b/>
          <w:caps w:val="0"/>
          <w:smallCaps w:val="0"/>
          <w:color w:val="auto"/>
          <w:spacing w:val="0"/>
          <w:sz w:val="28"/>
          <w:szCs w:val="28"/>
          <w:highlight w:val="none"/>
          <w:u w:val="none" w:color="auto"/>
        </w:rPr>
      </w:pPr>
      <w:r>
        <w:rPr>
          <w:rFonts w:hint="eastAsia" w:ascii="宋体" w:hAnsi="宋体" w:eastAsia="宋体" w:cs="宋体"/>
          <w:caps w:val="0"/>
          <w:smallCaps w:val="0"/>
          <w:color w:val="auto"/>
          <w:spacing w:val="0"/>
          <w:sz w:val="28"/>
          <w:szCs w:val="28"/>
          <w:highlight w:val="none"/>
          <w:u w:val="none" w:color="auto"/>
        </w:rPr>
        <mc:AlternateContent>
          <mc:Choice Requires="wps">
            <w:drawing>
              <wp:anchor distT="0" distB="0" distL="114300" distR="114300" simplePos="0" relativeHeight="251711488" behindDoc="0" locked="0" layoutInCell="1" allowOverlap="1">
                <wp:simplePos x="0" y="0"/>
                <wp:positionH relativeFrom="column">
                  <wp:posOffset>961390</wp:posOffset>
                </wp:positionH>
                <wp:positionV relativeFrom="paragraph">
                  <wp:posOffset>8890</wp:posOffset>
                </wp:positionV>
                <wp:extent cx="762000" cy="295275"/>
                <wp:effectExtent l="4445" t="4445" r="8255" b="5080"/>
                <wp:wrapNone/>
                <wp:docPr id="25" name="文本框 25"/>
                <wp:cNvGraphicFramePr/>
                <a:graphic xmlns:a="http://schemas.openxmlformats.org/drawingml/2006/main">
                  <a:graphicData uri="http://schemas.microsoft.com/office/word/2010/wordprocessingShape">
                    <wps:wsp>
                      <wps:cNvSpPr txBox="1"/>
                      <wps:spPr>
                        <a:xfrm>
                          <a:off x="0" y="0"/>
                          <a:ext cx="762000" cy="29527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exact"/>
                              <w:jc w:val="center"/>
                              <w:rPr>
                                <w:sz w:val="21"/>
                                <w:szCs w:val="21"/>
                              </w:rPr>
                            </w:pPr>
                            <w:r>
                              <w:rPr>
                                <w:rFonts w:hint="eastAsia"/>
                                <w:sz w:val="21"/>
                                <w:szCs w:val="21"/>
                              </w:rPr>
                              <w:t>包装</w:t>
                            </w:r>
                          </w:p>
                          <w:p/>
                        </w:txbxContent>
                      </wps:txbx>
                      <wps:bodyPr upright="1"/>
                    </wps:wsp>
                  </a:graphicData>
                </a:graphic>
              </wp:anchor>
            </w:drawing>
          </mc:Choice>
          <mc:Fallback>
            <w:pict>
              <v:shape id="_x0000_s1026" o:spid="_x0000_s1026" o:spt="202" type="#_x0000_t202" style="position:absolute;left:0pt;margin-left:75.7pt;margin-top:0.7pt;height:23.25pt;width:60pt;z-index:251711488;mso-width-relative:page;mso-height-relative:page;" fillcolor="#FFFFFF" filled="t" stroked="t" coordsize="21600,21600" o:gfxdata="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OPF68nVAAAACAEAAA8AAAAAAAAAAQAgAAAAIgAA&#10;AGRycy9kb3ducmV2LnhtbFBLAQIUABQAAAAIAIdO4kCDkKbWCwIAADcEAAAOAAAAAAAAAAEAIAAA&#10;ACQBAABkcnMvZTJvRG9jLnhtbFBLBQYAAAAABgAGAFkBAAChBQAAAAA=&#10;">
                <v:fill on="t" focussize="0,0"/>
                <v:stroke color="#000000" joinstyle="miter"/>
                <v:imagedata o:title=""/>
                <o:lock v:ext="edit" aspectratio="f"/>
                <v:textbox>
                  <w:txbxContent>
                    <w:p>
                      <w:pPr>
                        <w:spacing w:line="240" w:lineRule="exact"/>
                        <w:jc w:val="center"/>
                        <w:rPr>
                          <w:sz w:val="21"/>
                          <w:szCs w:val="21"/>
                        </w:rPr>
                      </w:pPr>
                      <w:r>
                        <w:rPr>
                          <w:rFonts w:hint="eastAsia"/>
                          <w:sz w:val="21"/>
                          <w:szCs w:val="21"/>
                        </w:rPr>
                        <w:t>包装</w:t>
                      </w:r>
                    </w:p>
                    <w:p/>
                  </w:txbxContent>
                </v:textbox>
              </v:shape>
            </w:pict>
          </mc:Fallback>
        </mc:AlternateContent>
      </w:r>
    </w:p>
    <w:p>
      <w:pPr>
        <w:pageBreakBefore w:val="0"/>
        <w:kinsoku/>
        <w:wordWrap/>
        <w:bidi w:val="0"/>
        <w:spacing w:line="360" w:lineRule="auto"/>
        <w:ind w:left="0" w:leftChars="0" w:right="0" w:firstLine="0" w:firstLineChars="0"/>
        <w:jc w:val="center"/>
        <w:rPr>
          <w:rFonts w:hint="eastAsia" w:ascii="宋体" w:hAnsi="宋体" w:eastAsia="宋体" w:cs="宋体"/>
          <w:b/>
          <w:caps w:val="0"/>
          <w:smallCaps w:val="0"/>
          <w:color w:val="auto"/>
          <w:spacing w:val="0"/>
          <w:sz w:val="28"/>
          <w:szCs w:val="28"/>
          <w:highlight w:val="none"/>
          <w:u w:val="none" w:color="auto"/>
        </w:rPr>
      </w:pPr>
      <w:r>
        <w:rPr>
          <w:rFonts w:hint="eastAsia" w:ascii="宋体" w:hAnsi="宋体" w:eastAsia="宋体" w:cs="宋体"/>
          <w:b/>
          <w:caps w:val="0"/>
          <w:smallCaps w:val="0"/>
          <w:color w:val="auto"/>
          <w:spacing w:val="0"/>
          <w:sz w:val="28"/>
          <w:szCs w:val="28"/>
          <w:highlight w:val="none"/>
          <w:u w:val="none" w:color="auto"/>
        </w:rPr>
        <w:t>三溴磷酸酯工艺流程和产污环节图</w:t>
      </w:r>
    </w:p>
    <w:p>
      <w:pPr>
        <w:pStyle w:val="45"/>
        <w:rPr>
          <w:rFonts w:hint="eastAsia"/>
          <w:color w:val="auto"/>
          <w:highlight w:val="none"/>
        </w:rPr>
      </w:pPr>
    </w:p>
    <w:p>
      <w:pPr>
        <w:pStyle w:val="9"/>
        <w:pageBreakBefore w:val="0"/>
        <w:numPr>
          <w:ilvl w:val="2"/>
          <w:numId w:val="0"/>
        </w:numPr>
        <w:kinsoku/>
        <w:wordWrap/>
        <w:bidi w:val="0"/>
        <w:spacing w:before="0" w:after="0" w:line="360" w:lineRule="auto"/>
        <w:ind w:right="0" w:rightChars="0"/>
        <w:rPr>
          <w:rFonts w:hint="eastAsia" w:ascii="宋体" w:hAnsi="宋体" w:eastAsia="宋体" w:cs="宋体"/>
          <w:b/>
          <w:caps w:val="0"/>
          <w:smallCaps w:val="0"/>
          <w:color w:val="auto"/>
          <w:spacing w:val="0"/>
          <w:sz w:val="28"/>
          <w:szCs w:val="28"/>
          <w:highlight w:val="none"/>
          <w:u w:val="none" w:color="auto"/>
        </w:rPr>
      </w:pPr>
      <w:r>
        <w:rPr>
          <w:rFonts w:hint="eastAsia" w:ascii="宋体" w:hAnsi="宋体" w:eastAsia="宋体" w:cs="宋体"/>
          <w:b/>
          <w:caps w:val="0"/>
          <w:smallCaps w:val="0"/>
          <w:color w:val="auto"/>
          <w:spacing w:val="0"/>
          <w:sz w:val="28"/>
          <w:szCs w:val="28"/>
          <w:highlight w:val="none"/>
          <w:u w:val="none" w:color="auto"/>
          <w:lang w:val="en-US" w:eastAsia="zh-CN"/>
        </w:rPr>
        <w:t>4.2.8</w:t>
      </w:r>
      <w:r>
        <w:rPr>
          <w:rFonts w:hint="eastAsia" w:ascii="宋体" w:hAnsi="宋体" w:eastAsia="宋体" w:cs="宋体"/>
          <w:b/>
          <w:caps w:val="0"/>
          <w:smallCaps w:val="0"/>
          <w:color w:val="auto"/>
          <w:spacing w:val="0"/>
          <w:sz w:val="28"/>
          <w:szCs w:val="28"/>
          <w:highlight w:val="none"/>
          <w:u w:val="none" w:color="auto"/>
        </w:rPr>
        <w:t>二溴新戊二醇工艺介绍</w:t>
      </w:r>
    </w:p>
    <w:p>
      <w:pPr>
        <w:pStyle w:val="10"/>
        <w:pageBreakBefore w:val="0"/>
        <w:kinsoku/>
        <w:wordWrap/>
        <w:bidi w:val="0"/>
        <w:spacing w:line="360" w:lineRule="auto"/>
        <w:ind w:left="0" w:leftChars="0" w:right="0" w:firstLine="560" w:firstLineChars="200"/>
        <w:rPr>
          <w:rFonts w:hint="eastAsia" w:ascii="宋体" w:hAnsi="宋体" w:eastAsia="宋体" w:cs="宋体"/>
          <w:caps w:val="0"/>
          <w:smallCaps w:val="0"/>
          <w:color w:val="auto"/>
          <w:spacing w:val="0"/>
          <w:sz w:val="28"/>
          <w:szCs w:val="28"/>
          <w:highlight w:val="none"/>
          <w:u w:val="none" w:color="auto"/>
        </w:rPr>
      </w:pPr>
      <w:r>
        <w:rPr>
          <w:rFonts w:hint="eastAsia" w:ascii="宋体" w:hAnsi="宋体" w:eastAsia="宋体" w:cs="宋体"/>
          <w:caps w:val="0"/>
          <w:smallCaps w:val="0"/>
          <w:color w:val="auto"/>
          <w:spacing w:val="0"/>
          <w:sz w:val="28"/>
          <w:szCs w:val="28"/>
          <w:highlight w:val="none"/>
          <w:u w:val="none" w:color="auto"/>
        </w:rPr>
        <w:t>本次扩建工程二溴新戊二醇生产为间歇式生产。共设置4条生产线，单条生产线每批次生产生产能力约为762kg。全年共生产131批次，每批次生产周期约为20h。</w:t>
      </w:r>
    </w:p>
    <w:p>
      <w:pPr>
        <w:pStyle w:val="10"/>
        <w:pageBreakBefore w:val="0"/>
        <w:kinsoku/>
        <w:wordWrap/>
        <w:bidi w:val="0"/>
        <w:spacing w:line="360" w:lineRule="auto"/>
        <w:ind w:left="0" w:leftChars="0" w:right="0" w:firstLine="560" w:firstLineChars="200"/>
        <w:rPr>
          <w:rFonts w:hint="eastAsia" w:ascii="宋体" w:hAnsi="宋体" w:eastAsia="宋体" w:cs="宋体"/>
          <w:caps w:val="0"/>
          <w:smallCaps w:val="0"/>
          <w:color w:val="auto"/>
          <w:spacing w:val="0"/>
          <w:sz w:val="28"/>
          <w:szCs w:val="28"/>
          <w:highlight w:val="none"/>
          <w:u w:val="none" w:color="auto"/>
        </w:rPr>
      </w:pPr>
      <w:r>
        <w:rPr>
          <w:rFonts w:hint="eastAsia" w:ascii="宋体" w:hAnsi="宋体" w:eastAsia="宋体" w:cs="宋体"/>
          <w:b w:val="0"/>
          <w:bCs w:val="0"/>
          <w:caps w:val="0"/>
          <w:smallCaps w:val="0"/>
          <w:color w:val="auto"/>
          <w:spacing w:val="0"/>
          <w:sz w:val="28"/>
          <w:szCs w:val="28"/>
          <w:highlight w:val="none"/>
          <w:u w:val="none" w:color="auto"/>
        </w:rPr>
        <w:t>取代反应：人工向反应釜中投加季戊四醇，通过管道将乙酸泵入反应釜，然后管道通入溴化氢，升温90-100℃，保温10小时，进行取代反应，乙酸、溴化氢投加过程及取代反应过程中会有少量含溴化氢和乙酸废气从反应釜排气孔排出。减压蒸馏：取代反应结束后，在-0.095MP，85℃下减压蒸馏，蒸馏塔底为反应生成产物，塔顶气体经二级冷凝回收乙酸后回用至取代工序，蒸馏冷凝过程会有少量含乙酸不凝废气排出。蒸馏工段收率约为80%。本工段采用减压蒸馏，使用机械真空泵。结晶：将釜内温度降至40℃，加入新鲜水，然后机械搅拌降温至5℃，进行结晶。离心：结晶后的</w:t>
      </w:r>
      <w:r>
        <w:rPr>
          <w:rFonts w:hint="eastAsia" w:ascii="宋体" w:hAnsi="宋体" w:eastAsia="宋体" w:cs="宋体"/>
          <w:bCs/>
          <w:caps w:val="0"/>
          <w:smallCaps w:val="0"/>
          <w:color w:val="auto"/>
          <w:spacing w:val="0"/>
          <w:sz w:val="28"/>
          <w:szCs w:val="28"/>
          <w:highlight w:val="none"/>
          <w:u w:val="none" w:color="auto"/>
        </w:rPr>
        <w:t>混合物料送离心机进行离心，离心液去污水处理站，离心固体进行下一步烘干工序。烘干：将</w:t>
      </w:r>
      <w:r>
        <w:rPr>
          <w:rFonts w:hint="eastAsia" w:ascii="宋体" w:hAnsi="宋体" w:eastAsia="宋体" w:cs="宋体"/>
          <w:caps w:val="0"/>
          <w:smallCaps w:val="0"/>
          <w:color w:val="auto"/>
          <w:spacing w:val="0"/>
          <w:sz w:val="28"/>
          <w:szCs w:val="28"/>
          <w:highlight w:val="none"/>
          <w:u w:val="none" w:color="auto"/>
        </w:rPr>
        <w:t>离心后的湿品固体投入回转干燥机进行真空干燥，在-0.098MP，60-62</w:t>
      </w:r>
      <w:r>
        <w:rPr>
          <w:rFonts w:hint="eastAsia" w:ascii="宋体" w:hAnsi="宋体" w:eastAsia="宋体" w:cs="宋体"/>
          <w:bCs/>
          <w:caps w:val="0"/>
          <w:smallCaps w:val="0"/>
          <w:color w:val="auto"/>
          <w:spacing w:val="0"/>
          <w:sz w:val="28"/>
          <w:szCs w:val="28"/>
          <w:highlight w:val="none"/>
          <w:u w:val="none" w:color="auto"/>
        </w:rPr>
        <w:t>℃</w:t>
      </w:r>
      <w:r>
        <w:rPr>
          <w:rFonts w:hint="eastAsia" w:ascii="宋体" w:hAnsi="宋体" w:eastAsia="宋体" w:cs="宋体"/>
          <w:caps w:val="0"/>
          <w:smallCaps w:val="0"/>
          <w:color w:val="auto"/>
          <w:spacing w:val="0"/>
          <w:sz w:val="28"/>
          <w:szCs w:val="28"/>
          <w:highlight w:val="none"/>
          <w:u w:val="none" w:color="auto"/>
        </w:rPr>
        <w:t>下干燥10小时，得到97%二溴新戊二醇，</w:t>
      </w:r>
      <w:r>
        <w:rPr>
          <w:rFonts w:hint="eastAsia" w:ascii="宋体" w:hAnsi="宋体" w:eastAsia="宋体" w:cs="宋体"/>
          <w:bCs/>
          <w:caps w:val="0"/>
          <w:smallCaps w:val="0"/>
          <w:color w:val="auto"/>
          <w:spacing w:val="0"/>
          <w:sz w:val="28"/>
          <w:szCs w:val="28"/>
          <w:highlight w:val="none"/>
          <w:u w:val="none" w:color="auto"/>
        </w:rPr>
        <w:t>烘干得到的产品为晶体状，颗粒较大，此过程无粉尘产生</w:t>
      </w:r>
      <w:r>
        <w:rPr>
          <w:rFonts w:hint="eastAsia" w:ascii="宋体" w:hAnsi="宋体" w:eastAsia="宋体" w:cs="宋体"/>
          <w:caps w:val="0"/>
          <w:smallCaps w:val="0"/>
          <w:color w:val="auto"/>
          <w:spacing w:val="0"/>
          <w:sz w:val="28"/>
          <w:szCs w:val="28"/>
          <w:highlight w:val="none"/>
          <w:u w:val="none" w:color="auto"/>
        </w:rPr>
        <w:t>。</w:t>
      </w:r>
    </w:p>
    <w:p>
      <w:pPr>
        <w:pageBreakBefore w:val="0"/>
        <w:kinsoku/>
        <w:wordWrap/>
        <w:bidi w:val="0"/>
        <w:spacing w:line="360" w:lineRule="auto"/>
        <w:ind w:left="0" w:leftChars="0" w:right="0" w:firstLine="560" w:firstLineChars="200"/>
        <w:rPr>
          <w:rFonts w:hint="eastAsia" w:ascii="宋体" w:hAnsi="宋体" w:eastAsia="宋体" w:cs="宋体"/>
          <w:caps w:val="0"/>
          <w:smallCaps w:val="0"/>
          <w:color w:val="auto"/>
          <w:spacing w:val="0"/>
          <w:sz w:val="28"/>
          <w:szCs w:val="28"/>
          <w:highlight w:val="none"/>
          <w:u w:val="none" w:color="auto"/>
        </w:rPr>
      </w:pPr>
      <w:r>
        <w:rPr>
          <w:rFonts w:hint="eastAsia" w:ascii="宋体" w:hAnsi="宋体" w:eastAsia="宋体" w:cs="宋体"/>
          <w:caps w:val="0"/>
          <w:smallCaps w:val="0"/>
          <w:color w:val="auto"/>
          <w:spacing w:val="0"/>
          <w:sz w:val="28"/>
          <w:szCs w:val="28"/>
          <w:highlight w:val="none"/>
          <w:u w:val="none" w:color="auto"/>
        </w:rPr>
        <w:t>二溴新戊二醇制备过程中的污染源：废气：取代工序产生的废气G</w:t>
      </w:r>
      <w:r>
        <w:rPr>
          <w:rFonts w:hint="eastAsia" w:ascii="宋体" w:hAnsi="宋体" w:eastAsia="宋体" w:cs="宋体"/>
          <w:caps w:val="0"/>
          <w:smallCaps w:val="0"/>
          <w:color w:val="auto"/>
          <w:spacing w:val="0"/>
          <w:sz w:val="28"/>
          <w:szCs w:val="28"/>
          <w:highlight w:val="none"/>
          <w:u w:val="none" w:color="auto"/>
          <w:vertAlign w:val="subscript"/>
        </w:rPr>
        <w:t>4-1</w:t>
      </w:r>
      <w:r>
        <w:rPr>
          <w:rFonts w:hint="eastAsia" w:ascii="宋体" w:hAnsi="宋体" w:eastAsia="宋体" w:cs="宋体"/>
          <w:caps w:val="0"/>
          <w:smallCaps w:val="0"/>
          <w:color w:val="auto"/>
          <w:spacing w:val="0"/>
          <w:sz w:val="28"/>
          <w:szCs w:val="28"/>
          <w:highlight w:val="none"/>
          <w:u w:val="none" w:color="auto"/>
        </w:rPr>
        <w:t>，主要成分为溴化氢和乙酸；乙酸回收工序产生的废气G</w:t>
      </w:r>
      <w:r>
        <w:rPr>
          <w:rFonts w:hint="eastAsia" w:ascii="宋体" w:hAnsi="宋体" w:eastAsia="宋体" w:cs="宋体"/>
          <w:caps w:val="0"/>
          <w:smallCaps w:val="0"/>
          <w:color w:val="auto"/>
          <w:spacing w:val="0"/>
          <w:sz w:val="28"/>
          <w:szCs w:val="28"/>
          <w:highlight w:val="none"/>
          <w:u w:val="none" w:color="auto"/>
          <w:vertAlign w:val="subscript"/>
        </w:rPr>
        <w:t>4-2</w:t>
      </w:r>
      <w:r>
        <w:rPr>
          <w:rFonts w:hint="eastAsia" w:ascii="宋体" w:hAnsi="宋体" w:eastAsia="宋体" w:cs="宋体"/>
          <w:caps w:val="0"/>
          <w:smallCaps w:val="0"/>
          <w:color w:val="auto"/>
          <w:spacing w:val="0"/>
          <w:sz w:val="28"/>
          <w:szCs w:val="28"/>
          <w:highlight w:val="none"/>
          <w:u w:val="none" w:color="auto"/>
        </w:rPr>
        <w:t>，主要成份为乙酸和水。废水：离心工序产生的废水W</w:t>
      </w:r>
      <w:r>
        <w:rPr>
          <w:rFonts w:hint="eastAsia" w:ascii="宋体" w:hAnsi="宋体" w:eastAsia="宋体" w:cs="宋体"/>
          <w:caps w:val="0"/>
          <w:smallCaps w:val="0"/>
          <w:color w:val="auto"/>
          <w:spacing w:val="0"/>
          <w:sz w:val="28"/>
          <w:szCs w:val="28"/>
          <w:highlight w:val="none"/>
          <w:u w:val="none" w:color="auto"/>
          <w:vertAlign w:val="subscript"/>
        </w:rPr>
        <w:t>4-1</w:t>
      </w:r>
      <w:r>
        <w:rPr>
          <w:rFonts w:hint="eastAsia" w:ascii="宋体" w:hAnsi="宋体" w:eastAsia="宋体" w:cs="宋体"/>
          <w:caps w:val="0"/>
          <w:smallCaps w:val="0"/>
          <w:color w:val="auto"/>
          <w:spacing w:val="0"/>
          <w:sz w:val="28"/>
          <w:szCs w:val="28"/>
          <w:highlight w:val="none"/>
          <w:u w:val="none" w:color="auto"/>
        </w:rPr>
        <w:t>。二溴新戊二醇项目生产工艺流程及污染物产生点位见</w:t>
      </w:r>
      <w:r>
        <w:rPr>
          <w:rFonts w:hint="eastAsia" w:ascii="宋体" w:hAnsi="宋体" w:eastAsia="宋体" w:cs="宋体"/>
          <w:caps w:val="0"/>
          <w:smallCaps w:val="0"/>
          <w:color w:val="auto"/>
          <w:spacing w:val="0"/>
          <w:sz w:val="28"/>
          <w:szCs w:val="28"/>
          <w:highlight w:val="none"/>
          <w:u w:val="none" w:color="auto"/>
          <w:lang w:val="en-US" w:eastAsia="zh-CN"/>
        </w:rPr>
        <w:t>下图</w:t>
      </w:r>
      <w:r>
        <w:rPr>
          <w:rFonts w:hint="eastAsia" w:ascii="宋体" w:hAnsi="宋体" w:eastAsia="宋体" w:cs="宋体"/>
          <w:caps w:val="0"/>
          <w:smallCaps w:val="0"/>
          <w:color w:val="auto"/>
          <w:spacing w:val="0"/>
          <w:sz w:val="28"/>
          <w:szCs w:val="28"/>
          <w:highlight w:val="none"/>
          <w:u w:val="none" w:color="auto"/>
        </w:rPr>
        <w:t>。</w:t>
      </w:r>
    </w:p>
    <w:p>
      <w:pPr>
        <w:pageBreakBefore w:val="0"/>
        <w:kinsoku/>
        <w:wordWrap/>
        <w:bidi w:val="0"/>
        <w:spacing w:line="360" w:lineRule="auto"/>
        <w:ind w:left="0" w:leftChars="0" w:right="0" w:firstLine="420" w:firstLineChars="200"/>
        <w:jc w:val="center"/>
        <w:rPr>
          <w:color w:val="auto"/>
          <w:highlight w:val="none"/>
        </w:rPr>
      </w:pPr>
      <w:r>
        <w:rPr>
          <w:color w:val="auto"/>
          <w:highlight w:val="none"/>
        </w:rPr>
        <w:drawing>
          <wp:inline distT="0" distB="0" distL="114300" distR="114300">
            <wp:extent cx="3762375" cy="3550285"/>
            <wp:effectExtent l="0" t="0" r="9525" b="5715"/>
            <wp:docPr id="33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
                    <pic:cNvPicPr>
                      <a:picLocks noChangeAspect="1"/>
                    </pic:cNvPicPr>
                  </pic:nvPicPr>
                  <pic:blipFill>
                    <a:blip r:embed="rId15"/>
                    <a:stretch>
                      <a:fillRect/>
                    </a:stretch>
                  </pic:blipFill>
                  <pic:spPr>
                    <a:xfrm>
                      <a:off x="0" y="0"/>
                      <a:ext cx="3762375" cy="3550285"/>
                    </a:xfrm>
                    <a:prstGeom prst="rect">
                      <a:avLst/>
                    </a:prstGeom>
                    <a:noFill/>
                    <a:ln>
                      <a:noFill/>
                    </a:ln>
                  </pic:spPr>
                </pic:pic>
              </a:graphicData>
            </a:graphic>
          </wp:inline>
        </w:drawing>
      </w:r>
    </w:p>
    <w:p>
      <w:pPr>
        <w:pageBreakBefore w:val="0"/>
        <w:kinsoku/>
        <w:wordWrap/>
        <w:bidi w:val="0"/>
        <w:spacing w:line="360" w:lineRule="auto"/>
        <w:ind w:left="0" w:leftChars="0" w:right="0" w:firstLine="562" w:firstLineChars="200"/>
        <w:jc w:val="center"/>
        <w:rPr>
          <w:rFonts w:hint="eastAsia" w:ascii="宋体" w:hAnsi="宋体" w:eastAsia="宋体" w:cs="宋体"/>
          <w:b/>
          <w:caps w:val="0"/>
          <w:smallCaps w:val="0"/>
          <w:color w:val="auto"/>
          <w:spacing w:val="0"/>
          <w:sz w:val="28"/>
          <w:szCs w:val="28"/>
          <w:highlight w:val="none"/>
          <w:u w:val="none" w:color="auto"/>
        </w:rPr>
      </w:pPr>
      <w:r>
        <w:rPr>
          <w:rFonts w:hint="eastAsia" w:ascii="宋体" w:hAnsi="宋体" w:eastAsia="宋体" w:cs="宋体"/>
          <w:b/>
          <w:caps w:val="0"/>
          <w:smallCaps w:val="0"/>
          <w:color w:val="auto"/>
          <w:spacing w:val="0"/>
          <w:sz w:val="28"/>
          <w:szCs w:val="28"/>
          <w:highlight w:val="none"/>
          <w:u w:val="none" w:color="auto"/>
        </w:rPr>
        <w:t>二溴新戊二醇工艺流程和产污环节图</w:t>
      </w:r>
    </w:p>
    <w:p>
      <w:pPr>
        <w:rPr>
          <w:rFonts w:hint="eastAsia" w:ascii="宋体" w:hAnsi="宋体" w:eastAsia="宋体" w:cs="宋体"/>
          <w:caps w:val="0"/>
          <w:smallCaps w:val="0"/>
          <w:color w:val="auto"/>
          <w:spacing w:val="0"/>
          <w:sz w:val="28"/>
          <w:szCs w:val="28"/>
          <w:highlight w:val="none"/>
          <w:u w:val="none" w:color="auto"/>
          <w:lang w:val="en-US" w:eastAsia="zh-CN"/>
        </w:rPr>
      </w:pPr>
      <w:r>
        <w:rPr>
          <w:rFonts w:hint="eastAsia" w:ascii="宋体" w:hAnsi="宋体" w:eastAsia="宋体" w:cs="宋体"/>
          <w:caps w:val="0"/>
          <w:smallCaps w:val="0"/>
          <w:color w:val="auto"/>
          <w:spacing w:val="0"/>
          <w:sz w:val="28"/>
          <w:szCs w:val="28"/>
          <w:highlight w:val="none"/>
          <w:u w:val="none" w:color="auto"/>
          <w:lang w:val="en-US" w:eastAsia="zh-CN"/>
        </w:rPr>
        <w:br w:type="page"/>
      </w:r>
    </w:p>
    <w:p>
      <w:pPr>
        <w:pageBreakBefore w:val="0"/>
        <w:kinsoku/>
        <w:wordWrap/>
        <w:bidi w:val="0"/>
        <w:spacing w:line="360" w:lineRule="auto"/>
        <w:ind w:right="0"/>
        <w:jc w:val="left"/>
        <w:rPr>
          <w:rFonts w:hint="eastAsia" w:ascii="宋体" w:hAnsi="宋体" w:eastAsia="宋体" w:cs="宋体"/>
          <w:b/>
          <w:bCs/>
          <w:caps w:val="0"/>
          <w:smallCaps w:val="0"/>
          <w:color w:val="auto"/>
          <w:spacing w:val="0"/>
          <w:sz w:val="28"/>
          <w:szCs w:val="28"/>
          <w:highlight w:val="none"/>
          <w:u w:val="none" w:color="auto"/>
          <w:lang w:val="en-US" w:eastAsia="zh-CN"/>
        </w:rPr>
      </w:pPr>
      <w:r>
        <w:rPr>
          <w:rFonts w:hint="eastAsia" w:ascii="宋体" w:hAnsi="宋体" w:eastAsia="宋体" w:cs="宋体"/>
          <w:b/>
          <w:bCs/>
          <w:caps w:val="0"/>
          <w:smallCaps w:val="0"/>
          <w:color w:val="auto"/>
          <w:spacing w:val="0"/>
          <w:sz w:val="28"/>
          <w:szCs w:val="28"/>
          <w:highlight w:val="none"/>
          <w:u w:val="none" w:color="auto"/>
          <w:lang w:val="en-US" w:eastAsia="zh-CN"/>
        </w:rPr>
        <w:t>4.2.9四溴双酚A生产工艺流程及产污环节</w:t>
      </w:r>
    </w:p>
    <w:p>
      <w:pPr>
        <w:pageBreakBefore w:val="0"/>
        <w:kinsoku/>
        <w:wordWrap/>
        <w:bidi w:val="0"/>
        <w:spacing w:line="360" w:lineRule="auto"/>
        <w:ind w:left="0" w:leftChars="0" w:right="0" w:firstLine="560" w:firstLineChars="200"/>
        <w:rPr>
          <w:rFonts w:hint="eastAsia" w:ascii="宋体" w:hAnsi="宋体" w:eastAsia="宋体" w:cs="宋体"/>
          <w:caps w:val="0"/>
          <w:smallCaps w:val="0"/>
          <w:color w:val="auto"/>
          <w:spacing w:val="0"/>
          <w:sz w:val="28"/>
          <w:szCs w:val="28"/>
          <w:highlight w:val="none"/>
          <w:u w:val="none" w:color="auto"/>
          <w:lang w:val="en-US" w:eastAsia="zh-CN"/>
        </w:rPr>
      </w:pPr>
      <w:r>
        <w:rPr>
          <w:rFonts w:hint="eastAsia" w:ascii="宋体" w:hAnsi="宋体" w:eastAsia="宋体" w:cs="宋体"/>
          <w:caps w:val="0"/>
          <w:smallCaps w:val="0"/>
          <w:color w:val="auto"/>
          <w:spacing w:val="0"/>
          <w:sz w:val="28"/>
          <w:szCs w:val="28"/>
          <w:highlight w:val="none"/>
          <w:u w:val="none" w:color="auto"/>
          <w:lang w:val="en-US" w:eastAsia="zh-CN"/>
        </w:rPr>
        <w:t>四溴双酚A生产过程主要包括溴化反应、脱色、洗涤、蒸馏、过滤和干燥。</w:t>
      </w:r>
    </w:p>
    <w:p>
      <w:pPr>
        <w:pageBreakBefore w:val="0"/>
        <w:kinsoku/>
        <w:wordWrap/>
        <w:bidi w:val="0"/>
        <w:spacing w:line="360" w:lineRule="auto"/>
        <w:ind w:left="0" w:leftChars="0" w:right="0" w:firstLine="560" w:firstLineChars="200"/>
        <w:rPr>
          <w:rFonts w:hint="eastAsia" w:ascii="宋体" w:hAnsi="宋体" w:eastAsia="宋体" w:cs="宋体"/>
          <w:caps w:val="0"/>
          <w:smallCaps w:val="0"/>
          <w:color w:val="auto"/>
          <w:spacing w:val="0"/>
          <w:sz w:val="28"/>
          <w:szCs w:val="28"/>
          <w:highlight w:val="none"/>
          <w:u w:val="none" w:color="auto"/>
          <w:lang w:val="en-US" w:eastAsia="zh-CN"/>
        </w:rPr>
      </w:pPr>
      <w:r>
        <w:rPr>
          <w:rFonts w:hint="eastAsia" w:ascii="宋体" w:hAnsi="宋体" w:eastAsia="宋体" w:cs="宋体"/>
          <w:caps w:val="0"/>
          <w:smallCaps w:val="0"/>
          <w:color w:val="auto"/>
          <w:spacing w:val="0"/>
          <w:sz w:val="28"/>
          <w:szCs w:val="28"/>
          <w:highlight w:val="none"/>
          <w:u w:val="none" w:color="auto"/>
          <w:lang w:val="en-US" w:eastAsia="zh-CN"/>
        </w:rPr>
        <w:t>①溴化反应由现有工程溴化氢乙酸生产线的溴素储罐向本项目溴素滴加罐中压入溴素，溴素滴加罐配套设置尾气吸收系统，用于吸收处理溴素滴加过程中的排空气体。尾气吸收系统由两个800L的尾气吸收罐组成，其中一个吸收罐内为空气，另一个吸收罐内的吸收介质为纯水。溴素滴加过程中的排空气体首先进入空气吸收罐，之后进入纯水吸收罐，最终排入综合车间的含氯废气处理设施进行处理。</w:t>
      </w:r>
    </w:p>
    <w:p>
      <w:pPr>
        <w:pageBreakBefore w:val="0"/>
        <w:kinsoku/>
        <w:wordWrap/>
        <w:bidi w:val="0"/>
        <w:spacing w:line="360" w:lineRule="auto"/>
        <w:ind w:left="0" w:leftChars="0" w:right="0" w:firstLine="560" w:firstLineChars="200"/>
        <w:rPr>
          <w:rFonts w:hint="eastAsia" w:ascii="宋体" w:hAnsi="宋体" w:eastAsia="宋体" w:cs="宋体"/>
          <w:caps w:val="0"/>
          <w:smallCaps w:val="0"/>
          <w:color w:val="auto"/>
          <w:spacing w:val="0"/>
          <w:sz w:val="28"/>
          <w:szCs w:val="28"/>
          <w:highlight w:val="none"/>
          <w:u w:val="none" w:color="auto"/>
          <w:lang w:val="en-US" w:eastAsia="zh-CN"/>
        </w:rPr>
      </w:pPr>
      <w:r>
        <w:rPr>
          <w:rFonts w:hint="eastAsia" w:ascii="宋体" w:hAnsi="宋体" w:eastAsia="宋体" w:cs="宋体"/>
          <w:caps w:val="0"/>
          <w:smallCaps w:val="0"/>
          <w:color w:val="auto"/>
          <w:spacing w:val="0"/>
          <w:sz w:val="28"/>
          <w:szCs w:val="28"/>
          <w:highlight w:val="none"/>
          <w:u w:val="none" w:color="auto"/>
          <w:lang w:val="en-US" w:eastAsia="zh-CN"/>
        </w:rPr>
        <w:t>向K3000L配料釜中加入双酚A，将溶剂二氯甲烷泵入K3000L配料釜，搅拌至双酚A完全溶解，开启石墨冷凝器，使K3000L配料釜内温度降至26~30℃；将配料釜内的物料转入K3000L反应釜，之后开始滴加双氧水；双氧水滴加结束后，开启溴素滴加罐底阀，向K3000L反应釜中滴加溴素，在常压进行溴化反应，溴素在4.5小时内加完。溴素滴加结束后，保温2小时，控制温度在35℃以内。保温结束后，K3000L反应釜内的下层有机相进入K3000L脱色釜进行脱色。</w:t>
      </w:r>
    </w:p>
    <w:p>
      <w:pPr>
        <w:pageBreakBefore w:val="0"/>
        <w:kinsoku/>
        <w:wordWrap/>
        <w:bidi w:val="0"/>
        <w:spacing w:line="360" w:lineRule="auto"/>
        <w:ind w:left="0" w:leftChars="0" w:right="0" w:firstLine="560" w:firstLineChars="200"/>
        <w:rPr>
          <w:rFonts w:hint="eastAsia" w:ascii="宋体" w:hAnsi="宋体" w:eastAsia="宋体" w:cs="宋体"/>
          <w:caps w:val="0"/>
          <w:smallCaps w:val="0"/>
          <w:color w:val="auto"/>
          <w:spacing w:val="0"/>
          <w:sz w:val="28"/>
          <w:szCs w:val="28"/>
          <w:highlight w:val="none"/>
          <w:u w:val="none" w:color="auto"/>
          <w:lang w:val="en-US" w:eastAsia="zh-CN"/>
        </w:rPr>
      </w:pPr>
      <w:r>
        <w:rPr>
          <w:rFonts w:hint="eastAsia" w:ascii="宋体" w:hAnsi="宋体" w:eastAsia="宋体" w:cs="宋体"/>
          <w:caps w:val="0"/>
          <w:smallCaps w:val="0"/>
          <w:color w:val="auto"/>
          <w:spacing w:val="0"/>
          <w:sz w:val="28"/>
          <w:szCs w:val="28"/>
          <w:highlight w:val="none"/>
          <w:u w:val="none" w:color="auto"/>
          <w:lang w:val="en-US" w:eastAsia="zh-CN"/>
        </w:rPr>
        <w:t>常压溴化反应过程中将会产生不凝废气G1-1、溴化废气G1-2及溴化废水W1-1。G1-1废气中主要污染因子为二氯甲烷；G1-2废气中主要污染因子为溴素、二氯甲烷；W1-1废水为主要污染物为过氧化氢及微量的二氯甲烷。</w:t>
      </w:r>
    </w:p>
    <w:p>
      <w:pPr>
        <w:pageBreakBefore w:val="0"/>
        <w:kinsoku/>
        <w:wordWrap/>
        <w:bidi w:val="0"/>
        <w:spacing w:line="360" w:lineRule="auto"/>
        <w:ind w:left="0" w:leftChars="0" w:right="0" w:firstLine="560" w:firstLineChars="200"/>
        <w:rPr>
          <w:rFonts w:hint="eastAsia" w:ascii="宋体" w:hAnsi="宋体" w:eastAsia="宋体" w:cs="宋体"/>
          <w:caps w:val="0"/>
          <w:smallCaps w:val="0"/>
          <w:color w:val="auto"/>
          <w:spacing w:val="0"/>
          <w:sz w:val="28"/>
          <w:szCs w:val="28"/>
          <w:highlight w:val="none"/>
          <w:u w:val="none" w:color="auto"/>
          <w:lang w:val="en-US" w:eastAsia="zh-CN"/>
        </w:rPr>
      </w:pPr>
      <w:r>
        <w:rPr>
          <w:rFonts w:hint="eastAsia" w:ascii="宋体" w:hAnsi="宋体" w:eastAsia="宋体" w:cs="宋体"/>
          <w:caps w:val="0"/>
          <w:smallCaps w:val="0"/>
          <w:color w:val="auto"/>
          <w:spacing w:val="0"/>
          <w:sz w:val="28"/>
          <w:szCs w:val="28"/>
          <w:highlight w:val="none"/>
          <w:u w:val="none" w:color="auto"/>
          <w:lang w:val="en-US" w:eastAsia="zh-CN"/>
        </w:rPr>
        <w:t>②脱色</w:t>
      </w:r>
    </w:p>
    <w:p>
      <w:pPr>
        <w:pageBreakBefore w:val="0"/>
        <w:kinsoku/>
        <w:wordWrap/>
        <w:bidi w:val="0"/>
        <w:spacing w:line="360" w:lineRule="auto"/>
        <w:ind w:left="0" w:leftChars="0" w:right="0" w:firstLine="560" w:firstLineChars="200"/>
        <w:rPr>
          <w:rFonts w:hint="eastAsia" w:ascii="宋体" w:hAnsi="宋体" w:eastAsia="宋体" w:cs="宋体"/>
          <w:caps w:val="0"/>
          <w:smallCaps w:val="0"/>
          <w:color w:val="auto"/>
          <w:spacing w:val="0"/>
          <w:sz w:val="28"/>
          <w:szCs w:val="28"/>
          <w:highlight w:val="none"/>
          <w:u w:val="none" w:color="auto"/>
          <w:lang w:val="en-US" w:eastAsia="zh-CN"/>
        </w:rPr>
      </w:pPr>
      <w:r>
        <w:rPr>
          <w:rFonts w:hint="eastAsia" w:ascii="宋体" w:hAnsi="宋体" w:eastAsia="宋体" w:cs="宋体"/>
          <w:caps w:val="0"/>
          <w:smallCaps w:val="0"/>
          <w:color w:val="auto"/>
          <w:spacing w:val="0"/>
          <w:sz w:val="28"/>
          <w:szCs w:val="28"/>
          <w:highlight w:val="none"/>
          <w:u w:val="none" w:color="auto"/>
          <w:lang w:val="en-US" w:eastAsia="zh-CN"/>
        </w:rPr>
        <w:t>采用10%的亚硫酸钠溶液与合成釜内有机相中过量的溴素进行反应，达到脱色的目的。脱色过程分为一次脱色和二次脱色，其反应原理如下：</w:t>
      </w:r>
    </w:p>
    <w:p>
      <w:pPr>
        <w:pageBreakBefore w:val="0"/>
        <w:kinsoku/>
        <w:wordWrap/>
        <w:bidi w:val="0"/>
        <w:spacing w:line="360" w:lineRule="auto"/>
        <w:ind w:left="0" w:leftChars="0" w:right="0" w:firstLine="560" w:firstLineChars="200"/>
        <w:rPr>
          <w:rFonts w:hint="eastAsia" w:ascii="宋体" w:hAnsi="宋体" w:eastAsia="宋体" w:cs="宋体"/>
          <w:caps w:val="0"/>
          <w:smallCaps w:val="0"/>
          <w:color w:val="auto"/>
          <w:spacing w:val="0"/>
          <w:sz w:val="28"/>
          <w:szCs w:val="28"/>
          <w:highlight w:val="none"/>
          <w:u w:val="none" w:color="auto"/>
          <w:lang w:val="en-US" w:eastAsia="zh-CN"/>
        </w:rPr>
      </w:pPr>
      <w:r>
        <w:rPr>
          <w:rFonts w:hint="eastAsia" w:ascii="宋体" w:hAnsi="宋体" w:eastAsia="宋体" w:cs="宋体"/>
          <w:caps w:val="0"/>
          <w:smallCaps w:val="0"/>
          <w:color w:val="auto"/>
          <w:spacing w:val="0"/>
          <w:sz w:val="28"/>
          <w:szCs w:val="28"/>
          <w:highlight w:val="none"/>
          <w:u w:val="none" w:color="auto"/>
          <w:lang w:val="en-US" w:eastAsia="zh-CN"/>
        </w:rPr>
        <w:t>Na2SO3+Br2+H2O=Na2SO4+2HBr</w:t>
      </w:r>
    </w:p>
    <w:p>
      <w:pPr>
        <w:pageBreakBefore w:val="0"/>
        <w:kinsoku/>
        <w:wordWrap/>
        <w:bidi w:val="0"/>
        <w:spacing w:line="360" w:lineRule="auto"/>
        <w:ind w:left="0" w:leftChars="0" w:right="0" w:firstLine="560" w:firstLineChars="200"/>
        <w:rPr>
          <w:rFonts w:hint="eastAsia" w:ascii="宋体" w:hAnsi="宋体" w:eastAsia="宋体" w:cs="宋体"/>
          <w:caps w:val="0"/>
          <w:smallCaps w:val="0"/>
          <w:color w:val="auto"/>
          <w:spacing w:val="0"/>
          <w:sz w:val="28"/>
          <w:szCs w:val="28"/>
          <w:highlight w:val="none"/>
          <w:u w:val="none" w:color="auto"/>
          <w:lang w:val="en-US" w:eastAsia="zh-CN"/>
        </w:rPr>
      </w:pPr>
      <w:r>
        <w:rPr>
          <w:rFonts w:hint="eastAsia" w:ascii="宋体" w:hAnsi="宋体" w:eastAsia="宋体" w:cs="宋体"/>
          <w:caps w:val="0"/>
          <w:smallCaps w:val="0"/>
          <w:color w:val="auto"/>
          <w:spacing w:val="0"/>
          <w:sz w:val="28"/>
          <w:szCs w:val="28"/>
          <w:highlight w:val="none"/>
          <w:u w:val="none" w:color="auto"/>
          <w:lang w:val="en-US" w:eastAsia="zh-CN"/>
        </w:rPr>
        <w:t>首先配置10%的亚硫酸钠溶液，即10千克亚硫酸钠固体溶解在100千克水中。在亚硫酸钠溶解釜中加入去离子水，开启搅拌，之后投入亚硫酸钠，搅拌至完全溶解。</w:t>
      </w:r>
    </w:p>
    <w:p>
      <w:pPr>
        <w:pageBreakBefore w:val="0"/>
        <w:kinsoku/>
        <w:wordWrap/>
        <w:bidi w:val="0"/>
        <w:spacing w:line="360" w:lineRule="auto"/>
        <w:ind w:left="0" w:leftChars="0" w:right="0" w:firstLine="560" w:firstLineChars="200"/>
        <w:rPr>
          <w:rFonts w:hint="eastAsia" w:ascii="宋体" w:hAnsi="宋体" w:eastAsia="宋体" w:cs="宋体"/>
          <w:caps w:val="0"/>
          <w:smallCaps w:val="0"/>
          <w:color w:val="auto"/>
          <w:spacing w:val="0"/>
          <w:sz w:val="28"/>
          <w:szCs w:val="28"/>
          <w:highlight w:val="none"/>
          <w:u w:val="none" w:color="auto"/>
          <w:lang w:val="en-US" w:eastAsia="zh-CN"/>
        </w:rPr>
      </w:pPr>
      <w:r>
        <w:rPr>
          <w:rFonts w:hint="eastAsia" w:ascii="宋体" w:hAnsi="宋体" w:eastAsia="宋体" w:cs="宋体"/>
          <w:caps w:val="0"/>
          <w:smallCaps w:val="0"/>
          <w:color w:val="auto"/>
          <w:spacing w:val="0"/>
          <w:sz w:val="28"/>
          <w:szCs w:val="28"/>
          <w:highlight w:val="none"/>
          <w:u w:val="none" w:color="auto"/>
          <w:lang w:val="en-US" w:eastAsia="zh-CN"/>
        </w:rPr>
        <w:t>一次脱色：将10%的亚硫酸钠溶液泵入一次脱色釜中，开启搅拌，保持一次脱色釜内温度40℃左右，搅拌30分钟；搅拌结束后，打开一次脱色釜底阀及转料管道阀门，开启转料泵，将下层有机相转入二次脱色釜；上层水相经管道进入废水储罐。</w:t>
      </w:r>
    </w:p>
    <w:p>
      <w:pPr>
        <w:pageBreakBefore w:val="0"/>
        <w:kinsoku/>
        <w:wordWrap/>
        <w:bidi w:val="0"/>
        <w:spacing w:line="360" w:lineRule="auto"/>
        <w:ind w:left="0" w:leftChars="0" w:right="0" w:firstLine="560" w:firstLineChars="200"/>
        <w:rPr>
          <w:rFonts w:hint="eastAsia" w:ascii="宋体" w:hAnsi="宋体" w:eastAsia="宋体" w:cs="宋体"/>
          <w:caps w:val="0"/>
          <w:smallCaps w:val="0"/>
          <w:color w:val="auto"/>
          <w:spacing w:val="0"/>
          <w:sz w:val="28"/>
          <w:szCs w:val="28"/>
          <w:highlight w:val="none"/>
          <w:u w:val="none" w:color="auto"/>
          <w:lang w:val="en-US" w:eastAsia="zh-CN"/>
        </w:rPr>
      </w:pPr>
      <w:r>
        <w:rPr>
          <w:rFonts w:hint="eastAsia" w:ascii="宋体" w:hAnsi="宋体" w:eastAsia="宋体" w:cs="宋体"/>
          <w:caps w:val="0"/>
          <w:smallCaps w:val="0"/>
          <w:color w:val="auto"/>
          <w:spacing w:val="0"/>
          <w:sz w:val="28"/>
          <w:szCs w:val="28"/>
          <w:highlight w:val="none"/>
          <w:u w:val="none" w:color="auto"/>
          <w:lang w:val="en-US" w:eastAsia="zh-CN"/>
        </w:rPr>
        <w:t>二次脱色：将10%的亚硫酸钠溶液加入二次脱色釜中，将一次脱色后的下层有机相泵入二次脱色釜中，保持二次脱色釜内温度40℃左右，搅拌30分钟；搅拌结束后，二次脱色釜中的下层有机相进入洗涤釜，上层水相经管道进入废水储罐。</w:t>
      </w:r>
    </w:p>
    <w:p>
      <w:pPr>
        <w:pageBreakBefore w:val="0"/>
        <w:kinsoku/>
        <w:wordWrap/>
        <w:bidi w:val="0"/>
        <w:spacing w:line="360" w:lineRule="auto"/>
        <w:ind w:left="0" w:leftChars="0" w:right="0" w:firstLine="560" w:firstLineChars="200"/>
        <w:rPr>
          <w:rFonts w:hint="eastAsia" w:ascii="宋体" w:hAnsi="宋体" w:eastAsia="宋体" w:cs="宋体"/>
          <w:caps w:val="0"/>
          <w:smallCaps w:val="0"/>
          <w:color w:val="auto"/>
          <w:spacing w:val="0"/>
          <w:sz w:val="28"/>
          <w:szCs w:val="28"/>
          <w:highlight w:val="none"/>
          <w:u w:val="none" w:color="auto"/>
          <w:lang w:val="en-US" w:eastAsia="zh-CN"/>
        </w:rPr>
      </w:pPr>
      <w:r>
        <w:rPr>
          <w:rFonts w:hint="eastAsia" w:ascii="宋体" w:hAnsi="宋体" w:eastAsia="宋体" w:cs="宋体"/>
          <w:caps w:val="0"/>
          <w:smallCaps w:val="0"/>
          <w:color w:val="auto"/>
          <w:spacing w:val="0"/>
          <w:sz w:val="28"/>
          <w:szCs w:val="28"/>
          <w:highlight w:val="none"/>
          <w:u w:val="none" w:color="auto"/>
          <w:lang w:val="en-US" w:eastAsia="zh-CN"/>
        </w:rPr>
        <w:t>脱色过程产生脱色废水W1-2，其主要污染物为亚硫酸钠、硫酸钠、溴化氢。</w:t>
      </w:r>
    </w:p>
    <w:p>
      <w:pPr>
        <w:pageBreakBefore w:val="0"/>
        <w:kinsoku/>
        <w:wordWrap/>
        <w:bidi w:val="0"/>
        <w:spacing w:line="360" w:lineRule="auto"/>
        <w:ind w:left="0" w:leftChars="0" w:right="0" w:firstLine="560" w:firstLineChars="200"/>
        <w:rPr>
          <w:rFonts w:hint="eastAsia" w:ascii="宋体" w:hAnsi="宋体" w:eastAsia="宋体" w:cs="宋体"/>
          <w:caps w:val="0"/>
          <w:smallCaps w:val="0"/>
          <w:color w:val="auto"/>
          <w:spacing w:val="0"/>
          <w:sz w:val="28"/>
          <w:szCs w:val="28"/>
          <w:highlight w:val="none"/>
          <w:u w:val="none" w:color="auto"/>
          <w:lang w:val="en-US" w:eastAsia="zh-CN"/>
        </w:rPr>
      </w:pPr>
      <w:r>
        <w:rPr>
          <w:rFonts w:hint="eastAsia" w:ascii="宋体" w:hAnsi="宋体" w:eastAsia="宋体" w:cs="宋体"/>
          <w:caps w:val="0"/>
          <w:smallCaps w:val="0"/>
          <w:color w:val="auto"/>
          <w:spacing w:val="0"/>
          <w:sz w:val="28"/>
          <w:szCs w:val="28"/>
          <w:highlight w:val="none"/>
          <w:u w:val="none" w:color="auto"/>
          <w:lang w:val="en-US" w:eastAsia="zh-CN"/>
        </w:rPr>
        <w:t>③洗涤</w:t>
      </w:r>
    </w:p>
    <w:p>
      <w:pPr>
        <w:pageBreakBefore w:val="0"/>
        <w:kinsoku/>
        <w:wordWrap/>
        <w:bidi w:val="0"/>
        <w:spacing w:line="360" w:lineRule="auto"/>
        <w:ind w:left="0" w:leftChars="0" w:right="0" w:firstLine="560" w:firstLineChars="200"/>
        <w:rPr>
          <w:rFonts w:hint="eastAsia" w:ascii="宋体" w:hAnsi="宋体" w:eastAsia="宋体" w:cs="宋体"/>
          <w:caps w:val="0"/>
          <w:smallCaps w:val="0"/>
          <w:color w:val="auto"/>
          <w:spacing w:val="0"/>
          <w:sz w:val="28"/>
          <w:szCs w:val="28"/>
          <w:highlight w:val="none"/>
          <w:u w:val="none" w:color="auto"/>
          <w:lang w:val="en-US" w:eastAsia="zh-CN"/>
        </w:rPr>
      </w:pPr>
      <w:r>
        <w:rPr>
          <w:rFonts w:hint="eastAsia" w:ascii="宋体" w:hAnsi="宋体" w:eastAsia="宋体" w:cs="宋体"/>
          <w:caps w:val="0"/>
          <w:smallCaps w:val="0"/>
          <w:color w:val="auto"/>
          <w:spacing w:val="0"/>
          <w:sz w:val="28"/>
          <w:szCs w:val="28"/>
          <w:highlight w:val="none"/>
          <w:u w:val="none" w:color="auto"/>
          <w:lang w:val="en-US" w:eastAsia="zh-CN"/>
        </w:rPr>
        <w:t>二次脱色釜的下层物料用泵转入K6300L洗涤釜，之后向洗涤釜中加入10%的亚硫酸钠溶液和纯碱(用于调节洗涤工段pH值)。此工序主要是进一步去除二次脱色釜有机相中能溶于水的杂质。洗涤釜中的上层水相为废水W1-3，下层有机相进入2000L不锈钢釜蒸馏。</w:t>
      </w:r>
    </w:p>
    <w:p>
      <w:pPr>
        <w:pageBreakBefore w:val="0"/>
        <w:kinsoku/>
        <w:wordWrap/>
        <w:bidi w:val="0"/>
        <w:spacing w:line="360" w:lineRule="auto"/>
        <w:ind w:left="0" w:leftChars="0" w:right="0" w:firstLine="560" w:firstLineChars="200"/>
        <w:rPr>
          <w:rFonts w:hint="eastAsia" w:ascii="宋体" w:hAnsi="宋体" w:eastAsia="宋体" w:cs="宋体"/>
          <w:caps w:val="0"/>
          <w:smallCaps w:val="0"/>
          <w:color w:val="auto"/>
          <w:spacing w:val="0"/>
          <w:sz w:val="28"/>
          <w:szCs w:val="28"/>
          <w:highlight w:val="none"/>
          <w:u w:val="none" w:color="auto"/>
          <w:lang w:val="en-US" w:eastAsia="zh-CN"/>
        </w:rPr>
      </w:pPr>
      <w:r>
        <w:rPr>
          <w:rFonts w:hint="eastAsia" w:ascii="宋体" w:hAnsi="宋体" w:eastAsia="宋体" w:cs="宋体"/>
          <w:caps w:val="0"/>
          <w:smallCaps w:val="0"/>
          <w:color w:val="auto"/>
          <w:spacing w:val="0"/>
          <w:sz w:val="28"/>
          <w:szCs w:val="28"/>
          <w:highlight w:val="none"/>
          <w:u w:val="none" w:color="auto"/>
          <w:lang w:val="en-US" w:eastAsia="zh-CN"/>
        </w:rPr>
        <w:t>废水W1-3的主要污染物为亚硫酸钠、硫酸钠。</w:t>
      </w:r>
    </w:p>
    <w:p>
      <w:pPr>
        <w:pageBreakBefore w:val="0"/>
        <w:kinsoku/>
        <w:wordWrap/>
        <w:bidi w:val="0"/>
        <w:spacing w:line="360" w:lineRule="auto"/>
        <w:ind w:left="0" w:leftChars="0" w:right="0" w:firstLine="560" w:firstLineChars="200"/>
        <w:rPr>
          <w:rFonts w:hint="eastAsia" w:ascii="宋体" w:hAnsi="宋体" w:eastAsia="宋体" w:cs="宋体"/>
          <w:caps w:val="0"/>
          <w:smallCaps w:val="0"/>
          <w:color w:val="auto"/>
          <w:spacing w:val="0"/>
          <w:sz w:val="28"/>
          <w:szCs w:val="28"/>
          <w:highlight w:val="none"/>
          <w:u w:val="none" w:color="auto"/>
          <w:lang w:val="en-US" w:eastAsia="zh-CN"/>
        </w:rPr>
      </w:pPr>
      <w:r>
        <w:rPr>
          <w:rFonts w:hint="eastAsia" w:ascii="宋体" w:hAnsi="宋体" w:eastAsia="宋体" w:cs="宋体"/>
          <w:caps w:val="0"/>
          <w:smallCaps w:val="0"/>
          <w:color w:val="auto"/>
          <w:spacing w:val="0"/>
          <w:sz w:val="28"/>
          <w:szCs w:val="28"/>
          <w:highlight w:val="none"/>
          <w:u w:val="none" w:color="auto"/>
          <w:lang w:val="en-US" w:eastAsia="zh-CN"/>
        </w:rPr>
        <w:t>④蒸馏</w:t>
      </w:r>
    </w:p>
    <w:p>
      <w:pPr>
        <w:pageBreakBefore w:val="0"/>
        <w:kinsoku/>
        <w:wordWrap/>
        <w:bidi w:val="0"/>
        <w:spacing w:line="360" w:lineRule="auto"/>
        <w:ind w:left="0" w:leftChars="0" w:right="0" w:firstLine="560" w:firstLineChars="200"/>
        <w:rPr>
          <w:rFonts w:hint="eastAsia" w:ascii="宋体" w:hAnsi="宋体" w:eastAsia="宋体" w:cs="宋体"/>
          <w:caps w:val="0"/>
          <w:smallCaps w:val="0"/>
          <w:color w:val="auto"/>
          <w:spacing w:val="0"/>
          <w:sz w:val="28"/>
          <w:szCs w:val="28"/>
          <w:highlight w:val="none"/>
          <w:u w:val="none" w:color="auto"/>
          <w:lang w:val="en-US" w:eastAsia="zh-CN"/>
        </w:rPr>
      </w:pPr>
      <w:r>
        <w:rPr>
          <w:rFonts w:hint="eastAsia" w:ascii="宋体" w:hAnsi="宋体" w:eastAsia="宋体" w:cs="宋体"/>
          <w:caps w:val="0"/>
          <w:smallCaps w:val="0"/>
          <w:color w:val="auto"/>
          <w:spacing w:val="0"/>
          <w:sz w:val="28"/>
          <w:szCs w:val="28"/>
          <w:highlight w:val="none"/>
          <w:u w:val="none" w:color="auto"/>
          <w:lang w:val="en-US" w:eastAsia="zh-CN"/>
        </w:rPr>
        <w:t>开启不锈钢冷凝器循环冷冻水。开启K6300L蒸馏釜夹套蒸汽阀门进行蒸馏，蒸出的溶剂二氯甲烷通过管道输送至二氯甲烷缓冲罐(1000L)回收再用，溶剂中少量水随二氯甲烷共同蒸出，静置后从二氯甲烷缓冲罐中分出。</w:t>
      </w:r>
    </w:p>
    <w:p>
      <w:pPr>
        <w:pageBreakBefore w:val="0"/>
        <w:kinsoku/>
        <w:wordWrap/>
        <w:bidi w:val="0"/>
        <w:spacing w:line="360" w:lineRule="auto"/>
        <w:ind w:left="0" w:leftChars="0" w:right="0" w:firstLine="560" w:firstLineChars="200"/>
        <w:rPr>
          <w:rFonts w:hint="eastAsia" w:ascii="宋体" w:hAnsi="宋体" w:eastAsia="宋体" w:cs="宋体"/>
          <w:caps w:val="0"/>
          <w:smallCaps w:val="0"/>
          <w:color w:val="auto"/>
          <w:spacing w:val="0"/>
          <w:sz w:val="28"/>
          <w:szCs w:val="28"/>
          <w:highlight w:val="none"/>
          <w:u w:val="none" w:color="auto"/>
          <w:lang w:val="en-US" w:eastAsia="zh-CN"/>
        </w:rPr>
      </w:pPr>
      <w:r>
        <w:rPr>
          <w:rFonts w:hint="eastAsia" w:ascii="宋体" w:hAnsi="宋体" w:eastAsia="宋体" w:cs="宋体"/>
          <w:caps w:val="0"/>
          <w:smallCaps w:val="0"/>
          <w:color w:val="auto"/>
          <w:spacing w:val="0"/>
          <w:sz w:val="28"/>
          <w:szCs w:val="28"/>
          <w:highlight w:val="none"/>
          <w:u w:val="none" w:color="auto"/>
          <w:lang w:val="en-US" w:eastAsia="zh-CN"/>
        </w:rPr>
        <w:t>蒸馏过程将产生废水W1-4，其主要污染物为二氯甲烷、亚硫酸钠、硫酸钠。</w:t>
      </w:r>
    </w:p>
    <w:p>
      <w:pPr>
        <w:pageBreakBefore w:val="0"/>
        <w:kinsoku/>
        <w:wordWrap/>
        <w:bidi w:val="0"/>
        <w:spacing w:line="360" w:lineRule="auto"/>
        <w:ind w:left="0" w:leftChars="0" w:right="0" w:firstLine="560" w:firstLineChars="200"/>
        <w:rPr>
          <w:rFonts w:hint="eastAsia" w:ascii="宋体" w:hAnsi="宋体" w:eastAsia="宋体" w:cs="宋体"/>
          <w:caps w:val="0"/>
          <w:smallCaps w:val="0"/>
          <w:color w:val="auto"/>
          <w:spacing w:val="0"/>
          <w:sz w:val="28"/>
          <w:szCs w:val="28"/>
          <w:highlight w:val="none"/>
          <w:u w:val="none" w:color="auto"/>
          <w:lang w:val="en-US" w:eastAsia="zh-CN"/>
        </w:rPr>
      </w:pPr>
      <w:r>
        <w:rPr>
          <w:rFonts w:hint="eastAsia" w:ascii="宋体" w:hAnsi="宋体" w:eastAsia="宋体" w:cs="宋体"/>
          <w:caps w:val="0"/>
          <w:smallCaps w:val="0"/>
          <w:color w:val="auto"/>
          <w:spacing w:val="0"/>
          <w:sz w:val="28"/>
          <w:szCs w:val="28"/>
          <w:highlight w:val="none"/>
          <w:u w:val="none" w:color="auto"/>
          <w:lang w:val="en-US" w:eastAsia="zh-CN"/>
        </w:rPr>
        <w:t>⑤过滤</w:t>
      </w:r>
    </w:p>
    <w:p>
      <w:pPr>
        <w:pageBreakBefore w:val="0"/>
        <w:kinsoku/>
        <w:wordWrap/>
        <w:bidi w:val="0"/>
        <w:spacing w:line="360" w:lineRule="auto"/>
        <w:ind w:left="0" w:leftChars="0" w:right="0" w:firstLine="560" w:firstLineChars="200"/>
        <w:rPr>
          <w:rFonts w:hint="eastAsia" w:ascii="宋体" w:hAnsi="宋体" w:eastAsia="宋体" w:cs="宋体"/>
          <w:caps w:val="0"/>
          <w:smallCaps w:val="0"/>
          <w:color w:val="auto"/>
          <w:spacing w:val="0"/>
          <w:sz w:val="28"/>
          <w:szCs w:val="28"/>
          <w:highlight w:val="none"/>
          <w:u w:val="none" w:color="auto"/>
          <w:lang w:val="en-US" w:eastAsia="zh-CN"/>
        </w:rPr>
      </w:pPr>
      <w:r>
        <w:rPr>
          <w:rFonts w:hint="eastAsia" w:ascii="宋体" w:hAnsi="宋体" w:eastAsia="宋体" w:cs="宋体"/>
          <w:caps w:val="0"/>
          <w:smallCaps w:val="0"/>
          <w:color w:val="auto"/>
          <w:spacing w:val="0"/>
          <w:sz w:val="28"/>
          <w:szCs w:val="28"/>
          <w:highlight w:val="none"/>
          <w:u w:val="none" w:color="auto"/>
          <w:lang w:val="en-US" w:eastAsia="zh-CN"/>
        </w:rPr>
        <w:t>蒸馏结束后，向K6300L蒸馏釜内加入纯水搅拌，之后釜内的物料泵入二合一封闭式过滤器，过滤器使用循环冷却水进行冷却，降低四溴双酚A在水中的溶解度。过滤后的物料送至双锥干燥机。</w:t>
      </w:r>
    </w:p>
    <w:p>
      <w:pPr>
        <w:pageBreakBefore w:val="0"/>
        <w:kinsoku/>
        <w:wordWrap/>
        <w:bidi w:val="0"/>
        <w:spacing w:line="360" w:lineRule="auto"/>
        <w:ind w:left="0" w:leftChars="0" w:right="0" w:firstLine="560" w:firstLineChars="200"/>
        <w:rPr>
          <w:rFonts w:hint="eastAsia" w:ascii="宋体" w:hAnsi="宋体" w:eastAsia="宋体" w:cs="宋体"/>
          <w:caps w:val="0"/>
          <w:smallCaps w:val="0"/>
          <w:color w:val="auto"/>
          <w:spacing w:val="0"/>
          <w:sz w:val="28"/>
          <w:szCs w:val="28"/>
          <w:highlight w:val="none"/>
          <w:u w:val="none" w:color="auto"/>
          <w:lang w:val="en-US" w:eastAsia="zh-CN"/>
        </w:rPr>
      </w:pPr>
      <w:r>
        <w:rPr>
          <w:rFonts w:hint="eastAsia" w:ascii="宋体" w:hAnsi="宋体" w:eastAsia="宋体" w:cs="宋体"/>
          <w:caps w:val="0"/>
          <w:smallCaps w:val="0"/>
          <w:color w:val="auto"/>
          <w:spacing w:val="0"/>
          <w:sz w:val="28"/>
          <w:szCs w:val="28"/>
          <w:highlight w:val="none"/>
          <w:u w:val="none" w:color="auto"/>
          <w:lang w:val="en-US" w:eastAsia="zh-CN"/>
        </w:rPr>
        <w:t>过滤过程产生过滤废水W1-5，主要污染物为二氯甲烷、亚硫酸钠、硫酸钠。</w:t>
      </w:r>
    </w:p>
    <w:p>
      <w:pPr>
        <w:pageBreakBefore w:val="0"/>
        <w:kinsoku/>
        <w:wordWrap/>
        <w:bidi w:val="0"/>
        <w:spacing w:line="360" w:lineRule="auto"/>
        <w:ind w:left="0" w:leftChars="0" w:right="0" w:firstLine="560" w:firstLineChars="200"/>
        <w:rPr>
          <w:rFonts w:hint="eastAsia" w:ascii="宋体" w:hAnsi="宋体" w:eastAsia="宋体" w:cs="宋体"/>
          <w:caps w:val="0"/>
          <w:smallCaps w:val="0"/>
          <w:color w:val="auto"/>
          <w:spacing w:val="0"/>
          <w:sz w:val="28"/>
          <w:szCs w:val="28"/>
          <w:highlight w:val="none"/>
          <w:u w:val="none" w:color="auto"/>
          <w:lang w:val="en-US" w:eastAsia="zh-CN"/>
        </w:rPr>
      </w:pPr>
      <w:r>
        <w:rPr>
          <w:rFonts w:hint="eastAsia" w:ascii="宋体" w:hAnsi="宋体" w:eastAsia="宋体" w:cs="宋体"/>
          <w:caps w:val="0"/>
          <w:smallCaps w:val="0"/>
          <w:color w:val="auto"/>
          <w:spacing w:val="0"/>
          <w:sz w:val="28"/>
          <w:szCs w:val="28"/>
          <w:highlight w:val="none"/>
          <w:u w:val="none" w:color="auto"/>
          <w:lang w:val="en-US" w:eastAsia="zh-CN"/>
        </w:rPr>
        <w:t>⑥干燥</w:t>
      </w:r>
    </w:p>
    <w:p>
      <w:pPr>
        <w:pageBreakBefore w:val="0"/>
        <w:kinsoku/>
        <w:wordWrap/>
        <w:bidi w:val="0"/>
        <w:spacing w:line="360" w:lineRule="auto"/>
        <w:ind w:left="0" w:leftChars="0" w:right="0" w:firstLine="560" w:firstLineChars="200"/>
        <w:rPr>
          <w:rFonts w:hint="eastAsia" w:ascii="宋体" w:hAnsi="宋体" w:eastAsia="宋体" w:cs="宋体"/>
          <w:caps w:val="0"/>
          <w:smallCaps w:val="0"/>
          <w:color w:val="auto"/>
          <w:spacing w:val="0"/>
          <w:sz w:val="28"/>
          <w:szCs w:val="28"/>
          <w:highlight w:val="none"/>
          <w:u w:val="none" w:color="auto"/>
          <w:lang w:val="en-US" w:eastAsia="zh-CN"/>
        </w:rPr>
      </w:pPr>
      <w:r>
        <w:rPr>
          <w:rFonts w:hint="eastAsia" w:ascii="宋体" w:hAnsi="宋体" w:eastAsia="宋体" w:cs="宋体"/>
          <w:caps w:val="0"/>
          <w:smallCaps w:val="0"/>
          <w:color w:val="auto"/>
          <w:spacing w:val="0"/>
          <w:sz w:val="28"/>
          <w:szCs w:val="28"/>
          <w:highlight w:val="none"/>
          <w:u w:val="none" w:color="auto"/>
          <w:lang w:val="en-US" w:eastAsia="zh-CN"/>
        </w:rPr>
        <w:t>双锥干燥机中加入物料后，开启无油往复立式真空泵，开启真空阀门和蒸汽阀门，开始升温，控制蒸汽压力＜0.2MPa，干燥温度在70℃左右，干燥2.5h后，关闭蒸汽阀门，继续保温1h。保温完成后，开启冷却水阀门，通冷却水冷却1-2小时，关闭冷却水阀门，关闭真空阀门。干燥造过程为负压操作。</w:t>
      </w:r>
    </w:p>
    <w:p>
      <w:pPr>
        <w:pageBreakBefore w:val="0"/>
        <w:kinsoku/>
        <w:wordWrap/>
        <w:bidi w:val="0"/>
        <w:spacing w:line="360" w:lineRule="auto"/>
        <w:ind w:left="0" w:leftChars="0" w:right="0" w:firstLine="560" w:firstLineChars="200"/>
        <w:rPr>
          <w:rFonts w:hint="eastAsia" w:ascii="宋体" w:hAnsi="宋体" w:eastAsia="宋体" w:cs="宋体"/>
          <w:caps w:val="0"/>
          <w:smallCaps w:val="0"/>
          <w:color w:val="auto"/>
          <w:spacing w:val="0"/>
          <w:sz w:val="28"/>
          <w:szCs w:val="28"/>
          <w:highlight w:val="none"/>
          <w:u w:val="none" w:color="auto"/>
          <w:lang w:val="en-US" w:eastAsia="zh-CN"/>
        </w:rPr>
      </w:pPr>
      <w:r>
        <w:rPr>
          <w:rFonts w:hint="eastAsia" w:ascii="宋体" w:hAnsi="宋体" w:eastAsia="宋体" w:cs="宋体"/>
          <w:caps w:val="0"/>
          <w:smallCaps w:val="0"/>
          <w:color w:val="auto"/>
          <w:spacing w:val="0"/>
          <w:sz w:val="28"/>
          <w:szCs w:val="28"/>
          <w:highlight w:val="none"/>
          <w:u w:val="none" w:color="auto"/>
          <w:lang w:val="en-US" w:eastAsia="zh-CN"/>
        </w:rPr>
        <w:t>双锥干燥机配有冷凝器，冷凝从干燥机中蒸发出的水和微量的二氯甲烷。冷凝下的液体进行静置分层，其中二氯甲烷作为溶剂回用，冷凝水排入现有污水处理站。</w:t>
      </w:r>
    </w:p>
    <w:p>
      <w:pPr>
        <w:pageBreakBefore w:val="0"/>
        <w:kinsoku/>
        <w:wordWrap/>
        <w:bidi w:val="0"/>
        <w:spacing w:line="360" w:lineRule="auto"/>
        <w:ind w:left="0" w:leftChars="0" w:right="0" w:firstLine="560" w:firstLineChars="200"/>
        <w:rPr>
          <w:rFonts w:hint="eastAsia" w:ascii="宋体" w:hAnsi="宋体" w:eastAsia="宋体" w:cs="宋体"/>
          <w:caps w:val="0"/>
          <w:smallCaps w:val="0"/>
          <w:color w:val="auto"/>
          <w:spacing w:val="0"/>
          <w:sz w:val="28"/>
          <w:szCs w:val="28"/>
          <w:highlight w:val="none"/>
          <w:u w:val="none" w:color="auto"/>
          <w:lang w:val="en-US" w:eastAsia="zh-CN"/>
        </w:rPr>
      </w:pPr>
      <w:r>
        <w:rPr>
          <w:rFonts w:hint="eastAsia" w:ascii="宋体" w:hAnsi="宋体" w:eastAsia="宋体" w:cs="宋体"/>
          <w:caps w:val="0"/>
          <w:smallCaps w:val="0"/>
          <w:color w:val="auto"/>
          <w:spacing w:val="0"/>
          <w:sz w:val="28"/>
          <w:szCs w:val="28"/>
          <w:highlight w:val="none"/>
          <w:u w:val="none" w:color="auto"/>
          <w:lang w:val="en-US" w:eastAsia="zh-CN"/>
        </w:rPr>
        <w:t>W1-6的主要污染物为二氯甲烷。</w:t>
      </w:r>
    </w:p>
    <w:p>
      <w:pPr>
        <w:pageBreakBefore w:val="0"/>
        <w:kinsoku/>
        <w:wordWrap/>
        <w:bidi w:val="0"/>
        <w:spacing w:line="360" w:lineRule="auto"/>
        <w:ind w:left="0" w:leftChars="0" w:right="0" w:firstLine="560" w:firstLineChars="200"/>
        <w:rPr>
          <w:rFonts w:hint="eastAsia" w:ascii="宋体" w:hAnsi="宋体" w:eastAsia="宋体" w:cs="宋体"/>
          <w:caps w:val="0"/>
          <w:smallCaps w:val="0"/>
          <w:color w:val="auto"/>
          <w:spacing w:val="0"/>
          <w:sz w:val="28"/>
          <w:szCs w:val="28"/>
          <w:highlight w:val="none"/>
          <w:u w:val="none" w:color="auto"/>
          <w:lang w:val="en-US" w:eastAsia="zh-CN"/>
        </w:rPr>
      </w:pPr>
      <w:r>
        <w:rPr>
          <w:rFonts w:hint="eastAsia" w:ascii="宋体" w:hAnsi="宋体" w:eastAsia="宋体" w:cs="宋体"/>
          <w:caps w:val="0"/>
          <w:smallCaps w:val="0"/>
          <w:color w:val="auto"/>
          <w:spacing w:val="0"/>
          <w:sz w:val="28"/>
          <w:szCs w:val="28"/>
          <w:highlight w:val="none"/>
          <w:u w:val="none" w:color="auto"/>
          <w:lang w:val="en-US" w:eastAsia="zh-CN"/>
        </w:rPr>
        <w:t>⑦包装干燥后的四溴双酚A为块状结晶体，经包装机后袋装后转入仓库代售。四溴双酚A工艺流程及产污环节见下图。</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leftChars="0" w:right="0"/>
        <w:jc w:val="center"/>
        <w:textAlignment w:val="baseline"/>
        <w:rPr>
          <w:rFonts w:hint="eastAsia" w:ascii="宋体" w:hAnsi="宋体" w:eastAsia="宋体" w:cs="宋体"/>
          <w:color w:val="auto"/>
          <w:spacing w:val="0"/>
          <w:sz w:val="28"/>
          <w:szCs w:val="28"/>
          <w:highlight w:val="none"/>
          <w:u w:val="none" w:color="auto"/>
        </w:rPr>
      </w:pPr>
      <w:r>
        <w:rPr>
          <w:rFonts w:hint="eastAsia" w:ascii="宋体" w:hAnsi="宋体" w:eastAsia="宋体" w:cs="宋体"/>
          <w:color w:val="auto"/>
          <w:spacing w:val="0"/>
          <w:sz w:val="28"/>
          <w:szCs w:val="28"/>
          <w:highlight w:val="none"/>
          <w:u w:val="none" w:color="auto"/>
        </w:rPr>
        <w:drawing>
          <wp:inline distT="0" distB="0" distL="114300" distR="114300">
            <wp:extent cx="5273040" cy="2844800"/>
            <wp:effectExtent l="0" t="0" r="1016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16"/>
                    <a:stretch>
                      <a:fillRect/>
                    </a:stretch>
                  </pic:blipFill>
                  <pic:spPr>
                    <a:xfrm>
                      <a:off x="0" y="0"/>
                      <a:ext cx="5273040" cy="2844800"/>
                    </a:xfrm>
                    <a:prstGeom prst="rect">
                      <a:avLst/>
                    </a:prstGeom>
                    <a:noFill/>
                    <a:ln>
                      <a:noFill/>
                    </a:ln>
                  </pic:spPr>
                </pic:pic>
              </a:graphicData>
            </a:graphic>
          </wp:inline>
        </w:drawing>
      </w:r>
    </w:p>
    <w:p>
      <w:pPr>
        <w:pStyle w:val="10"/>
        <w:pageBreakBefore w:val="0"/>
        <w:kinsoku/>
        <w:wordWrap/>
        <w:bidi w:val="0"/>
        <w:spacing w:line="360" w:lineRule="auto"/>
        <w:ind w:left="0" w:leftChars="0" w:right="0"/>
        <w:jc w:val="center"/>
        <w:rPr>
          <w:rFonts w:hint="eastAsia" w:ascii="宋体" w:hAnsi="宋体" w:eastAsia="宋体" w:cs="宋体"/>
          <w:b/>
          <w:caps w:val="0"/>
          <w:smallCaps w:val="0"/>
          <w:color w:val="auto"/>
          <w:spacing w:val="0"/>
          <w:sz w:val="28"/>
          <w:szCs w:val="28"/>
          <w:highlight w:val="none"/>
          <w:u w:val="none" w:color="auto"/>
        </w:rPr>
      </w:pPr>
      <w:r>
        <w:rPr>
          <w:rFonts w:hint="eastAsia" w:ascii="宋体" w:hAnsi="宋体" w:eastAsia="宋体" w:cs="宋体"/>
          <w:b/>
          <w:caps w:val="0"/>
          <w:smallCaps w:val="0"/>
          <w:color w:val="auto"/>
          <w:spacing w:val="0"/>
          <w:sz w:val="28"/>
          <w:szCs w:val="28"/>
          <w:highlight w:val="none"/>
          <w:u w:val="none" w:color="auto"/>
          <w:lang w:val="en-US" w:eastAsia="zh-CN"/>
        </w:rPr>
        <w:t>四溴双酚A生产</w:t>
      </w:r>
      <w:r>
        <w:rPr>
          <w:rFonts w:hint="eastAsia" w:ascii="宋体" w:hAnsi="宋体" w:eastAsia="宋体" w:cs="宋体"/>
          <w:b/>
          <w:caps w:val="0"/>
          <w:smallCaps w:val="0"/>
          <w:color w:val="auto"/>
          <w:spacing w:val="0"/>
          <w:sz w:val="28"/>
          <w:szCs w:val="28"/>
          <w:highlight w:val="none"/>
          <w:u w:val="none" w:color="auto"/>
        </w:rPr>
        <w:t>工艺流程和产污环节图</w:t>
      </w:r>
    </w:p>
    <w:p>
      <w:pPr>
        <w:pStyle w:val="9"/>
        <w:pageBreakBefore w:val="0"/>
        <w:numPr>
          <w:ilvl w:val="2"/>
          <w:numId w:val="0"/>
        </w:numPr>
        <w:kinsoku/>
        <w:wordWrap/>
        <w:bidi w:val="0"/>
        <w:spacing w:before="0" w:after="0" w:line="360" w:lineRule="auto"/>
        <w:ind w:right="0" w:rightChars="0"/>
        <w:rPr>
          <w:rFonts w:hint="eastAsia" w:ascii="宋体" w:hAnsi="宋体" w:eastAsia="宋体" w:cs="宋体"/>
          <w:caps w:val="0"/>
          <w:smallCaps w:val="0"/>
          <w:color w:val="auto"/>
          <w:spacing w:val="0"/>
          <w:sz w:val="28"/>
          <w:szCs w:val="28"/>
          <w:highlight w:val="none"/>
          <w:u w:val="none" w:color="auto"/>
          <w:lang w:val="en-US" w:eastAsia="zh-CN"/>
        </w:rPr>
      </w:pPr>
      <w:r>
        <w:rPr>
          <w:rFonts w:hint="eastAsia" w:ascii="宋体" w:hAnsi="宋体" w:eastAsia="宋体" w:cs="宋体"/>
          <w:caps w:val="0"/>
          <w:smallCaps w:val="0"/>
          <w:color w:val="auto"/>
          <w:spacing w:val="0"/>
          <w:sz w:val="28"/>
          <w:szCs w:val="28"/>
          <w:highlight w:val="none"/>
          <w:u w:val="none" w:color="auto"/>
          <w:lang w:val="en-US" w:eastAsia="zh-CN"/>
        </w:rPr>
        <w:t>4.2.10 4-甲基二苯胺生产工艺流程及产污环节</w:t>
      </w:r>
    </w:p>
    <w:p>
      <w:pPr>
        <w:pageBreakBefore w:val="0"/>
        <w:kinsoku/>
        <w:wordWrap/>
        <w:bidi w:val="0"/>
        <w:spacing w:line="360" w:lineRule="auto"/>
        <w:ind w:left="0" w:leftChars="0" w:right="0" w:firstLine="560" w:firstLineChars="200"/>
        <w:rPr>
          <w:rFonts w:hint="eastAsia" w:ascii="宋体" w:hAnsi="宋体" w:eastAsia="宋体" w:cs="宋体"/>
          <w:caps w:val="0"/>
          <w:smallCaps w:val="0"/>
          <w:color w:val="auto"/>
          <w:spacing w:val="0"/>
          <w:sz w:val="28"/>
          <w:szCs w:val="28"/>
          <w:highlight w:val="none"/>
          <w:u w:val="none" w:color="auto"/>
          <w:lang w:val="en-US" w:eastAsia="zh-CN"/>
        </w:rPr>
      </w:pPr>
      <w:r>
        <w:rPr>
          <w:rFonts w:hint="eastAsia" w:ascii="宋体" w:hAnsi="宋体" w:eastAsia="宋体" w:cs="宋体"/>
          <w:caps w:val="0"/>
          <w:smallCaps w:val="0"/>
          <w:color w:val="auto"/>
          <w:spacing w:val="0"/>
          <w:sz w:val="28"/>
          <w:szCs w:val="28"/>
          <w:highlight w:val="none"/>
          <w:u w:val="none" w:color="auto"/>
          <w:lang w:val="en-US" w:eastAsia="zh-CN"/>
        </w:rPr>
        <w:t>①合成反应</w:t>
      </w:r>
    </w:p>
    <w:p>
      <w:pPr>
        <w:pageBreakBefore w:val="0"/>
        <w:kinsoku/>
        <w:wordWrap/>
        <w:bidi w:val="0"/>
        <w:spacing w:line="360" w:lineRule="auto"/>
        <w:ind w:left="0" w:leftChars="0" w:right="0" w:firstLine="560" w:firstLineChars="200"/>
        <w:rPr>
          <w:rFonts w:hint="eastAsia" w:ascii="宋体" w:hAnsi="宋体" w:eastAsia="宋体" w:cs="宋体"/>
          <w:caps w:val="0"/>
          <w:smallCaps w:val="0"/>
          <w:color w:val="auto"/>
          <w:spacing w:val="0"/>
          <w:sz w:val="28"/>
          <w:szCs w:val="28"/>
          <w:highlight w:val="none"/>
          <w:u w:val="none" w:color="auto"/>
          <w:lang w:val="en-US" w:eastAsia="zh-CN"/>
        </w:rPr>
      </w:pPr>
      <w:r>
        <w:rPr>
          <w:rFonts w:hint="eastAsia" w:ascii="宋体" w:hAnsi="宋体" w:eastAsia="宋体" w:cs="宋体"/>
          <w:caps w:val="0"/>
          <w:smallCaps w:val="0"/>
          <w:color w:val="auto"/>
          <w:spacing w:val="0"/>
          <w:sz w:val="28"/>
          <w:szCs w:val="28"/>
          <w:highlight w:val="none"/>
          <w:u w:val="none" w:color="auto"/>
          <w:lang w:val="en-US" w:eastAsia="zh-CN"/>
        </w:rPr>
        <w:t>此工序反应设备为3台500升不锈钢反应釜，合成反应温度为150℃，反应时间为16小时，反应压力为常压。</w:t>
      </w:r>
    </w:p>
    <w:p>
      <w:pPr>
        <w:pageBreakBefore w:val="0"/>
        <w:kinsoku/>
        <w:wordWrap/>
        <w:bidi w:val="0"/>
        <w:spacing w:line="360" w:lineRule="auto"/>
        <w:ind w:left="0" w:leftChars="0" w:right="0" w:firstLine="560" w:firstLineChars="200"/>
        <w:rPr>
          <w:rFonts w:hint="eastAsia" w:ascii="宋体" w:hAnsi="宋体" w:eastAsia="宋体" w:cs="宋体"/>
          <w:caps w:val="0"/>
          <w:smallCaps w:val="0"/>
          <w:color w:val="auto"/>
          <w:spacing w:val="0"/>
          <w:sz w:val="28"/>
          <w:szCs w:val="28"/>
          <w:highlight w:val="none"/>
          <w:u w:val="none" w:color="auto"/>
          <w:lang w:val="en-US" w:eastAsia="zh-CN"/>
        </w:rPr>
      </w:pPr>
      <w:r>
        <w:rPr>
          <w:rFonts w:hint="eastAsia" w:ascii="宋体" w:hAnsi="宋体" w:eastAsia="宋体" w:cs="宋体"/>
          <w:caps w:val="0"/>
          <w:smallCaps w:val="0"/>
          <w:color w:val="auto"/>
          <w:spacing w:val="0"/>
          <w:sz w:val="28"/>
          <w:szCs w:val="28"/>
          <w:highlight w:val="none"/>
          <w:u w:val="none" w:color="auto"/>
          <w:lang w:val="en-US" w:eastAsia="zh-CN"/>
        </w:rPr>
        <w:t>合成反应工序的物料包括对甲苯胺、氯化钾(催化剂)、氨基钠、苯磺酸钠，每台500L反应釜单批次投料量为对甲苯胺300kg、氯化钾100kg、氨基钠50kg、苯磺酸钠100kg。</w:t>
      </w:r>
    </w:p>
    <w:p>
      <w:pPr>
        <w:pageBreakBefore w:val="0"/>
        <w:kinsoku/>
        <w:wordWrap/>
        <w:bidi w:val="0"/>
        <w:spacing w:line="360" w:lineRule="auto"/>
        <w:ind w:left="0" w:leftChars="0" w:right="0" w:firstLine="560" w:firstLineChars="200"/>
        <w:rPr>
          <w:rFonts w:hint="eastAsia" w:ascii="宋体" w:hAnsi="宋体" w:eastAsia="宋体" w:cs="宋体"/>
          <w:caps w:val="0"/>
          <w:smallCaps w:val="0"/>
          <w:color w:val="auto"/>
          <w:spacing w:val="0"/>
          <w:sz w:val="28"/>
          <w:szCs w:val="28"/>
          <w:highlight w:val="none"/>
          <w:u w:val="none" w:color="auto"/>
          <w:lang w:val="en-US" w:eastAsia="zh-CN"/>
        </w:rPr>
      </w:pPr>
      <w:r>
        <w:rPr>
          <w:rFonts w:hint="eastAsia" w:ascii="宋体" w:hAnsi="宋体" w:eastAsia="宋体" w:cs="宋体"/>
          <w:caps w:val="0"/>
          <w:smallCaps w:val="0"/>
          <w:color w:val="auto"/>
          <w:spacing w:val="0"/>
          <w:sz w:val="28"/>
          <w:szCs w:val="28"/>
          <w:highlight w:val="none"/>
          <w:u w:val="none" w:color="auto"/>
          <w:lang w:val="en-US" w:eastAsia="zh-CN"/>
        </w:rPr>
        <w:t>反应过程：首先向500L反应釜中加入对甲苯胺300kg，氯化钾100kg和氨基钠50kg，开启导热油炉将反应釜加热升温，当反应釜内温度升至50℃时原料对甲苯胺完全熔化，开启反应釜搅拌，继续于50-60℃反应4小时，该反应过程</w:t>
      </w:r>
    </w:p>
    <w:p>
      <w:pPr>
        <w:pageBreakBefore w:val="0"/>
        <w:kinsoku/>
        <w:wordWrap/>
        <w:bidi w:val="0"/>
        <w:spacing w:line="360" w:lineRule="auto"/>
        <w:ind w:left="0" w:leftChars="0" w:right="0" w:firstLine="560" w:firstLineChars="200"/>
        <w:rPr>
          <w:rFonts w:hint="eastAsia" w:ascii="宋体" w:hAnsi="宋体" w:eastAsia="宋体" w:cs="宋体"/>
          <w:caps w:val="0"/>
          <w:smallCaps w:val="0"/>
          <w:color w:val="auto"/>
          <w:spacing w:val="0"/>
          <w:sz w:val="28"/>
          <w:szCs w:val="28"/>
          <w:highlight w:val="none"/>
          <w:u w:val="none" w:color="auto"/>
          <w:lang w:val="en-US" w:eastAsia="zh-CN"/>
        </w:rPr>
      </w:pPr>
      <w:r>
        <w:rPr>
          <w:rFonts w:hint="eastAsia" w:ascii="宋体" w:hAnsi="宋体" w:eastAsia="宋体" w:cs="宋体"/>
          <w:caps w:val="0"/>
          <w:smallCaps w:val="0"/>
          <w:color w:val="auto"/>
          <w:spacing w:val="0"/>
          <w:sz w:val="28"/>
          <w:szCs w:val="28"/>
          <w:highlight w:val="none"/>
          <w:u w:val="none" w:color="auto"/>
          <w:lang w:val="en-US" w:eastAsia="zh-CN"/>
        </w:rPr>
        <w:t>放出氨气；然后将反应温度升至150℃，并加入100公斤苯磺酸钠，继续在150℃下搅拌反应7小时，结束反应；当反应液温度降至70℃时开启反应釜底阀，将物料放入蒸馏釜中。合成反应过程中产生的氨气全部进入二级喷淋塔，喷淋液为稀硫酸。此过程将会产生喷淋废水W2-1，其主要污染物为硫酸铵，全部由管道收集至废水储罐，之后再经管道输送至现有工程的MVR蒸发器进行处理。</w:t>
      </w:r>
    </w:p>
    <w:p>
      <w:pPr>
        <w:pageBreakBefore w:val="0"/>
        <w:kinsoku/>
        <w:wordWrap/>
        <w:bidi w:val="0"/>
        <w:spacing w:line="360" w:lineRule="auto"/>
        <w:ind w:left="0" w:leftChars="0" w:right="0" w:firstLine="560" w:firstLineChars="200"/>
        <w:rPr>
          <w:rFonts w:hint="eastAsia" w:ascii="宋体" w:hAnsi="宋体" w:eastAsia="宋体" w:cs="宋体"/>
          <w:caps w:val="0"/>
          <w:smallCaps w:val="0"/>
          <w:color w:val="auto"/>
          <w:spacing w:val="0"/>
          <w:sz w:val="28"/>
          <w:szCs w:val="28"/>
          <w:highlight w:val="none"/>
          <w:u w:val="none" w:color="auto"/>
          <w:lang w:val="en-US" w:eastAsia="zh-CN"/>
        </w:rPr>
      </w:pPr>
      <w:r>
        <w:rPr>
          <w:rFonts w:hint="eastAsia" w:ascii="宋体" w:hAnsi="宋体" w:eastAsia="宋体" w:cs="宋体"/>
          <w:caps w:val="0"/>
          <w:smallCaps w:val="0"/>
          <w:color w:val="auto"/>
          <w:spacing w:val="0"/>
          <w:sz w:val="28"/>
          <w:szCs w:val="28"/>
          <w:highlight w:val="none"/>
          <w:u w:val="none" w:color="auto"/>
          <w:lang w:val="en-US" w:eastAsia="zh-CN"/>
        </w:rPr>
        <w:t>②水洗</w:t>
      </w:r>
    </w:p>
    <w:p>
      <w:pPr>
        <w:pageBreakBefore w:val="0"/>
        <w:kinsoku/>
        <w:wordWrap/>
        <w:bidi w:val="0"/>
        <w:spacing w:line="360" w:lineRule="auto"/>
        <w:ind w:left="0" w:leftChars="0" w:right="0" w:firstLine="560" w:firstLineChars="200"/>
        <w:rPr>
          <w:rFonts w:hint="eastAsia" w:ascii="宋体" w:hAnsi="宋体" w:eastAsia="宋体" w:cs="宋体"/>
          <w:caps w:val="0"/>
          <w:smallCaps w:val="0"/>
          <w:color w:val="auto"/>
          <w:spacing w:val="0"/>
          <w:sz w:val="28"/>
          <w:szCs w:val="28"/>
          <w:highlight w:val="none"/>
          <w:u w:val="none" w:color="auto"/>
          <w:lang w:val="en-US" w:eastAsia="zh-CN"/>
        </w:rPr>
      </w:pPr>
      <w:r>
        <w:rPr>
          <w:rFonts w:hint="eastAsia" w:ascii="宋体" w:hAnsi="宋体" w:eastAsia="宋体" w:cs="宋体"/>
          <w:caps w:val="0"/>
          <w:smallCaps w:val="0"/>
          <w:color w:val="auto"/>
          <w:spacing w:val="0"/>
          <w:sz w:val="28"/>
          <w:szCs w:val="28"/>
          <w:highlight w:val="none"/>
          <w:u w:val="none" w:color="auto"/>
          <w:lang w:val="en-US" w:eastAsia="zh-CN"/>
        </w:rPr>
        <w:t>水洗设备为1台2000L不锈钢蒸馏釜，水洗温度为50℃，水洗时间为0.5小时，水洗压力为常压。水洗过程：先向2000L蒸馏釜中加入自来水1吨，当反应液温度降至70℃时将反应物料放入蒸馏釜中，开启蒸馏釜搅拌，搅拌水洗0.5小时，然后停止搅拌，静置分层0.5小时，开启蒸馏釜底阀，将下层的水相排入废水罐，上层的有机相进行蒸馏处理。水洗过程中，甲苯胺钠盐遇水将会分解成对甲基苯胺和氢氧化钠。</w:t>
      </w:r>
    </w:p>
    <w:p>
      <w:pPr>
        <w:pageBreakBefore w:val="0"/>
        <w:kinsoku/>
        <w:wordWrap/>
        <w:bidi w:val="0"/>
        <w:spacing w:line="360" w:lineRule="auto"/>
        <w:ind w:left="0" w:leftChars="0" w:right="0" w:firstLine="560" w:firstLineChars="200"/>
        <w:jc w:val="center"/>
        <w:rPr>
          <w:rFonts w:hint="eastAsia" w:ascii="宋体" w:hAnsi="宋体" w:eastAsia="宋体" w:cs="宋体"/>
          <w:caps w:val="0"/>
          <w:smallCaps w:val="0"/>
          <w:color w:val="auto"/>
          <w:spacing w:val="0"/>
          <w:sz w:val="28"/>
          <w:szCs w:val="28"/>
          <w:highlight w:val="none"/>
          <w:u w:val="none" w:color="auto"/>
          <w:lang w:val="en-US" w:eastAsia="zh-CN"/>
        </w:rPr>
      </w:pPr>
      <w:r>
        <w:rPr>
          <w:rFonts w:hint="eastAsia" w:ascii="宋体" w:hAnsi="宋体" w:eastAsia="宋体" w:cs="宋体"/>
          <w:caps w:val="0"/>
          <w:smallCaps w:val="0"/>
          <w:color w:val="auto"/>
          <w:spacing w:val="0"/>
          <w:sz w:val="28"/>
          <w:szCs w:val="28"/>
          <w:highlight w:val="none"/>
          <w:u w:val="none" w:color="auto"/>
          <w:lang w:val="en-US" w:eastAsia="zh-CN"/>
        </w:rPr>
        <w:t>CH3</w:t>
      </w:r>
      <w:r>
        <w:rPr>
          <w:rFonts w:hint="eastAsia" w:ascii="宋体" w:hAnsi="宋体" w:eastAsia="宋体" w:cs="宋体"/>
          <w:caps w:val="0"/>
          <w:smallCaps w:val="0"/>
          <w:color w:val="auto"/>
          <w:spacing w:val="0"/>
          <w:sz w:val="28"/>
          <w:szCs w:val="28"/>
          <w:highlight w:val="none"/>
          <w:u w:val="none" w:color="auto"/>
          <w:lang w:val="en-US" w:eastAsia="zh-CN"/>
        </w:rPr>
        <w:drawing>
          <wp:inline distT="0" distB="0" distL="0" distR="0">
            <wp:extent cx="393700" cy="325755"/>
            <wp:effectExtent l="0" t="0" r="0" b="4445"/>
            <wp:docPr id="156" name="IM 156"/>
            <wp:cNvGraphicFramePr/>
            <a:graphic xmlns:a="http://schemas.openxmlformats.org/drawingml/2006/main">
              <a:graphicData uri="http://schemas.openxmlformats.org/drawingml/2006/picture">
                <pic:pic xmlns:pic="http://schemas.openxmlformats.org/drawingml/2006/picture">
                  <pic:nvPicPr>
                    <pic:cNvPr id="156" name="IM 156"/>
                    <pic:cNvPicPr/>
                  </pic:nvPicPr>
                  <pic:blipFill>
                    <a:blip r:embed="rId17"/>
                    <a:stretch>
                      <a:fillRect/>
                    </a:stretch>
                  </pic:blipFill>
                  <pic:spPr>
                    <a:xfrm>
                      <a:off x="0" y="0"/>
                      <a:ext cx="393700" cy="326389"/>
                    </a:xfrm>
                    <a:prstGeom prst="rect">
                      <a:avLst/>
                    </a:prstGeom>
                  </pic:spPr>
                </pic:pic>
              </a:graphicData>
            </a:graphic>
          </wp:inline>
        </w:drawing>
      </w:r>
      <w:r>
        <w:rPr>
          <w:rFonts w:hint="eastAsia" w:ascii="宋体" w:hAnsi="宋体" w:eastAsia="宋体" w:cs="宋体"/>
          <w:caps w:val="0"/>
          <w:smallCaps w:val="0"/>
          <w:color w:val="auto"/>
          <w:spacing w:val="0"/>
          <w:sz w:val="28"/>
          <w:szCs w:val="28"/>
          <w:highlight w:val="none"/>
          <w:u w:val="none" w:color="auto"/>
          <w:lang w:val="en-US" w:eastAsia="zh-CN"/>
        </w:rPr>
        <w:t>NHNa+H2O</w:t>
      </w:r>
      <w:r>
        <w:rPr>
          <w:rFonts w:hint="eastAsia" w:ascii="宋体" w:hAnsi="宋体" w:eastAsia="宋体" w:cs="宋体"/>
          <w:caps w:val="0"/>
          <w:smallCaps w:val="0"/>
          <w:color w:val="auto"/>
          <w:spacing w:val="0"/>
          <w:sz w:val="28"/>
          <w:szCs w:val="28"/>
          <w:highlight w:val="none"/>
          <w:u w:val="none" w:color="auto"/>
          <w:lang w:val="en-US" w:eastAsia="zh-CN"/>
        </w:rPr>
        <w:drawing>
          <wp:inline distT="0" distB="0" distL="0" distR="0">
            <wp:extent cx="381000" cy="76200"/>
            <wp:effectExtent l="0" t="0" r="0" b="0"/>
            <wp:docPr id="157" name="IM 157"/>
            <wp:cNvGraphicFramePr/>
            <a:graphic xmlns:a="http://schemas.openxmlformats.org/drawingml/2006/main">
              <a:graphicData uri="http://schemas.openxmlformats.org/drawingml/2006/picture">
                <pic:pic xmlns:pic="http://schemas.openxmlformats.org/drawingml/2006/picture">
                  <pic:nvPicPr>
                    <pic:cNvPr id="157" name="IM 157"/>
                    <pic:cNvPicPr/>
                  </pic:nvPicPr>
                  <pic:blipFill>
                    <a:blip r:embed="rId18"/>
                    <a:stretch>
                      <a:fillRect/>
                    </a:stretch>
                  </pic:blipFill>
                  <pic:spPr>
                    <a:xfrm>
                      <a:off x="0" y="0"/>
                      <a:ext cx="381000" cy="76200"/>
                    </a:xfrm>
                    <a:prstGeom prst="rect">
                      <a:avLst/>
                    </a:prstGeom>
                  </pic:spPr>
                </pic:pic>
              </a:graphicData>
            </a:graphic>
          </wp:inline>
        </w:drawing>
      </w:r>
      <w:r>
        <w:rPr>
          <w:rFonts w:hint="eastAsia" w:ascii="宋体" w:hAnsi="宋体" w:eastAsia="宋体" w:cs="宋体"/>
          <w:caps w:val="0"/>
          <w:smallCaps w:val="0"/>
          <w:color w:val="auto"/>
          <w:spacing w:val="0"/>
          <w:sz w:val="28"/>
          <w:szCs w:val="28"/>
          <w:highlight w:val="none"/>
          <w:u w:val="none" w:color="auto"/>
          <w:lang w:val="en-US" w:eastAsia="zh-CN"/>
        </w:rPr>
        <w:t>CH3</w:t>
      </w:r>
      <w:r>
        <w:rPr>
          <w:rFonts w:hint="eastAsia" w:ascii="宋体" w:hAnsi="宋体" w:eastAsia="宋体" w:cs="宋体"/>
          <w:caps w:val="0"/>
          <w:smallCaps w:val="0"/>
          <w:color w:val="auto"/>
          <w:spacing w:val="0"/>
          <w:sz w:val="28"/>
          <w:szCs w:val="28"/>
          <w:highlight w:val="none"/>
          <w:u w:val="none" w:color="auto"/>
          <w:lang w:val="en-US" w:eastAsia="zh-CN"/>
        </w:rPr>
        <w:drawing>
          <wp:inline distT="0" distB="0" distL="0" distR="0">
            <wp:extent cx="393700" cy="326390"/>
            <wp:effectExtent l="0" t="0" r="0" b="3810"/>
            <wp:docPr id="158" name="IM 158"/>
            <wp:cNvGraphicFramePr/>
            <a:graphic xmlns:a="http://schemas.openxmlformats.org/drawingml/2006/main">
              <a:graphicData uri="http://schemas.openxmlformats.org/drawingml/2006/picture">
                <pic:pic xmlns:pic="http://schemas.openxmlformats.org/drawingml/2006/picture">
                  <pic:nvPicPr>
                    <pic:cNvPr id="158" name="IM 158"/>
                    <pic:cNvPicPr/>
                  </pic:nvPicPr>
                  <pic:blipFill>
                    <a:blip r:embed="rId19"/>
                    <a:stretch>
                      <a:fillRect/>
                    </a:stretch>
                  </pic:blipFill>
                  <pic:spPr>
                    <a:xfrm>
                      <a:off x="0" y="0"/>
                      <a:ext cx="393700" cy="327024"/>
                    </a:xfrm>
                    <a:prstGeom prst="rect">
                      <a:avLst/>
                    </a:prstGeom>
                  </pic:spPr>
                </pic:pic>
              </a:graphicData>
            </a:graphic>
          </wp:inline>
        </w:drawing>
      </w:r>
      <w:r>
        <w:rPr>
          <w:rFonts w:hint="eastAsia" w:ascii="宋体" w:hAnsi="宋体" w:eastAsia="宋体" w:cs="宋体"/>
          <w:caps w:val="0"/>
          <w:smallCaps w:val="0"/>
          <w:color w:val="auto"/>
          <w:spacing w:val="0"/>
          <w:sz w:val="28"/>
          <w:szCs w:val="28"/>
          <w:highlight w:val="none"/>
          <w:u w:val="none" w:color="auto"/>
          <w:lang w:val="en-US" w:eastAsia="zh-CN"/>
        </w:rPr>
        <w:t>NH2+NaOH</w:t>
      </w:r>
    </w:p>
    <w:p>
      <w:pPr>
        <w:pageBreakBefore w:val="0"/>
        <w:kinsoku/>
        <w:wordWrap/>
        <w:bidi w:val="0"/>
        <w:spacing w:line="360" w:lineRule="auto"/>
        <w:ind w:left="0" w:leftChars="0" w:right="0" w:firstLine="560" w:firstLineChars="200"/>
        <w:rPr>
          <w:rFonts w:hint="eastAsia" w:ascii="宋体" w:hAnsi="宋体" w:eastAsia="宋体" w:cs="宋体"/>
          <w:caps w:val="0"/>
          <w:smallCaps w:val="0"/>
          <w:color w:val="auto"/>
          <w:spacing w:val="0"/>
          <w:sz w:val="28"/>
          <w:szCs w:val="28"/>
          <w:highlight w:val="none"/>
          <w:u w:val="none" w:color="auto"/>
          <w:lang w:val="en-US" w:eastAsia="zh-CN"/>
        </w:rPr>
      </w:pPr>
      <w:r>
        <w:rPr>
          <w:rFonts w:hint="eastAsia" w:ascii="宋体" w:hAnsi="宋体" w:eastAsia="宋体" w:cs="宋体"/>
          <w:caps w:val="0"/>
          <w:smallCaps w:val="0"/>
          <w:color w:val="auto"/>
          <w:spacing w:val="0"/>
          <w:sz w:val="28"/>
          <w:szCs w:val="28"/>
          <w:highlight w:val="none"/>
          <w:u w:val="none" w:color="auto"/>
          <w:lang w:val="en-US" w:eastAsia="zh-CN"/>
        </w:rPr>
        <w:t>该工段产生的废水为W2-2，主要污染物为亚硫酸钠、氯化钾、氢氧化钠，全部由管道收集至废水储罐，之后再经管道输送至现有工程的MVR蒸发器进行处理。</w:t>
      </w:r>
    </w:p>
    <w:p>
      <w:pPr>
        <w:pageBreakBefore w:val="0"/>
        <w:kinsoku/>
        <w:wordWrap/>
        <w:bidi w:val="0"/>
        <w:spacing w:line="360" w:lineRule="auto"/>
        <w:ind w:left="0" w:leftChars="0" w:right="0" w:firstLine="560" w:firstLineChars="200"/>
        <w:rPr>
          <w:rFonts w:hint="eastAsia" w:ascii="宋体" w:hAnsi="宋体" w:eastAsia="宋体" w:cs="宋体"/>
          <w:caps w:val="0"/>
          <w:smallCaps w:val="0"/>
          <w:color w:val="auto"/>
          <w:spacing w:val="0"/>
          <w:sz w:val="28"/>
          <w:szCs w:val="28"/>
          <w:highlight w:val="none"/>
          <w:u w:val="none" w:color="auto"/>
          <w:lang w:val="en-US" w:eastAsia="zh-CN"/>
        </w:rPr>
      </w:pPr>
      <w:r>
        <w:rPr>
          <w:rFonts w:hint="eastAsia" w:ascii="宋体" w:hAnsi="宋体" w:eastAsia="宋体" w:cs="宋体"/>
          <w:caps w:val="0"/>
          <w:smallCaps w:val="0"/>
          <w:color w:val="auto"/>
          <w:spacing w:val="0"/>
          <w:sz w:val="28"/>
          <w:szCs w:val="28"/>
          <w:highlight w:val="none"/>
          <w:u w:val="none" w:color="auto"/>
          <w:lang w:val="en-US" w:eastAsia="zh-CN"/>
        </w:rPr>
        <w:t>③蒸馏工段</w:t>
      </w:r>
    </w:p>
    <w:p>
      <w:pPr>
        <w:pageBreakBefore w:val="0"/>
        <w:kinsoku/>
        <w:wordWrap/>
        <w:bidi w:val="0"/>
        <w:spacing w:line="360" w:lineRule="auto"/>
        <w:ind w:left="0" w:leftChars="0" w:right="0" w:firstLine="560" w:firstLineChars="200"/>
        <w:rPr>
          <w:rFonts w:hint="eastAsia" w:ascii="宋体" w:hAnsi="宋体" w:eastAsia="宋体" w:cs="宋体"/>
          <w:caps w:val="0"/>
          <w:smallCaps w:val="0"/>
          <w:color w:val="auto"/>
          <w:spacing w:val="0"/>
          <w:sz w:val="28"/>
          <w:szCs w:val="28"/>
          <w:highlight w:val="none"/>
          <w:u w:val="none" w:color="auto"/>
          <w:lang w:val="en-US" w:eastAsia="zh-CN"/>
        </w:rPr>
      </w:pPr>
      <w:r>
        <w:rPr>
          <w:rFonts w:hint="eastAsia" w:ascii="宋体" w:hAnsi="宋体" w:eastAsia="宋体" w:cs="宋体"/>
          <w:caps w:val="0"/>
          <w:smallCaps w:val="0"/>
          <w:color w:val="auto"/>
          <w:spacing w:val="0"/>
          <w:sz w:val="28"/>
          <w:szCs w:val="28"/>
          <w:highlight w:val="none"/>
          <w:u w:val="none" w:color="auto"/>
          <w:lang w:val="en-US" w:eastAsia="zh-CN"/>
        </w:rPr>
        <w:t>蒸馏设备为1台2000L不锈钢蒸馏釜，1台300L物料接收罐，1台100L物料接收罐，1台水喷射真空泵。蒸馏温度90℃，蒸馏时间6小时，蒸馏压力为-0.098MPa。</w:t>
      </w:r>
    </w:p>
    <w:p>
      <w:pPr>
        <w:pageBreakBefore w:val="0"/>
        <w:kinsoku/>
        <w:wordWrap/>
        <w:bidi w:val="0"/>
        <w:spacing w:line="360" w:lineRule="auto"/>
        <w:ind w:left="0" w:leftChars="0" w:right="0" w:firstLine="560" w:firstLineChars="200"/>
        <w:rPr>
          <w:rFonts w:hint="eastAsia" w:ascii="宋体" w:hAnsi="宋体" w:eastAsia="宋体" w:cs="宋体"/>
          <w:caps w:val="0"/>
          <w:smallCaps w:val="0"/>
          <w:color w:val="auto"/>
          <w:spacing w:val="0"/>
          <w:sz w:val="28"/>
          <w:szCs w:val="28"/>
          <w:highlight w:val="none"/>
          <w:u w:val="none" w:color="auto"/>
          <w:lang w:val="en-US" w:eastAsia="zh-CN"/>
        </w:rPr>
      </w:pPr>
      <w:r>
        <w:rPr>
          <w:rFonts w:hint="eastAsia" w:ascii="宋体" w:hAnsi="宋体" w:eastAsia="宋体" w:cs="宋体"/>
          <w:caps w:val="0"/>
          <w:smallCaps w:val="0"/>
          <w:color w:val="auto"/>
          <w:spacing w:val="0"/>
          <w:sz w:val="28"/>
          <w:szCs w:val="28"/>
          <w:highlight w:val="none"/>
          <w:u w:val="none" w:color="auto"/>
          <w:lang w:val="en-US" w:eastAsia="zh-CN"/>
        </w:rPr>
        <w:t>蒸馏过程：经水洗后的有机相进行减压蒸馏，回收过量的原料对甲苯胺，开启蒸馏釜搅拌和水循环真空泵，检查蒸馏釜及接收罐的密封系统，使系统压力达到-0.098Ma，当蒸馏釜内温度升至100℃时蒸馏出原料对甲苯胺，并接收到300升接收罐中，每批次可回收对甲苯胺690kg，经蒸馏除去对甲苯胺后的物料为粗产品4-甲基二苯胺，并将物料放入500L产品蒸馏釜中。</w:t>
      </w:r>
    </w:p>
    <w:p>
      <w:pPr>
        <w:pageBreakBefore w:val="0"/>
        <w:kinsoku/>
        <w:wordWrap/>
        <w:bidi w:val="0"/>
        <w:spacing w:line="360" w:lineRule="auto"/>
        <w:ind w:left="0" w:leftChars="0" w:right="0" w:firstLine="560" w:firstLineChars="200"/>
        <w:rPr>
          <w:rFonts w:hint="eastAsia" w:ascii="宋体" w:hAnsi="宋体" w:eastAsia="宋体" w:cs="宋体"/>
          <w:caps w:val="0"/>
          <w:smallCaps w:val="0"/>
          <w:color w:val="auto"/>
          <w:spacing w:val="0"/>
          <w:sz w:val="28"/>
          <w:szCs w:val="28"/>
          <w:highlight w:val="none"/>
          <w:u w:val="none" w:color="auto"/>
          <w:lang w:val="en-US" w:eastAsia="zh-CN"/>
        </w:rPr>
      </w:pPr>
      <w:r>
        <w:rPr>
          <w:rFonts w:hint="eastAsia" w:ascii="宋体" w:hAnsi="宋体" w:eastAsia="宋体" w:cs="宋体"/>
          <w:caps w:val="0"/>
          <w:smallCaps w:val="0"/>
          <w:color w:val="auto"/>
          <w:spacing w:val="0"/>
          <w:sz w:val="28"/>
          <w:szCs w:val="28"/>
          <w:highlight w:val="none"/>
          <w:u w:val="none" w:color="auto"/>
          <w:lang w:val="en-US" w:eastAsia="zh-CN"/>
        </w:rPr>
        <w:t>④精馏蒸馏工段</w:t>
      </w:r>
    </w:p>
    <w:p>
      <w:pPr>
        <w:pageBreakBefore w:val="0"/>
        <w:kinsoku/>
        <w:wordWrap/>
        <w:bidi w:val="0"/>
        <w:spacing w:line="360" w:lineRule="auto"/>
        <w:ind w:left="0" w:leftChars="0" w:right="0" w:firstLine="560" w:firstLineChars="200"/>
        <w:rPr>
          <w:rFonts w:hint="eastAsia" w:ascii="宋体" w:hAnsi="宋体" w:eastAsia="宋体" w:cs="宋体"/>
          <w:caps w:val="0"/>
          <w:smallCaps w:val="0"/>
          <w:color w:val="auto"/>
          <w:spacing w:val="0"/>
          <w:sz w:val="28"/>
          <w:szCs w:val="28"/>
          <w:highlight w:val="none"/>
          <w:u w:val="none" w:color="auto"/>
          <w:lang w:val="en-US" w:eastAsia="zh-CN"/>
        </w:rPr>
      </w:pPr>
      <w:r>
        <w:rPr>
          <w:rFonts w:hint="eastAsia" w:ascii="宋体" w:hAnsi="宋体" w:eastAsia="宋体" w:cs="宋体"/>
          <w:caps w:val="0"/>
          <w:smallCaps w:val="0"/>
          <w:color w:val="auto"/>
          <w:spacing w:val="0"/>
          <w:sz w:val="28"/>
          <w:szCs w:val="28"/>
          <w:highlight w:val="none"/>
          <w:u w:val="none" w:color="auto"/>
          <w:lang w:val="en-US" w:eastAsia="zh-CN"/>
        </w:rPr>
        <w:t>蒸馏设备：500升不锈钢蒸馏釜，2台；1台300升物料接收罐，1台100升物料接收罐；2X-30油循环真空泵，1台。蒸馏温度：120℃蒸馏时间：6小时蒸馏压力：-0.098MPa</w:t>
      </w:r>
    </w:p>
    <w:p>
      <w:pPr>
        <w:pageBreakBefore w:val="0"/>
        <w:kinsoku/>
        <w:wordWrap/>
        <w:bidi w:val="0"/>
        <w:spacing w:line="360" w:lineRule="auto"/>
        <w:ind w:left="0" w:leftChars="0" w:right="0" w:firstLine="560" w:firstLineChars="200"/>
        <w:rPr>
          <w:rFonts w:hint="eastAsia" w:ascii="宋体" w:hAnsi="宋体" w:eastAsia="宋体" w:cs="宋体"/>
          <w:caps w:val="0"/>
          <w:smallCaps w:val="0"/>
          <w:color w:val="auto"/>
          <w:spacing w:val="0"/>
          <w:sz w:val="28"/>
          <w:szCs w:val="28"/>
          <w:highlight w:val="none"/>
          <w:u w:val="none" w:color="auto"/>
          <w:lang w:val="en-US" w:eastAsia="zh-CN"/>
        </w:rPr>
      </w:pPr>
      <w:r>
        <w:rPr>
          <w:rFonts w:hint="eastAsia" w:ascii="宋体" w:hAnsi="宋体" w:eastAsia="宋体" w:cs="宋体"/>
          <w:caps w:val="0"/>
          <w:smallCaps w:val="0"/>
          <w:color w:val="auto"/>
          <w:spacing w:val="0"/>
          <w:sz w:val="28"/>
          <w:szCs w:val="28"/>
          <w:highlight w:val="none"/>
          <w:u w:val="none" w:color="auto"/>
          <w:lang w:val="en-US" w:eastAsia="zh-CN"/>
        </w:rPr>
        <w:t>蒸馏过程：将上述物料放入500L蒸馏釜后，开启油循环真空泵，使压力达到-0.098Ma，将前期蒸馏出的前馏分(主要为含有对甲苯胺的4-甲基二苯胺)接入到100L接收罐中，之后作为合成反应原料回用；当蒸馏釜内温度升至120℃时蒸馏出产品4-甲基二苯胺，并将产品接入300L接收罐中，蒸馏结束后，趁热将接收罐中的产品放出到不锈钢物料接收托盘中冷却凝固，每批次可得到产品4-甲基二苯胺240kg。</w:t>
      </w:r>
    </w:p>
    <w:p>
      <w:pPr>
        <w:pageBreakBefore w:val="0"/>
        <w:kinsoku/>
        <w:wordWrap/>
        <w:bidi w:val="0"/>
        <w:spacing w:line="360" w:lineRule="auto"/>
        <w:ind w:left="0" w:leftChars="0" w:right="0" w:firstLine="560" w:firstLineChars="200"/>
        <w:rPr>
          <w:rFonts w:hint="eastAsia" w:ascii="宋体" w:hAnsi="宋体" w:eastAsia="宋体" w:cs="宋体"/>
          <w:caps w:val="0"/>
          <w:smallCaps w:val="0"/>
          <w:color w:val="auto"/>
          <w:spacing w:val="0"/>
          <w:sz w:val="28"/>
          <w:szCs w:val="28"/>
          <w:highlight w:val="none"/>
          <w:u w:val="none" w:color="auto"/>
          <w:lang w:val="en-US" w:eastAsia="zh-CN"/>
        </w:rPr>
      </w:pPr>
      <w:r>
        <w:rPr>
          <w:rFonts w:hint="eastAsia" w:ascii="宋体" w:hAnsi="宋体" w:eastAsia="宋体" w:cs="宋体"/>
          <w:caps w:val="0"/>
          <w:smallCaps w:val="0"/>
          <w:color w:val="auto"/>
          <w:spacing w:val="0"/>
          <w:sz w:val="28"/>
          <w:szCs w:val="28"/>
          <w:highlight w:val="none"/>
          <w:u w:val="none" w:color="auto"/>
          <w:lang w:val="en-US" w:eastAsia="zh-CN"/>
        </w:rPr>
        <w:t>⑤再精馏工段</w:t>
      </w:r>
    </w:p>
    <w:p>
      <w:pPr>
        <w:pageBreakBefore w:val="0"/>
        <w:kinsoku/>
        <w:wordWrap/>
        <w:bidi w:val="0"/>
        <w:spacing w:line="360" w:lineRule="auto"/>
        <w:ind w:left="0" w:leftChars="0" w:right="0" w:firstLine="560" w:firstLineChars="200"/>
        <w:rPr>
          <w:rFonts w:hint="eastAsia" w:ascii="宋体" w:hAnsi="宋体" w:eastAsia="宋体" w:cs="宋体"/>
          <w:caps w:val="0"/>
          <w:smallCaps w:val="0"/>
          <w:color w:val="auto"/>
          <w:spacing w:val="0"/>
          <w:sz w:val="28"/>
          <w:szCs w:val="28"/>
          <w:highlight w:val="none"/>
          <w:u w:val="none" w:color="auto"/>
          <w:lang w:val="en-US" w:eastAsia="zh-CN"/>
        </w:rPr>
      </w:pPr>
      <w:r>
        <w:rPr>
          <w:rFonts w:hint="eastAsia" w:ascii="宋体" w:hAnsi="宋体" w:eastAsia="宋体" w:cs="宋体"/>
          <w:caps w:val="0"/>
          <w:smallCaps w:val="0"/>
          <w:color w:val="auto"/>
          <w:spacing w:val="0"/>
          <w:sz w:val="28"/>
          <w:szCs w:val="28"/>
          <w:highlight w:val="none"/>
          <w:u w:val="none" w:color="auto"/>
          <w:lang w:val="en-US" w:eastAsia="zh-CN"/>
        </w:rPr>
        <w:t>蒸馏设备：2000升不锈钢蒸馏釜，1台；1台300升物料接收罐，1台100升物料接收罐；2X-30油循环真空泵，1台。蒸馏温度：120℃ 蒸馏时间：10小时 蒸馏压力：-0.098MPa</w:t>
      </w:r>
    </w:p>
    <w:p>
      <w:pPr>
        <w:pageBreakBefore w:val="0"/>
        <w:kinsoku/>
        <w:wordWrap/>
        <w:bidi w:val="0"/>
        <w:spacing w:line="360" w:lineRule="auto"/>
        <w:ind w:left="0" w:leftChars="0" w:right="0" w:firstLine="560" w:firstLineChars="200"/>
        <w:rPr>
          <w:rFonts w:hint="eastAsia" w:ascii="宋体" w:hAnsi="宋体" w:eastAsia="宋体" w:cs="宋体"/>
          <w:caps w:val="0"/>
          <w:smallCaps w:val="0"/>
          <w:color w:val="auto"/>
          <w:spacing w:val="0"/>
          <w:sz w:val="28"/>
          <w:szCs w:val="28"/>
          <w:highlight w:val="none"/>
          <w:u w:val="none" w:color="auto"/>
          <w:lang w:val="en-US" w:eastAsia="zh-CN"/>
        </w:rPr>
      </w:pPr>
      <w:r>
        <w:rPr>
          <w:rFonts w:hint="eastAsia" w:ascii="宋体" w:hAnsi="宋体" w:eastAsia="宋体" w:cs="宋体"/>
          <w:caps w:val="0"/>
          <w:smallCaps w:val="0"/>
          <w:color w:val="auto"/>
          <w:spacing w:val="0"/>
          <w:sz w:val="28"/>
          <w:szCs w:val="28"/>
          <w:highlight w:val="none"/>
          <w:u w:val="none" w:color="auto"/>
          <w:lang w:val="en-US" w:eastAsia="zh-CN"/>
        </w:rPr>
        <w:t>蒸馏过程：将上述4批物料放入2000升蒸馏釜后，开启油循环真空泵，使使系统压力达到-0.098Ma以上，将前期蒸馏出的前馏分(主要为含有对甲苯胺的4-甲基二苯胺)接入到100升接收罐中，中，之后作为合成反应原料回用；当蒸馏釜内温度升至120℃时蒸馏出产品4-甲基二苯胺，并将产品接入300升接收罐中，蒸馏结束后，趁热将接收罐中的产品放出到不锈钢物料接收托盘中冷却凝固，每批次可得到产品4-甲基二苯胺1000公斤。</w:t>
      </w:r>
    </w:p>
    <w:p>
      <w:pPr>
        <w:pageBreakBefore w:val="0"/>
        <w:kinsoku/>
        <w:wordWrap/>
        <w:bidi w:val="0"/>
        <w:spacing w:line="360" w:lineRule="auto"/>
        <w:ind w:left="0" w:leftChars="0" w:right="0" w:firstLine="560" w:firstLineChars="200"/>
        <w:rPr>
          <w:rFonts w:hint="eastAsia" w:ascii="宋体" w:hAnsi="宋体" w:eastAsia="宋体" w:cs="宋体"/>
          <w:caps w:val="0"/>
          <w:smallCaps w:val="0"/>
          <w:color w:val="auto"/>
          <w:spacing w:val="0"/>
          <w:sz w:val="28"/>
          <w:szCs w:val="28"/>
          <w:highlight w:val="none"/>
          <w:u w:val="none" w:color="auto"/>
          <w:lang w:val="en-US" w:eastAsia="zh-CN"/>
        </w:rPr>
      </w:pPr>
      <w:r>
        <w:rPr>
          <w:rFonts w:hint="eastAsia" w:ascii="宋体" w:hAnsi="宋体" w:eastAsia="宋体" w:cs="宋体"/>
          <w:caps w:val="0"/>
          <w:smallCaps w:val="0"/>
          <w:color w:val="auto"/>
          <w:spacing w:val="0"/>
          <w:sz w:val="28"/>
          <w:szCs w:val="28"/>
          <w:highlight w:val="none"/>
          <w:u w:val="none" w:color="auto"/>
          <w:lang w:val="en-US" w:eastAsia="zh-CN"/>
        </w:rPr>
        <w:t>⑥粉碎、包装</w:t>
      </w:r>
    </w:p>
    <w:p>
      <w:pPr>
        <w:pageBreakBefore w:val="0"/>
        <w:kinsoku/>
        <w:wordWrap/>
        <w:bidi w:val="0"/>
        <w:spacing w:line="360" w:lineRule="auto"/>
        <w:ind w:left="0" w:leftChars="0" w:right="0" w:firstLine="560" w:firstLineChars="200"/>
        <w:rPr>
          <w:rFonts w:hint="eastAsia" w:ascii="宋体" w:hAnsi="宋体" w:eastAsia="宋体" w:cs="宋体"/>
          <w:caps w:val="0"/>
          <w:smallCaps w:val="0"/>
          <w:color w:val="auto"/>
          <w:spacing w:val="0"/>
          <w:sz w:val="28"/>
          <w:szCs w:val="28"/>
          <w:highlight w:val="none"/>
          <w:u w:val="none" w:color="auto"/>
          <w:lang w:val="en-US" w:eastAsia="zh-CN"/>
        </w:rPr>
      </w:pPr>
      <w:r>
        <w:rPr>
          <w:rFonts w:hint="eastAsia" w:ascii="宋体" w:hAnsi="宋体" w:eastAsia="宋体" w:cs="宋体"/>
          <w:caps w:val="0"/>
          <w:smallCaps w:val="0"/>
          <w:color w:val="auto"/>
          <w:spacing w:val="0"/>
          <w:sz w:val="28"/>
          <w:szCs w:val="28"/>
          <w:highlight w:val="none"/>
          <w:u w:val="none" w:color="auto"/>
          <w:lang w:val="en-US" w:eastAsia="zh-CN"/>
        </w:rPr>
        <w:t>将块状4-甲基二苯胺粉碎成颗粒状，装袋送入成品库待售。</w:t>
      </w:r>
    </w:p>
    <w:p>
      <w:pPr>
        <w:pStyle w:val="10"/>
        <w:pageBreakBefore w:val="0"/>
        <w:kinsoku/>
        <w:wordWrap/>
        <w:bidi w:val="0"/>
        <w:spacing w:line="360" w:lineRule="auto"/>
        <w:ind w:left="0" w:leftChars="0" w:right="0"/>
        <w:jc w:val="center"/>
        <w:rPr>
          <w:rFonts w:hint="eastAsia" w:ascii="宋体" w:hAnsi="宋体" w:eastAsia="宋体" w:cs="宋体"/>
          <w:color w:val="auto"/>
          <w:spacing w:val="0"/>
          <w:sz w:val="28"/>
          <w:szCs w:val="28"/>
          <w:highlight w:val="none"/>
          <w:u w:val="none" w:color="auto"/>
        </w:rPr>
      </w:pPr>
      <w:r>
        <w:rPr>
          <w:rFonts w:hint="eastAsia" w:ascii="宋体" w:hAnsi="宋体" w:eastAsia="宋体" w:cs="宋体"/>
          <w:color w:val="auto"/>
          <w:spacing w:val="0"/>
          <w:sz w:val="28"/>
          <w:szCs w:val="28"/>
          <w:highlight w:val="none"/>
          <w:u w:val="none" w:color="auto"/>
        </w:rPr>
        <w:drawing>
          <wp:inline distT="0" distB="0" distL="114300" distR="114300">
            <wp:extent cx="4624070" cy="7062470"/>
            <wp:effectExtent l="0" t="0" r="11430" b="1143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20"/>
                    <a:stretch>
                      <a:fillRect/>
                    </a:stretch>
                  </pic:blipFill>
                  <pic:spPr>
                    <a:xfrm>
                      <a:off x="0" y="0"/>
                      <a:ext cx="4624070" cy="7062470"/>
                    </a:xfrm>
                    <a:prstGeom prst="rect">
                      <a:avLst/>
                    </a:prstGeom>
                    <a:noFill/>
                    <a:ln>
                      <a:noFill/>
                    </a:ln>
                  </pic:spPr>
                </pic:pic>
              </a:graphicData>
            </a:graphic>
          </wp:inline>
        </w:drawing>
      </w:r>
    </w:p>
    <w:p>
      <w:pPr>
        <w:pStyle w:val="10"/>
        <w:pageBreakBefore w:val="0"/>
        <w:kinsoku/>
        <w:wordWrap/>
        <w:bidi w:val="0"/>
        <w:spacing w:line="360" w:lineRule="auto"/>
        <w:ind w:left="0" w:leftChars="0" w:right="0"/>
        <w:jc w:val="center"/>
        <w:rPr>
          <w:rFonts w:hint="eastAsia" w:ascii="宋体" w:hAnsi="宋体" w:eastAsia="宋体" w:cs="宋体"/>
          <w:b/>
          <w:bCs w:val="0"/>
          <w:caps w:val="0"/>
          <w:smallCaps w:val="0"/>
          <w:color w:val="auto"/>
          <w:spacing w:val="0"/>
          <w:sz w:val="28"/>
          <w:szCs w:val="28"/>
          <w:highlight w:val="none"/>
          <w:u w:val="none" w:color="auto"/>
          <w:lang w:val="en-US"/>
        </w:rPr>
      </w:pPr>
      <w:r>
        <w:rPr>
          <w:rFonts w:hint="eastAsia" w:ascii="宋体" w:hAnsi="宋体" w:eastAsia="宋体" w:cs="宋体"/>
          <w:b/>
          <w:bCs w:val="0"/>
          <w:caps w:val="0"/>
          <w:smallCaps w:val="0"/>
          <w:color w:val="auto"/>
          <w:spacing w:val="0"/>
          <w:sz w:val="28"/>
          <w:szCs w:val="28"/>
          <w:highlight w:val="none"/>
          <w:u w:val="none" w:color="auto"/>
          <w:lang w:val="en-US" w:eastAsia="zh-CN"/>
        </w:rPr>
        <w:t>4-甲基二苯胺生产工艺流程及产污环节图</w:t>
      </w:r>
    </w:p>
    <w:p>
      <w:pPr>
        <w:pStyle w:val="45"/>
        <w:pageBreakBefore w:val="0"/>
        <w:kinsoku/>
        <w:wordWrap/>
        <w:bidi w:val="0"/>
        <w:spacing w:line="360" w:lineRule="auto"/>
        <w:ind w:left="0" w:leftChars="0" w:right="0"/>
        <w:rPr>
          <w:rFonts w:hint="eastAsia" w:ascii="宋体" w:hAnsi="宋体" w:eastAsia="宋体" w:cs="宋体"/>
          <w:caps w:val="0"/>
          <w:smallCaps w:val="0"/>
          <w:color w:val="auto"/>
          <w:spacing w:val="0"/>
          <w:sz w:val="28"/>
          <w:szCs w:val="28"/>
          <w:highlight w:val="none"/>
          <w:u w:val="none" w:color="auto"/>
        </w:rPr>
      </w:pPr>
      <w:r>
        <w:rPr>
          <w:rFonts w:hint="eastAsia" w:ascii="宋体" w:hAnsi="宋体" w:eastAsia="宋体" w:cs="宋体"/>
          <w:caps w:val="0"/>
          <w:smallCaps w:val="0"/>
          <w:color w:val="auto"/>
          <w:spacing w:val="0"/>
          <w:sz w:val="28"/>
          <w:szCs w:val="28"/>
          <w:highlight w:val="none"/>
          <w:u w:val="none" w:color="auto"/>
        </w:rPr>
        <w:br w:type="page"/>
      </w:r>
    </w:p>
    <w:bookmarkEnd w:id="143"/>
    <w:bookmarkEnd w:id="144"/>
    <w:bookmarkEnd w:id="145"/>
    <w:bookmarkEnd w:id="146"/>
    <w:bookmarkEnd w:id="147"/>
    <w:p>
      <w:pPr>
        <w:pStyle w:val="8"/>
        <w:numPr>
          <w:ilvl w:val="1"/>
          <w:numId w:val="0"/>
        </w:numPr>
        <w:outlineLvl w:val="1"/>
        <w:rPr>
          <w:rFonts w:hint="eastAsia" w:ascii="宋体" w:hAnsi="宋体" w:eastAsia="宋体" w:cs="宋体"/>
          <w:color w:val="auto"/>
          <w:spacing w:val="0"/>
          <w:sz w:val="28"/>
          <w:szCs w:val="28"/>
          <w:highlight w:val="none"/>
          <w:u w:val="none"/>
          <w:lang w:val="en-US" w:eastAsia="zh-CN"/>
        </w:rPr>
      </w:pPr>
      <w:bookmarkStart w:id="148" w:name="_Toc28108"/>
      <w:bookmarkStart w:id="149" w:name="_Toc25868"/>
      <w:r>
        <w:rPr>
          <w:rFonts w:hint="eastAsia" w:ascii="宋体" w:hAnsi="宋体" w:eastAsia="宋体" w:cs="宋体"/>
          <w:color w:val="auto"/>
          <w:spacing w:val="0"/>
          <w:sz w:val="28"/>
          <w:szCs w:val="28"/>
          <w:highlight w:val="none"/>
          <w:u w:val="none"/>
          <w:lang w:val="en-US" w:eastAsia="zh-CN"/>
        </w:rPr>
        <w:t>4.3环境风险防控和应急措施</w:t>
      </w:r>
      <w:bookmarkEnd w:id="148"/>
      <w:bookmarkEnd w:id="149"/>
    </w:p>
    <w:p>
      <w:pPr>
        <w:pageBreakBefore w:val="0"/>
        <w:kinsoku/>
        <w:wordWrap/>
        <w:bidi w:val="0"/>
        <w:spacing w:line="360" w:lineRule="auto"/>
        <w:ind w:left="0" w:leftChars="0" w:right="0" w:firstLine="560" w:firstLineChars="200"/>
        <w:rPr>
          <w:rFonts w:hint="eastAsia" w:ascii="宋体" w:hAnsi="宋体" w:eastAsia="宋体" w:cs="宋体"/>
          <w:caps w:val="0"/>
          <w:smallCaps w:val="0"/>
          <w:color w:val="auto"/>
          <w:spacing w:val="0"/>
          <w:sz w:val="28"/>
          <w:szCs w:val="28"/>
          <w:highlight w:val="none"/>
          <w:u w:val="none" w:color="auto"/>
          <w:lang w:val="en-US" w:eastAsia="zh-CN"/>
        </w:rPr>
      </w:pPr>
      <w:r>
        <w:rPr>
          <w:rFonts w:hint="eastAsia" w:ascii="宋体" w:hAnsi="宋体" w:eastAsia="宋体" w:cs="宋体"/>
          <w:caps w:val="0"/>
          <w:smallCaps w:val="0"/>
          <w:color w:val="auto"/>
          <w:spacing w:val="0"/>
          <w:sz w:val="28"/>
          <w:szCs w:val="28"/>
          <w:highlight w:val="none"/>
          <w:u w:val="none" w:color="auto"/>
          <w:lang w:val="en-US" w:eastAsia="zh-CN"/>
        </w:rPr>
        <w:t>根据对公司基本信息、现有应急资源情况、可能发生的突发环境事件及后果情景的分析，从以下五个方面对现有环境风险防控与应急措施的完备性、可靠性和有效性进行分析论证，详见下表：</w:t>
      </w:r>
    </w:p>
    <w:p>
      <w:pPr>
        <w:pStyle w:val="2"/>
        <w:ind w:left="0" w:leftChars="0" w:firstLine="0" w:firstLineChars="0"/>
        <w:jc w:val="center"/>
        <w:rPr>
          <w:rFonts w:hint="default" w:ascii="宋体" w:hAnsi="宋体" w:eastAsia="宋体" w:cs="宋体"/>
          <w:caps w:val="0"/>
          <w:smallCaps w:val="0"/>
          <w:color w:val="auto"/>
          <w:spacing w:val="0"/>
          <w:kern w:val="2"/>
          <w:sz w:val="28"/>
          <w:szCs w:val="24"/>
          <w:highlight w:val="none"/>
          <w:u w:val="none" w:color="auto"/>
          <w:lang w:val="en-US" w:eastAsia="zh-CN" w:bidi="ar-SA"/>
        </w:rPr>
      </w:pPr>
      <w:r>
        <w:rPr>
          <w:rFonts w:hint="eastAsia" w:ascii="宋体" w:hAnsi="宋体" w:eastAsia="宋体" w:cs="宋体"/>
          <w:caps w:val="0"/>
          <w:smallCaps w:val="0"/>
          <w:color w:val="auto"/>
          <w:spacing w:val="0"/>
          <w:kern w:val="2"/>
          <w:sz w:val="28"/>
          <w:szCs w:val="24"/>
          <w:highlight w:val="none"/>
          <w:u w:val="none" w:color="auto"/>
          <w:lang w:val="en-US" w:eastAsia="zh-CN" w:bidi="ar-SA"/>
        </w:rPr>
        <w:t>表9</w:t>
      </w:r>
      <w:r>
        <w:rPr>
          <w:rFonts w:hint="eastAsia" w:eastAsia="宋体" w:cs="宋体"/>
          <w:caps w:val="0"/>
          <w:smallCaps w:val="0"/>
          <w:color w:val="auto"/>
          <w:spacing w:val="0"/>
          <w:kern w:val="2"/>
          <w:sz w:val="28"/>
          <w:szCs w:val="24"/>
          <w:highlight w:val="none"/>
          <w:u w:val="none" w:color="auto"/>
          <w:lang w:val="en-US" w:eastAsia="zh-CN" w:bidi="ar-SA"/>
        </w:rPr>
        <w:t xml:space="preserve"> 环境风险防控和应急措施</w:t>
      </w:r>
    </w:p>
    <w:tbl>
      <w:tblPr>
        <w:tblStyle w:val="21"/>
        <w:tblW w:w="8519"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562"/>
        <w:gridCol w:w="3283"/>
        <w:gridCol w:w="4674"/>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91" w:hRule="atLeast"/>
          <w:jc w:val="center"/>
        </w:trPr>
        <w:tc>
          <w:tcPr>
            <w:tcW w:w="3845" w:type="dxa"/>
            <w:gridSpan w:val="2"/>
            <w:tcBorders>
              <w:tl2br w:val="nil"/>
              <w:tr2bl w:val="nil"/>
            </w:tcBorders>
            <w:noWrap/>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firstLine="0" w:firstLineChars="0"/>
              <w:jc w:val="center"/>
              <w:textAlignment w:val="auto"/>
              <w:rPr>
                <w:rFonts w:hint="eastAsia" w:ascii="宋体" w:hAnsi="宋体" w:eastAsia="宋体" w:cs="宋体"/>
                <w:bCs/>
                <w:caps w:val="0"/>
                <w:smallCaps w:val="0"/>
                <w:color w:val="auto"/>
                <w:spacing w:val="0"/>
                <w:sz w:val="24"/>
                <w:szCs w:val="24"/>
                <w:highlight w:val="none"/>
                <w:u w:val="none" w:color="auto"/>
              </w:rPr>
            </w:pPr>
            <w:r>
              <w:rPr>
                <w:rFonts w:hint="eastAsia" w:ascii="宋体" w:hAnsi="宋体" w:eastAsia="宋体" w:cs="宋体"/>
                <w:bCs/>
                <w:caps w:val="0"/>
                <w:smallCaps w:val="0"/>
                <w:color w:val="auto"/>
                <w:spacing w:val="0"/>
                <w:sz w:val="24"/>
                <w:szCs w:val="24"/>
                <w:highlight w:val="none"/>
                <w:u w:val="none" w:color="auto"/>
              </w:rPr>
              <w:t>相关风险防控和应急措施</w:t>
            </w:r>
          </w:p>
        </w:tc>
        <w:tc>
          <w:tcPr>
            <w:tcW w:w="4674" w:type="dxa"/>
            <w:tcBorders>
              <w:tl2br w:val="nil"/>
              <w:tr2bl w:val="nil"/>
            </w:tcBorders>
            <w:noWrap/>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firstLine="0" w:firstLineChars="0"/>
              <w:jc w:val="center"/>
              <w:textAlignment w:val="auto"/>
              <w:rPr>
                <w:rFonts w:hint="eastAsia" w:ascii="宋体" w:hAnsi="宋体" w:eastAsia="宋体" w:cs="宋体"/>
                <w:bCs/>
                <w:caps w:val="0"/>
                <w:smallCaps w:val="0"/>
                <w:color w:val="auto"/>
                <w:spacing w:val="0"/>
                <w:sz w:val="24"/>
                <w:szCs w:val="24"/>
                <w:highlight w:val="none"/>
                <w:u w:val="none" w:color="auto"/>
              </w:rPr>
            </w:pPr>
            <w:r>
              <w:rPr>
                <w:rFonts w:hint="eastAsia" w:ascii="宋体" w:hAnsi="宋体" w:eastAsia="宋体" w:cs="宋体"/>
                <w:bCs/>
                <w:caps w:val="0"/>
                <w:smallCaps w:val="0"/>
                <w:color w:val="auto"/>
                <w:spacing w:val="0"/>
                <w:sz w:val="24"/>
                <w:szCs w:val="24"/>
                <w:highlight w:val="none"/>
                <w:u w:val="none" w:color="auto"/>
              </w:rPr>
              <w:t>落实情况</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834" w:hRule="atLeast"/>
          <w:jc w:val="center"/>
        </w:trPr>
        <w:tc>
          <w:tcPr>
            <w:tcW w:w="562" w:type="dxa"/>
            <w:vMerge w:val="restart"/>
            <w:tcBorders>
              <w:tl2br w:val="nil"/>
              <w:tr2bl w:val="nil"/>
            </w:tcBorders>
            <w:noWrap/>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firstLine="0" w:firstLineChars="0"/>
              <w:jc w:val="center"/>
              <w:textAlignment w:val="auto"/>
              <w:rPr>
                <w:rFonts w:hint="eastAsia" w:ascii="宋体" w:hAnsi="宋体" w:eastAsia="宋体" w:cs="宋体"/>
                <w:bCs/>
                <w:caps w:val="0"/>
                <w:smallCaps w:val="0"/>
                <w:color w:val="auto"/>
                <w:spacing w:val="0"/>
                <w:sz w:val="24"/>
                <w:szCs w:val="24"/>
                <w:highlight w:val="none"/>
                <w:u w:val="none" w:color="auto"/>
              </w:rPr>
            </w:pPr>
            <w:r>
              <w:rPr>
                <w:rFonts w:hint="eastAsia" w:ascii="宋体" w:hAnsi="宋体" w:eastAsia="宋体" w:cs="宋体"/>
                <w:bCs/>
                <w:caps w:val="0"/>
                <w:smallCaps w:val="0"/>
                <w:color w:val="auto"/>
                <w:spacing w:val="0"/>
                <w:sz w:val="24"/>
                <w:szCs w:val="24"/>
                <w:highlight w:val="none"/>
                <w:u w:val="none" w:color="auto"/>
              </w:rPr>
              <w:t>环境风险管理制度</w:t>
            </w:r>
          </w:p>
        </w:tc>
        <w:tc>
          <w:tcPr>
            <w:tcW w:w="3283" w:type="dxa"/>
            <w:tcBorders>
              <w:tl2br w:val="nil"/>
              <w:tr2bl w:val="nil"/>
            </w:tcBorders>
            <w:noWrap/>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eastAsia" w:ascii="宋体" w:hAnsi="宋体" w:eastAsia="宋体" w:cs="宋体"/>
                <w:bCs/>
                <w:caps w:val="0"/>
                <w:smallCaps w:val="0"/>
                <w:color w:val="auto"/>
                <w:spacing w:val="0"/>
                <w:kern w:val="2"/>
                <w:sz w:val="24"/>
                <w:szCs w:val="24"/>
                <w:highlight w:val="none"/>
                <w:u w:val="none" w:color="auto"/>
                <w:lang w:val="en-US" w:eastAsia="zh-CN" w:bidi="ar-SA"/>
              </w:rPr>
            </w:pPr>
            <w:r>
              <w:rPr>
                <w:rFonts w:hint="eastAsia" w:ascii="宋体" w:hAnsi="宋体" w:eastAsia="宋体" w:cs="宋体"/>
                <w:bCs/>
                <w:caps w:val="0"/>
                <w:smallCaps w:val="0"/>
                <w:color w:val="auto"/>
                <w:spacing w:val="0"/>
                <w:sz w:val="24"/>
                <w:szCs w:val="24"/>
                <w:highlight w:val="none"/>
                <w:u w:val="none" w:color="auto"/>
              </w:rPr>
              <w:t>环境风险防控重点岗位的责任人或责任机构是否明确</w:t>
            </w:r>
          </w:p>
        </w:tc>
        <w:tc>
          <w:tcPr>
            <w:tcW w:w="4674" w:type="dxa"/>
            <w:tcBorders>
              <w:tl2br w:val="nil"/>
              <w:tr2bl w:val="nil"/>
            </w:tcBorders>
            <w:noWrap/>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eastAsia" w:ascii="宋体" w:hAnsi="宋体" w:eastAsia="宋体" w:cs="宋体"/>
                <w:bCs/>
                <w:caps w:val="0"/>
                <w:smallCaps w:val="0"/>
                <w:color w:val="auto"/>
                <w:spacing w:val="0"/>
                <w:kern w:val="2"/>
                <w:sz w:val="24"/>
                <w:szCs w:val="24"/>
                <w:highlight w:val="none"/>
                <w:u w:val="none" w:color="auto"/>
                <w:lang w:val="en-US" w:eastAsia="zh-CN" w:bidi="ar-SA"/>
              </w:rPr>
            </w:pPr>
            <w:r>
              <w:rPr>
                <w:rFonts w:hint="eastAsia" w:ascii="宋体" w:hAnsi="宋体" w:eastAsia="宋体" w:cs="宋体"/>
                <w:bCs/>
                <w:caps w:val="0"/>
                <w:smallCaps w:val="0"/>
                <w:color w:val="auto"/>
                <w:spacing w:val="0"/>
                <w:sz w:val="24"/>
                <w:szCs w:val="24"/>
                <w:highlight w:val="none"/>
                <w:u w:val="none" w:color="auto"/>
              </w:rPr>
              <w:t>在现有安全应急预案的基础上，以安环科为主，进行巡检。</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415" w:hRule="atLeast"/>
          <w:jc w:val="center"/>
        </w:trPr>
        <w:tc>
          <w:tcPr>
            <w:tcW w:w="562" w:type="dxa"/>
            <w:vMerge w:val="continue"/>
            <w:tcBorders>
              <w:tl2br w:val="nil"/>
              <w:tr2bl w:val="nil"/>
            </w:tcBorders>
            <w:noWrap/>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firstLine="0" w:firstLineChars="0"/>
              <w:jc w:val="center"/>
              <w:textAlignment w:val="auto"/>
              <w:rPr>
                <w:rFonts w:hint="eastAsia" w:ascii="宋体" w:hAnsi="宋体" w:eastAsia="宋体" w:cs="宋体"/>
                <w:bCs/>
                <w:caps w:val="0"/>
                <w:smallCaps w:val="0"/>
                <w:color w:val="auto"/>
                <w:spacing w:val="0"/>
                <w:sz w:val="24"/>
                <w:szCs w:val="24"/>
                <w:highlight w:val="none"/>
                <w:u w:val="none" w:color="auto"/>
              </w:rPr>
            </w:pPr>
          </w:p>
        </w:tc>
        <w:tc>
          <w:tcPr>
            <w:tcW w:w="3283" w:type="dxa"/>
            <w:tcBorders>
              <w:tl2br w:val="nil"/>
              <w:tr2bl w:val="nil"/>
            </w:tcBorders>
            <w:noWrap/>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eastAsia" w:ascii="宋体" w:hAnsi="宋体" w:eastAsia="宋体" w:cs="宋体"/>
                <w:bCs/>
                <w:caps w:val="0"/>
                <w:smallCaps w:val="0"/>
                <w:color w:val="auto"/>
                <w:spacing w:val="0"/>
                <w:kern w:val="2"/>
                <w:sz w:val="24"/>
                <w:szCs w:val="24"/>
                <w:highlight w:val="none"/>
                <w:u w:val="none" w:color="auto"/>
                <w:lang w:val="en-US" w:eastAsia="zh-CN" w:bidi="ar-SA"/>
              </w:rPr>
            </w:pPr>
            <w:r>
              <w:rPr>
                <w:rFonts w:hint="eastAsia" w:ascii="宋体" w:hAnsi="宋体" w:eastAsia="宋体" w:cs="宋体"/>
                <w:bCs/>
                <w:caps w:val="0"/>
                <w:smallCaps w:val="0"/>
                <w:color w:val="auto"/>
                <w:spacing w:val="0"/>
                <w:sz w:val="24"/>
                <w:szCs w:val="24"/>
                <w:highlight w:val="none"/>
                <w:u w:val="none" w:color="auto"/>
              </w:rPr>
              <w:t>环评及批复文件的各项环境风险防控和应急措施要求是否落实</w:t>
            </w:r>
          </w:p>
        </w:tc>
        <w:tc>
          <w:tcPr>
            <w:tcW w:w="4674" w:type="dxa"/>
            <w:tcBorders>
              <w:tl2br w:val="nil"/>
              <w:tr2bl w:val="nil"/>
            </w:tcBorders>
            <w:noWrap/>
            <w:vAlign w:val="center"/>
          </w:tcPr>
          <w:p>
            <w:pPr>
              <w:pStyle w:val="11"/>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eastAsia" w:ascii="宋体" w:hAnsi="宋体" w:eastAsia="宋体" w:cs="宋体"/>
                <w:bCs/>
                <w:caps w:val="0"/>
                <w:smallCaps w:val="0"/>
                <w:color w:val="auto"/>
                <w:spacing w:val="0"/>
                <w:kern w:val="2"/>
                <w:sz w:val="24"/>
                <w:szCs w:val="24"/>
                <w:highlight w:val="none"/>
                <w:u w:val="none" w:color="auto"/>
                <w:lang w:val="en-US" w:eastAsia="zh-CN" w:bidi="ar-SA"/>
              </w:rPr>
            </w:pPr>
            <w:r>
              <w:rPr>
                <w:rFonts w:hint="eastAsia" w:ascii="宋体" w:hAnsi="宋体" w:eastAsia="宋体" w:cs="宋体"/>
                <w:bCs/>
                <w:caps w:val="0"/>
                <w:smallCaps w:val="0"/>
                <w:color w:val="auto"/>
                <w:spacing w:val="0"/>
                <w:sz w:val="24"/>
                <w:szCs w:val="24"/>
                <w:highlight w:val="none"/>
                <w:u w:val="none" w:color="auto"/>
              </w:rPr>
              <w:t>环评及批复文件的各项环境风险防控和应急措施要求</w:t>
            </w:r>
            <w:r>
              <w:rPr>
                <w:rFonts w:hint="eastAsia" w:ascii="宋体" w:hAnsi="宋体" w:eastAsia="宋体" w:cs="宋体"/>
                <w:bCs/>
                <w:caps w:val="0"/>
                <w:smallCaps w:val="0"/>
                <w:color w:val="auto"/>
                <w:spacing w:val="0"/>
                <w:sz w:val="24"/>
                <w:szCs w:val="24"/>
                <w:highlight w:val="none"/>
                <w:u w:val="none" w:color="auto"/>
                <w:lang w:val="en-US" w:eastAsia="zh-CN"/>
              </w:rPr>
              <w:t>已</w:t>
            </w:r>
            <w:r>
              <w:rPr>
                <w:rFonts w:hint="eastAsia" w:ascii="宋体" w:hAnsi="宋体" w:eastAsia="宋体" w:cs="宋体"/>
                <w:bCs/>
                <w:caps w:val="0"/>
                <w:smallCaps w:val="0"/>
                <w:color w:val="auto"/>
                <w:spacing w:val="0"/>
                <w:sz w:val="24"/>
                <w:szCs w:val="24"/>
                <w:highlight w:val="none"/>
                <w:u w:val="none" w:color="auto"/>
              </w:rPr>
              <w:t>落实</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834" w:hRule="atLeast"/>
          <w:jc w:val="center"/>
        </w:trPr>
        <w:tc>
          <w:tcPr>
            <w:tcW w:w="562" w:type="dxa"/>
            <w:vMerge w:val="continue"/>
            <w:tcBorders>
              <w:tl2br w:val="nil"/>
              <w:tr2bl w:val="nil"/>
            </w:tcBorders>
            <w:noWrap/>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firstLine="0" w:firstLineChars="0"/>
              <w:jc w:val="center"/>
              <w:textAlignment w:val="auto"/>
              <w:rPr>
                <w:rFonts w:hint="eastAsia" w:ascii="宋体" w:hAnsi="宋体" w:eastAsia="宋体" w:cs="宋体"/>
                <w:bCs/>
                <w:caps w:val="0"/>
                <w:smallCaps w:val="0"/>
                <w:color w:val="auto"/>
                <w:spacing w:val="0"/>
                <w:sz w:val="24"/>
                <w:szCs w:val="24"/>
                <w:highlight w:val="none"/>
                <w:u w:val="none" w:color="auto"/>
              </w:rPr>
            </w:pPr>
          </w:p>
        </w:tc>
        <w:tc>
          <w:tcPr>
            <w:tcW w:w="3283" w:type="dxa"/>
            <w:tcBorders>
              <w:tl2br w:val="nil"/>
              <w:tr2bl w:val="nil"/>
            </w:tcBorders>
            <w:noWrap/>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eastAsia" w:ascii="宋体" w:hAnsi="宋体" w:eastAsia="宋体" w:cs="宋体"/>
                <w:bCs/>
                <w:caps w:val="0"/>
                <w:smallCaps w:val="0"/>
                <w:color w:val="auto"/>
                <w:spacing w:val="0"/>
                <w:kern w:val="2"/>
                <w:sz w:val="24"/>
                <w:szCs w:val="24"/>
                <w:highlight w:val="none"/>
                <w:u w:val="none" w:color="auto"/>
                <w:lang w:val="en-US" w:eastAsia="zh-CN" w:bidi="ar-SA"/>
              </w:rPr>
            </w:pPr>
            <w:r>
              <w:rPr>
                <w:rFonts w:hint="eastAsia" w:ascii="宋体" w:hAnsi="宋体" w:eastAsia="宋体" w:cs="宋体"/>
                <w:bCs/>
                <w:caps w:val="0"/>
                <w:smallCaps w:val="0"/>
                <w:color w:val="auto"/>
                <w:spacing w:val="0"/>
                <w:sz w:val="24"/>
                <w:szCs w:val="24"/>
                <w:highlight w:val="none"/>
                <w:u w:val="none" w:color="auto"/>
              </w:rPr>
              <w:t>是否经常对职工开展环境风险和环境应急管理宣传和培训</w:t>
            </w:r>
          </w:p>
        </w:tc>
        <w:tc>
          <w:tcPr>
            <w:tcW w:w="4674" w:type="dxa"/>
            <w:tcBorders>
              <w:tl2br w:val="nil"/>
              <w:tr2bl w:val="nil"/>
            </w:tcBorders>
            <w:noWrap/>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eastAsia" w:ascii="宋体" w:hAnsi="宋体" w:eastAsia="宋体" w:cs="宋体"/>
                <w:bCs/>
                <w:caps w:val="0"/>
                <w:smallCaps w:val="0"/>
                <w:color w:val="auto"/>
                <w:spacing w:val="0"/>
                <w:kern w:val="2"/>
                <w:sz w:val="24"/>
                <w:szCs w:val="24"/>
                <w:highlight w:val="none"/>
                <w:u w:val="none" w:color="auto"/>
                <w:lang w:val="en-US" w:eastAsia="zh-CN" w:bidi="ar-SA"/>
              </w:rPr>
            </w:pPr>
            <w:r>
              <w:rPr>
                <w:rFonts w:hint="eastAsia" w:ascii="宋体" w:hAnsi="宋体" w:eastAsia="宋体" w:cs="宋体"/>
                <w:bCs/>
                <w:caps w:val="0"/>
                <w:smallCaps w:val="0"/>
                <w:color w:val="auto"/>
                <w:spacing w:val="0"/>
                <w:kern w:val="0"/>
                <w:sz w:val="24"/>
                <w:szCs w:val="24"/>
                <w:highlight w:val="none"/>
                <w:u w:val="none" w:color="auto"/>
              </w:rPr>
              <w:t>对职工开展环境风险和环境应急管理宣传和培训。</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834" w:hRule="atLeast"/>
          <w:jc w:val="center"/>
        </w:trPr>
        <w:tc>
          <w:tcPr>
            <w:tcW w:w="562" w:type="dxa"/>
            <w:vMerge w:val="continue"/>
            <w:tcBorders>
              <w:tl2br w:val="nil"/>
              <w:tr2bl w:val="nil"/>
            </w:tcBorders>
            <w:noWrap/>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firstLine="0" w:firstLineChars="0"/>
              <w:jc w:val="center"/>
              <w:textAlignment w:val="auto"/>
              <w:rPr>
                <w:rFonts w:hint="eastAsia" w:ascii="宋体" w:hAnsi="宋体" w:eastAsia="宋体" w:cs="宋体"/>
                <w:bCs/>
                <w:caps w:val="0"/>
                <w:smallCaps w:val="0"/>
                <w:color w:val="auto"/>
                <w:spacing w:val="0"/>
                <w:sz w:val="24"/>
                <w:szCs w:val="24"/>
                <w:highlight w:val="none"/>
                <w:u w:val="none" w:color="auto"/>
              </w:rPr>
            </w:pPr>
          </w:p>
        </w:tc>
        <w:tc>
          <w:tcPr>
            <w:tcW w:w="3283" w:type="dxa"/>
            <w:tcBorders>
              <w:tl2br w:val="nil"/>
              <w:tr2bl w:val="nil"/>
            </w:tcBorders>
            <w:noWrap/>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eastAsia" w:ascii="宋体" w:hAnsi="宋体" w:eastAsia="宋体" w:cs="宋体"/>
                <w:bCs/>
                <w:caps w:val="0"/>
                <w:smallCaps w:val="0"/>
                <w:color w:val="auto"/>
                <w:spacing w:val="0"/>
                <w:kern w:val="2"/>
                <w:sz w:val="24"/>
                <w:szCs w:val="24"/>
                <w:highlight w:val="none"/>
                <w:u w:val="none" w:color="auto"/>
                <w:lang w:val="en-US" w:eastAsia="zh-CN" w:bidi="ar-SA"/>
              </w:rPr>
            </w:pPr>
            <w:r>
              <w:rPr>
                <w:rFonts w:hint="eastAsia" w:ascii="宋体" w:hAnsi="宋体" w:eastAsia="宋体" w:cs="宋体"/>
                <w:bCs/>
                <w:caps w:val="0"/>
                <w:smallCaps w:val="0"/>
                <w:color w:val="auto"/>
                <w:spacing w:val="0"/>
                <w:sz w:val="24"/>
                <w:szCs w:val="24"/>
                <w:highlight w:val="none"/>
                <w:u w:val="none" w:color="auto"/>
              </w:rPr>
              <w:t>是否建立突发环境事件信息报告制度，并有效执行</w:t>
            </w:r>
          </w:p>
        </w:tc>
        <w:tc>
          <w:tcPr>
            <w:tcW w:w="4674" w:type="dxa"/>
            <w:tcBorders>
              <w:tl2br w:val="nil"/>
              <w:tr2bl w:val="nil"/>
            </w:tcBorders>
            <w:noWrap/>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eastAsia" w:ascii="宋体" w:hAnsi="宋体" w:eastAsia="宋体" w:cs="宋体"/>
                <w:bCs/>
                <w:caps w:val="0"/>
                <w:smallCaps w:val="0"/>
                <w:color w:val="auto"/>
                <w:spacing w:val="0"/>
                <w:kern w:val="2"/>
                <w:sz w:val="24"/>
                <w:szCs w:val="24"/>
                <w:highlight w:val="none"/>
                <w:u w:val="none" w:color="auto"/>
                <w:lang w:val="en-US" w:eastAsia="zh-CN" w:bidi="ar-SA"/>
              </w:rPr>
            </w:pPr>
            <w:r>
              <w:rPr>
                <w:rFonts w:hint="eastAsia" w:ascii="宋体" w:hAnsi="宋体" w:eastAsia="宋体" w:cs="宋体"/>
                <w:bCs/>
                <w:caps w:val="0"/>
                <w:smallCaps w:val="0"/>
                <w:color w:val="auto"/>
                <w:spacing w:val="0"/>
                <w:kern w:val="0"/>
                <w:sz w:val="24"/>
                <w:szCs w:val="24"/>
                <w:highlight w:val="none"/>
                <w:u w:val="none" w:color="auto"/>
              </w:rPr>
              <w:t>突发环境事件信息报告规范。</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919" w:hRule="atLeast"/>
          <w:jc w:val="center"/>
        </w:trPr>
        <w:tc>
          <w:tcPr>
            <w:tcW w:w="562" w:type="dxa"/>
            <w:vMerge w:val="restart"/>
            <w:tcBorders>
              <w:tl2br w:val="nil"/>
              <w:tr2bl w:val="nil"/>
            </w:tcBorders>
            <w:noWrap/>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firstLine="0" w:firstLineChars="0"/>
              <w:jc w:val="center"/>
              <w:textAlignment w:val="auto"/>
              <w:rPr>
                <w:rFonts w:hint="eastAsia" w:ascii="宋体" w:hAnsi="宋体" w:eastAsia="宋体" w:cs="宋体"/>
                <w:bCs/>
                <w:caps w:val="0"/>
                <w:smallCaps w:val="0"/>
                <w:color w:val="auto"/>
                <w:spacing w:val="0"/>
                <w:sz w:val="24"/>
                <w:szCs w:val="24"/>
                <w:highlight w:val="none"/>
                <w:u w:val="none" w:color="auto"/>
              </w:rPr>
            </w:pPr>
            <w:r>
              <w:rPr>
                <w:rFonts w:hint="eastAsia" w:ascii="宋体" w:hAnsi="宋体" w:eastAsia="宋体" w:cs="宋体"/>
                <w:bCs/>
                <w:caps w:val="0"/>
                <w:smallCaps w:val="0"/>
                <w:color w:val="auto"/>
                <w:spacing w:val="0"/>
                <w:sz w:val="24"/>
                <w:szCs w:val="24"/>
                <w:highlight w:val="none"/>
                <w:u w:val="none" w:color="auto"/>
              </w:rPr>
              <w:t>环境风险防控与应急措施</w:t>
            </w:r>
          </w:p>
        </w:tc>
        <w:tc>
          <w:tcPr>
            <w:tcW w:w="3283" w:type="dxa"/>
            <w:tcBorders>
              <w:tl2br w:val="nil"/>
              <w:tr2bl w:val="nil"/>
            </w:tcBorders>
            <w:noWrap/>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firstLine="0" w:firstLineChars="0"/>
              <w:jc w:val="center"/>
              <w:textAlignment w:val="auto"/>
              <w:rPr>
                <w:rFonts w:hint="eastAsia" w:ascii="宋体" w:hAnsi="宋体" w:eastAsia="宋体" w:cs="宋体"/>
                <w:bCs/>
                <w:caps w:val="0"/>
                <w:smallCaps w:val="0"/>
                <w:color w:val="auto"/>
                <w:spacing w:val="0"/>
                <w:sz w:val="24"/>
                <w:szCs w:val="24"/>
                <w:highlight w:val="none"/>
                <w:u w:val="none" w:color="auto"/>
              </w:rPr>
            </w:pPr>
            <w:r>
              <w:rPr>
                <w:rFonts w:hint="eastAsia" w:ascii="宋体" w:hAnsi="宋体" w:eastAsia="宋体" w:cs="宋体"/>
                <w:bCs/>
                <w:caps w:val="0"/>
                <w:smallCaps w:val="0"/>
                <w:color w:val="auto"/>
                <w:spacing w:val="0"/>
                <w:sz w:val="24"/>
                <w:szCs w:val="24"/>
                <w:highlight w:val="none"/>
                <w:u w:val="none" w:color="auto"/>
              </w:rPr>
              <w:t>是否在废气排放口、废水、雨水和清洁下水排放口对可能排出的环境风险物质，按照物质特性、危害，设置监视、控制措施，分析每项措施的管理规定、岗位职责落实情况和措施的有效性</w:t>
            </w:r>
          </w:p>
        </w:tc>
        <w:tc>
          <w:tcPr>
            <w:tcW w:w="4674" w:type="dxa"/>
            <w:tcBorders>
              <w:tl2br w:val="nil"/>
              <w:tr2bl w:val="nil"/>
            </w:tcBorders>
            <w:noWrap/>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firstLine="0" w:firstLineChars="0"/>
              <w:jc w:val="center"/>
              <w:textAlignment w:val="auto"/>
              <w:rPr>
                <w:rFonts w:hint="eastAsia" w:ascii="宋体" w:hAnsi="宋体" w:eastAsia="宋体" w:cs="宋体"/>
                <w:bCs/>
                <w:caps w:val="0"/>
                <w:smallCaps w:val="0"/>
                <w:color w:val="auto"/>
                <w:spacing w:val="0"/>
                <w:sz w:val="24"/>
                <w:szCs w:val="24"/>
                <w:highlight w:val="none"/>
                <w:u w:val="none" w:color="auto"/>
              </w:rPr>
            </w:pPr>
            <w:r>
              <w:rPr>
                <w:rFonts w:hint="eastAsia" w:ascii="宋体" w:hAnsi="宋体" w:eastAsia="宋体" w:cs="宋体"/>
                <w:bCs/>
                <w:caps w:val="0"/>
                <w:smallCaps w:val="0"/>
                <w:color w:val="auto"/>
                <w:spacing w:val="0"/>
                <w:sz w:val="24"/>
                <w:szCs w:val="24"/>
                <w:highlight w:val="none"/>
                <w:u w:val="none" w:color="auto"/>
              </w:rPr>
              <w:t>生产工艺废气排气筒</w:t>
            </w:r>
            <w:r>
              <w:rPr>
                <w:rFonts w:hint="eastAsia" w:ascii="宋体" w:hAnsi="宋体" w:eastAsia="宋体" w:cs="宋体"/>
                <w:bCs/>
                <w:caps w:val="0"/>
                <w:smallCaps w:val="0"/>
                <w:color w:val="auto"/>
                <w:spacing w:val="0"/>
                <w:sz w:val="24"/>
                <w:szCs w:val="24"/>
                <w:highlight w:val="none"/>
                <w:u w:val="none" w:color="auto"/>
                <w:lang w:val="en-US" w:eastAsia="zh-CN"/>
              </w:rPr>
              <w:t>10</w:t>
            </w:r>
            <w:r>
              <w:rPr>
                <w:rFonts w:hint="eastAsia" w:ascii="宋体" w:hAnsi="宋体" w:eastAsia="宋体" w:cs="宋体"/>
                <w:bCs/>
                <w:caps w:val="0"/>
                <w:smallCaps w:val="0"/>
                <w:color w:val="auto"/>
                <w:spacing w:val="0"/>
                <w:sz w:val="24"/>
                <w:szCs w:val="24"/>
                <w:highlight w:val="none"/>
                <w:u w:val="none" w:color="auto"/>
              </w:rPr>
              <w:t>个，设置了污水排放口和雨水排放口各一个，并设置在线联网监测系统</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62" w:hRule="atLeast"/>
          <w:jc w:val="center"/>
        </w:trPr>
        <w:tc>
          <w:tcPr>
            <w:tcW w:w="562" w:type="dxa"/>
            <w:vMerge w:val="continue"/>
            <w:tcBorders>
              <w:tl2br w:val="nil"/>
              <w:tr2bl w:val="nil"/>
            </w:tcBorders>
            <w:noWrap/>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firstLine="0" w:firstLineChars="0"/>
              <w:jc w:val="center"/>
              <w:textAlignment w:val="auto"/>
              <w:rPr>
                <w:rFonts w:hint="eastAsia" w:ascii="宋体" w:hAnsi="宋体" w:eastAsia="宋体" w:cs="宋体"/>
                <w:bCs/>
                <w:caps w:val="0"/>
                <w:smallCaps w:val="0"/>
                <w:color w:val="auto"/>
                <w:spacing w:val="0"/>
                <w:sz w:val="24"/>
                <w:szCs w:val="24"/>
                <w:highlight w:val="none"/>
                <w:u w:val="none" w:color="auto"/>
              </w:rPr>
            </w:pPr>
          </w:p>
        </w:tc>
        <w:tc>
          <w:tcPr>
            <w:tcW w:w="3283" w:type="dxa"/>
            <w:vMerge w:val="restart"/>
            <w:tcBorders>
              <w:tl2br w:val="nil"/>
              <w:tr2bl w:val="nil"/>
            </w:tcBorders>
            <w:noWrap/>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firstLine="0" w:firstLineChars="0"/>
              <w:jc w:val="center"/>
              <w:textAlignment w:val="auto"/>
              <w:rPr>
                <w:rFonts w:hint="eastAsia" w:ascii="宋体" w:hAnsi="宋体" w:eastAsia="宋体" w:cs="宋体"/>
                <w:bCs/>
                <w:caps w:val="0"/>
                <w:smallCaps w:val="0"/>
                <w:color w:val="auto"/>
                <w:spacing w:val="0"/>
                <w:sz w:val="24"/>
                <w:szCs w:val="24"/>
                <w:highlight w:val="none"/>
                <w:u w:val="none" w:color="auto"/>
              </w:rPr>
            </w:pPr>
            <w:r>
              <w:rPr>
                <w:rFonts w:hint="eastAsia" w:ascii="宋体" w:hAnsi="宋体" w:eastAsia="宋体" w:cs="宋体"/>
                <w:bCs/>
                <w:caps w:val="0"/>
                <w:smallCaps w:val="0"/>
                <w:color w:val="auto"/>
                <w:spacing w:val="0"/>
                <w:sz w:val="24"/>
                <w:szCs w:val="24"/>
                <w:highlight w:val="none"/>
                <w:u w:val="none" w:color="auto"/>
              </w:rPr>
              <w:t>是否采取防止事故排水、污染物等扩散、排出厂界的措施，包括截流措施、事故排水收集措施、清净下水系统防控措施、雨水系统防控措施、生产废水处理系统防控措施等，分析每项措施的管理规定、岗位职责落实情况和措施的有效性</w:t>
            </w:r>
          </w:p>
        </w:tc>
        <w:tc>
          <w:tcPr>
            <w:tcW w:w="4674" w:type="dxa"/>
            <w:tcBorders>
              <w:tl2br w:val="nil"/>
              <w:tr2bl w:val="nil"/>
            </w:tcBorders>
            <w:noWrap/>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firstLine="0" w:firstLineChars="0"/>
              <w:jc w:val="center"/>
              <w:textAlignment w:val="auto"/>
              <w:rPr>
                <w:rFonts w:hint="eastAsia" w:ascii="宋体" w:hAnsi="宋体" w:eastAsia="宋体" w:cs="宋体"/>
                <w:bCs/>
                <w:caps w:val="0"/>
                <w:smallCaps w:val="0"/>
                <w:color w:val="auto"/>
                <w:spacing w:val="0"/>
                <w:sz w:val="24"/>
                <w:szCs w:val="24"/>
                <w:highlight w:val="none"/>
                <w:u w:val="none" w:color="auto"/>
              </w:rPr>
            </w:pPr>
            <w:r>
              <w:rPr>
                <w:rFonts w:hint="eastAsia" w:ascii="宋体" w:hAnsi="宋体" w:eastAsia="宋体" w:cs="宋体"/>
                <w:bCs/>
                <w:caps w:val="0"/>
                <w:smallCaps w:val="0"/>
                <w:color w:val="auto"/>
                <w:spacing w:val="0"/>
                <w:sz w:val="24"/>
                <w:szCs w:val="24"/>
                <w:highlight w:val="none"/>
                <w:u w:val="none" w:color="auto"/>
              </w:rPr>
              <w:t>生产废水经处理后后通过市政管网进入产业集聚区污水处理厂</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834" w:hRule="atLeast"/>
          <w:jc w:val="center"/>
        </w:trPr>
        <w:tc>
          <w:tcPr>
            <w:tcW w:w="562" w:type="dxa"/>
            <w:vMerge w:val="continue"/>
            <w:tcBorders>
              <w:tl2br w:val="nil"/>
              <w:tr2bl w:val="nil"/>
            </w:tcBorders>
            <w:noWrap/>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firstLine="0" w:firstLineChars="0"/>
              <w:jc w:val="center"/>
              <w:textAlignment w:val="auto"/>
              <w:rPr>
                <w:rFonts w:hint="eastAsia" w:ascii="宋体" w:hAnsi="宋体" w:eastAsia="宋体" w:cs="宋体"/>
                <w:bCs/>
                <w:caps w:val="0"/>
                <w:smallCaps w:val="0"/>
                <w:color w:val="auto"/>
                <w:spacing w:val="0"/>
                <w:sz w:val="24"/>
                <w:szCs w:val="24"/>
                <w:highlight w:val="none"/>
                <w:u w:val="none" w:color="auto"/>
              </w:rPr>
            </w:pPr>
          </w:p>
        </w:tc>
        <w:tc>
          <w:tcPr>
            <w:tcW w:w="3283" w:type="dxa"/>
            <w:vMerge w:val="continue"/>
            <w:tcBorders>
              <w:tl2br w:val="nil"/>
              <w:tr2bl w:val="nil"/>
            </w:tcBorders>
            <w:noWrap/>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firstLine="0" w:firstLineChars="0"/>
              <w:jc w:val="center"/>
              <w:textAlignment w:val="auto"/>
              <w:rPr>
                <w:rFonts w:hint="eastAsia" w:ascii="宋体" w:hAnsi="宋体" w:eastAsia="宋体" w:cs="宋体"/>
                <w:bCs/>
                <w:caps w:val="0"/>
                <w:smallCaps w:val="0"/>
                <w:color w:val="auto"/>
                <w:spacing w:val="0"/>
                <w:sz w:val="24"/>
                <w:szCs w:val="24"/>
                <w:highlight w:val="none"/>
                <w:u w:val="none" w:color="auto"/>
              </w:rPr>
            </w:pPr>
          </w:p>
        </w:tc>
        <w:tc>
          <w:tcPr>
            <w:tcW w:w="4674" w:type="dxa"/>
            <w:tcBorders>
              <w:tl2br w:val="nil"/>
              <w:tr2bl w:val="nil"/>
            </w:tcBorders>
            <w:noWrap/>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firstLine="0" w:firstLineChars="0"/>
              <w:jc w:val="center"/>
              <w:textAlignment w:val="auto"/>
              <w:rPr>
                <w:rFonts w:hint="eastAsia" w:ascii="宋体" w:hAnsi="宋体" w:eastAsia="宋体" w:cs="宋体"/>
                <w:bCs/>
                <w:caps w:val="0"/>
                <w:smallCaps w:val="0"/>
                <w:color w:val="auto"/>
                <w:spacing w:val="0"/>
                <w:sz w:val="24"/>
                <w:szCs w:val="24"/>
                <w:highlight w:val="none"/>
                <w:u w:val="none" w:color="auto"/>
                <w:lang w:val="en-US" w:eastAsia="zh-CN"/>
              </w:rPr>
            </w:pPr>
            <w:r>
              <w:rPr>
                <w:rFonts w:hint="eastAsia" w:ascii="宋体" w:hAnsi="宋体" w:eastAsia="宋体" w:cs="宋体"/>
                <w:bCs/>
                <w:caps w:val="0"/>
                <w:smallCaps w:val="0"/>
                <w:color w:val="auto"/>
                <w:spacing w:val="0"/>
                <w:sz w:val="24"/>
                <w:szCs w:val="24"/>
                <w:highlight w:val="none"/>
                <w:u w:val="none" w:color="auto"/>
                <w:lang w:val="en-US" w:eastAsia="zh-CN"/>
              </w:rPr>
              <w:t>厂区</w:t>
            </w:r>
            <w:r>
              <w:rPr>
                <w:rFonts w:hint="eastAsia" w:ascii="宋体" w:hAnsi="宋体" w:eastAsia="宋体" w:cs="宋体"/>
                <w:bCs/>
                <w:caps w:val="0"/>
                <w:smallCaps w:val="0"/>
                <w:color w:val="auto"/>
                <w:spacing w:val="0"/>
                <w:sz w:val="24"/>
                <w:szCs w:val="24"/>
                <w:highlight w:val="none"/>
                <w:u w:val="none" w:color="auto"/>
              </w:rPr>
              <w:t>设置了</w:t>
            </w:r>
            <w:r>
              <w:rPr>
                <w:rFonts w:hint="eastAsia" w:ascii="宋体" w:hAnsi="宋体" w:eastAsia="宋体" w:cs="宋体"/>
                <w:bCs/>
                <w:caps w:val="0"/>
                <w:smallCaps w:val="0"/>
                <w:color w:val="auto"/>
                <w:spacing w:val="0"/>
                <w:sz w:val="24"/>
                <w:szCs w:val="24"/>
                <w:highlight w:val="none"/>
                <w:u w:val="none" w:color="auto"/>
                <w:lang w:val="en-US" w:eastAsia="zh-CN"/>
              </w:rPr>
              <w:t>1000m</w:t>
            </w:r>
            <w:r>
              <w:rPr>
                <w:rFonts w:hint="eastAsia" w:ascii="宋体" w:hAnsi="宋体" w:eastAsia="宋体" w:cs="宋体"/>
                <w:bCs/>
                <w:caps w:val="0"/>
                <w:smallCaps w:val="0"/>
                <w:color w:val="auto"/>
                <w:spacing w:val="0"/>
                <w:sz w:val="24"/>
                <w:szCs w:val="24"/>
                <w:highlight w:val="none"/>
                <w:u w:val="none" w:color="auto"/>
                <w:vertAlign w:val="superscript"/>
                <w:lang w:val="en-US" w:eastAsia="zh-CN"/>
              </w:rPr>
              <w:t>3</w:t>
            </w:r>
            <w:r>
              <w:rPr>
                <w:rFonts w:hint="eastAsia" w:ascii="宋体" w:hAnsi="宋体" w:eastAsia="宋体" w:cs="宋体"/>
                <w:bCs/>
                <w:caps w:val="0"/>
                <w:smallCaps w:val="0"/>
                <w:color w:val="auto"/>
                <w:spacing w:val="0"/>
                <w:sz w:val="24"/>
                <w:szCs w:val="24"/>
                <w:highlight w:val="none"/>
                <w:u w:val="none" w:color="auto"/>
              </w:rPr>
              <w:t>事故池</w:t>
            </w:r>
            <w:r>
              <w:rPr>
                <w:rFonts w:hint="eastAsia" w:ascii="宋体" w:hAnsi="宋体" w:eastAsia="宋体" w:cs="宋体"/>
                <w:bCs/>
                <w:caps w:val="0"/>
                <w:smallCaps w:val="0"/>
                <w:color w:val="auto"/>
                <w:spacing w:val="0"/>
                <w:sz w:val="24"/>
                <w:szCs w:val="24"/>
                <w:highlight w:val="none"/>
                <w:u w:val="none" w:color="auto"/>
                <w:lang w:eastAsia="zh-CN"/>
              </w:rPr>
              <w:t>，</w:t>
            </w:r>
            <w:r>
              <w:rPr>
                <w:rFonts w:hint="eastAsia" w:ascii="宋体" w:hAnsi="宋体" w:eastAsia="宋体" w:cs="宋体"/>
                <w:bCs/>
                <w:caps w:val="0"/>
                <w:smallCaps w:val="0"/>
                <w:color w:val="auto"/>
                <w:spacing w:val="0"/>
                <w:sz w:val="24"/>
                <w:szCs w:val="24"/>
                <w:highlight w:val="none"/>
                <w:u w:val="none" w:color="auto"/>
                <w:lang w:val="en-US" w:eastAsia="zh-CN"/>
              </w:rPr>
              <w:t>各生产装置区设置截留设施及小型事故池，储罐区设围堰。</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065" w:hRule="atLeast"/>
          <w:jc w:val="center"/>
        </w:trPr>
        <w:tc>
          <w:tcPr>
            <w:tcW w:w="562" w:type="dxa"/>
            <w:vMerge w:val="continue"/>
            <w:tcBorders>
              <w:tl2br w:val="nil"/>
              <w:tr2bl w:val="nil"/>
            </w:tcBorders>
            <w:noWrap/>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firstLine="0" w:firstLineChars="0"/>
              <w:jc w:val="center"/>
              <w:textAlignment w:val="auto"/>
              <w:rPr>
                <w:rFonts w:hint="eastAsia" w:ascii="宋体" w:hAnsi="宋体" w:eastAsia="宋体" w:cs="宋体"/>
                <w:bCs/>
                <w:caps w:val="0"/>
                <w:smallCaps w:val="0"/>
                <w:color w:val="auto"/>
                <w:spacing w:val="0"/>
                <w:sz w:val="24"/>
                <w:szCs w:val="24"/>
                <w:highlight w:val="none"/>
                <w:u w:val="none" w:color="auto"/>
              </w:rPr>
            </w:pPr>
          </w:p>
        </w:tc>
        <w:tc>
          <w:tcPr>
            <w:tcW w:w="3283" w:type="dxa"/>
            <w:vMerge w:val="continue"/>
            <w:tcBorders>
              <w:tl2br w:val="nil"/>
              <w:tr2bl w:val="nil"/>
            </w:tcBorders>
            <w:noWrap/>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firstLine="0" w:firstLineChars="0"/>
              <w:jc w:val="center"/>
              <w:textAlignment w:val="auto"/>
              <w:rPr>
                <w:rFonts w:hint="eastAsia" w:ascii="宋体" w:hAnsi="宋体" w:eastAsia="宋体" w:cs="宋体"/>
                <w:bCs/>
                <w:caps w:val="0"/>
                <w:smallCaps w:val="0"/>
                <w:color w:val="auto"/>
                <w:spacing w:val="0"/>
                <w:sz w:val="24"/>
                <w:szCs w:val="24"/>
                <w:highlight w:val="none"/>
                <w:u w:val="none" w:color="auto"/>
              </w:rPr>
            </w:pPr>
          </w:p>
        </w:tc>
        <w:tc>
          <w:tcPr>
            <w:tcW w:w="4674" w:type="dxa"/>
            <w:tcBorders>
              <w:tl2br w:val="nil"/>
              <w:tr2bl w:val="nil"/>
            </w:tcBorders>
            <w:noWrap/>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firstLine="0" w:firstLineChars="0"/>
              <w:jc w:val="center"/>
              <w:textAlignment w:val="auto"/>
              <w:rPr>
                <w:rFonts w:hint="eastAsia" w:ascii="宋体" w:hAnsi="宋体" w:eastAsia="宋体" w:cs="宋体"/>
                <w:bCs/>
                <w:caps w:val="0"/>
                <w:smallCaps w:val="0"/>
                <w:color w:val="auto"/>
                <w:spacing w:val="0"/>
                <w:sz w:val="24"/>
                <w:szCs w:val="24"/>
                <w:highlight w:val="none"/>
                <w:u w:val="none" w:color="auto"/>
              </w:rPr>
            </w:pPr>
            <w:r>
              <w:rPr>
                <w:rFonts w:hint="eastAsia" w:ascii="宋体" w:hAnsi="宋体" w:eastAsia="宋体" w:cs="宋体"/>
                <w:bCs/>
                <w:caps w:val="0"/>
                <w:smallCaps w:val="0"/>
                <w:color w:val="auto"/>
                <w:spacing w:val="0"/>
                <w:sz w:val="24"/>
                <w:szCs w:val="24"/>
                <w:highlight w:val="none"/>
                <w:u w:val="none" w:color="auto"/>
              </w:rPr>
              <w:t>有专门的工作人员按照企业生产管理规定严格执行。</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09" w:hRule="atLeast"/>
          <w:jc w:val="center"/>
        </w:trPr>
        <w:tc>
          <w:tcPr>
            <w:tcW w:w="562" w:type="dxa"/>
            <w:vMerge w:val="continue"/>
            <w:tcBorders>
              <w:tl2br w:val="nil"/>
              <w:tr2bl w:val="nil"/>
            </w:tcBorders>
            <w:noWrap/>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firstLine="0" w:firstLineChars="0"/>
              <w:jc w:val="center"/>
              <w:textAlignment w:val="auto"/>
              <w:rPr>
                <w:rFonts w:hint="eastAsia" w:ascii="宋体" w:hAnsi="宋体" w:eastAsia="宋体" w:cs="宋体"/>
                <w:bCs/>
                <w:caps w:val="0"/>
                <w:smallCaps w:val="0"/>
                <w:color w:val="auto"/>
                <w:spacing w:val="0"/>
                <w:sz w:val="24"/>
                <w:szCs w:val="24"/>
                <w:highlight w:val="none"/>
                <w:u w:val="none" w:color="auto"/>
              </w:rPr>
            </w:pPr>
          </w:p>
        </w:tc>
        <w:tc>
          <w:tcPr>
            <w:tcW w:w="3283" w:type="dxa"/>
            <w:tcBorders>
              <w:tl2br w:val="nil"/>
              <w:tr2bl w:val="nil"/>
            </w:tcBorders>
            <w:noWrap/>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firstLine="0" w:firstLineChars="0"/>
              <w:jc w:val="center"/>
              <w:textAlignment w:val="auto"/>
              <w:rPr>
                <w:rFonts w:hint="eastAsia" w:ascii="宋体" w:hAnsi="宋体" w:eastAsia="宋体" w:cs="宋体"/>
                <w:bCs/>
                <w:caps w:val="0"/>
                <w:smallCaps w:val="0"/>
                <w:color w:val="auto"/>
                <w:spacing w:val="0"/>
                <w:sz w:val="24"/>
                <w:szCs w:val="24"/>
                <w:highlight w:val="none"/>
                <w:u w:val="none" w:color="auto"/>
              </w:rPr>
            </w:pPr>
            <w:r>
              <w:rPr>
                <w:rFonts w:hint="eastAsia" w:ascii="宋体" w:hAnsi="宋体" w:eastAsia="宋体" w:cs="宋体"/>
                <w:bCs/>
                <w:caps w:val="0"/>
                <w:smallCaps w:val="0"/>
                <w:color w:val="auto"/>
                <w:spacing w:val="0"/>
                <w:sz w:val="24"/>
                <w:szCs w:val="24"/>
                <w:highlight w:val="none"/>
                <w:u w:val="none" w:color="auto"/>
              </w:rPr>
              <w:t>涉及毒性气体的，是否设置毒性气体泄漏紧急处置装置，是否已布置生产区域或厂界毒性气体泄漏监控预警系统，是否有提醒周边公众紧急疏散的措施和手段等，分析每项措施的管理规定、岗位责任落实情况和措施的有效性</w:t>
            </w:r>
          </w:p>
        </w:tc>
        <w:tc>
          <w:tcPr>
            <w:tcW w:w="4674" w:type="dxa"/>
            <w:tcBorders>
              <w:tl2br w:val="nil"/>
              <w:tr2bl w:val="nil"/>
            </w:tcBorders>
            <w:noWrap/>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firstLine="0" w:firstLineChars="0"/>
              <w:jc w:val="center"/>
              <w:textAlignment w:val="auto"/>
              <w:rPr>
                <w:rFonts w:hint="eastAsia" w:ascii="宋体" w:hAnsi="宋体" w:eastAsia="宋体" w:cs="宋体"/>
                <w:caps w:val="0"/>
                <w:smallCaps w:val="0"/>
                <w:color w:val="auto"/>
                <w:spacing w:val="0"/>
                <w:sz w:val="24"/>
                <w:szCs w:val="24"/>
                <w:highlight w:val="none"/>
                <w:u w:val="none" w:color="auto"/>
              </w:rPr>
            </w:pPr>
            <w:r>
              <w:rPr>
                <w:rFonts w:hint="eastAsia" w:ascii="宋体" w:hAnsi="宋体" w:eastAsia="宋体" w:cs="宋体"/>
                <w:caps w:val="0"/>
                <w:smallCaps w:val="0"/>
                <w:color w:val="auto"/>
                <w:spacing w:val="0"/>
                <w:sz w:val="24"/>
                <w:szCs w:val="24"/>
                <w:highlight w:val="none"/>
                <w:u w:val="none" w:color="auto"/>
              </w:rPr>
              <w:t>企业在罐区及生产车间各设置了可燃气体自动监测报警装置。</w:t>
            </w:r>
          </w:p>
          <w:p>
            <w:pPr>
              <w:pStyle w:val="3"/>
              <w:keepNext w:val="0"/>
              <w:keepLines w:val="0"/>
              <w:pageBreakBefore w:val="0"/>
              <w:widowControl w:val="0"/>
              <w:kinsoku/>
              <w:wordWrap/>
              <w:overflowPunct/>
              <w:topLinePunct w:val="0"/>
              <w:autoSpaceDE/>
              <w:autoSpaceDN/>
              <w:bidi w:val="0"/>
              <w:adjustRightInd/>
              <w:snapToGrid/>
              <w:spacing w:after="0" w:line="400" w:lineRule="exact"/>
              <w:ind w:left="0" w:leftChars="0" w:right="0"/>
              <w:textAlignment w:val="auto"/>
              <w:rPr>
                <w:rFonts w:hint="eastAsia" w:ascii="宋体" w:hAnsi="宋体" w:eastAsia="宋体" w:cs="宋体"/>
                <w:caps w:val="0"/>
                <w:smallCaps w:val="0"/>
                <w:color w:val="auto"/>
                <w:spacing w:val="0"/>
                <w:sz w:val="24"/>
                <w:szCs w:val="24"/>
                <w:highlight w:val="none"/>
                <w:u w:val="none" w:color="auto"/>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834" w:hRule="atLeast"/>
          <w:jc w:val="center"/>
        </w:trPr>
        <w:tc>
          <w:tcPr>
            <w:tcW w:w="562" w:type="dxa"/>
            <w:vMerge w:val="restart"/>
            <w:tcBorders>
              <w:tl2br w:val="nil"/>
              <w:tr2bl w:val="nil"/>
            </w:tcBorders>
            <w:noWrap/>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firstLine="0" w:firstLineChars="0"/>
              <w:jc w:val="center"/>
              <w:textAlignment w:val="auto"/>
              <w:rPr>
                <w:rFonts w:hint="eastAsia" w:ascii="宋体" w:hAnsi="宋体" w:eastAsia="宋体" w:cs="宋体"/>
                <w:bCs/>
                <w:caps w:val="0"/>
                <w:smallCaps w:val="0"/>
                <w:color w:val="auto"/>
                <w:spacing w:val="0"/>
                <w:sz w:val="24"/>
                <w:szCs w:val="24"/>
                <w:highlight w:val="none"/>
                <w:u w:val="none" w:color="auto"/>
              </w:rPr>
            </w:pPr>
            <w:r>
              <w:rPr>
                <w:rFonts w:hint="eastAsia" w:ascii="宋体" w:hAnsi="宋体" w:eastAsia="宋体" w:cs="宋体"/>
                <w:bCs/>
                <w:caps w:val="0"/>
                <w:smallCaps w:val="0"/>
                <w:color w:val="auto"/>
                <w:spacing w:val="0"/>
                <w:sz w:val="24"/>
                <w:szCs w:val="24"/>
                <w:highlight w:val="none"/>
                <w:u w:val="none" w:color="auto"/>
              </w:rPr>
              <w:t>环境应急资源</w:t>
            </w:r>
          </w:p>
        </w:tc>
        <w:tc>
          <w:tcPr>
            <w:tcW w:w="3283" w:type="dxa"/>
            <w:tcBorders>
              <w:tl2br w:val="nil"/>
              <w:tr2bl w:val="nil"/>
            </w:tcBorders>
            <w:noWrap/>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firstLine="0" w:firstLineChars="0"/>
              <w:jc w:val="center"/>
              <w:textAlignment w:val="auto"/>
              <w:rPr>
                <w:rFonts w:hint="eastAsia" w:ascii="宋体" w:hAnsi="宋体" w:eastAsia="宋体" w:cs="宋体"/>
                <w:bCs/>
                <w:caps w:val="0"/>
                <w:smallCaps w:val="0"/>
                <w:color w:val="auto"/>
                <w:spacing w:val="0"/>
                <w:sz w:val="24"/>
                <w:szCs w:val="24"/>
                <w:highlight w:val="none"/>
                <w:u w:val="none" w:color="auto"/>
              </w:rPr>
            </w:pPr>
            <w:r>
              <w:rPr>
                <w:rFonts w:hint="eastAsia" w:ascii="宋体" w:hAnsi="宋体" w:eastAsia="宋体" w:cs="宋体"/>
                <w:bCs/>
                <w:caps w:val="0"/>
                <w:smallCaps w:val="0"/>
                <w:color w:val="auto"/>
                <w:spacing w:val="0"/>
                <w:sz w:val="24"/>
                <w:szCs w:val="24"/>
                <w:highlight w:val="none"/>
                <w:u w:val="none" w:color="auto"/>
              </w:rPr>
              <w:t>是否配备必要的应急物资和应急装备（包括应急监测）</w:t>
            </w:r>
          </w:p>
        </w:tc>
        <w:tc>
          <w:tcPr>
            <w:tcW w:w="4674" w:type="dxa"/>
            <w:tcBorders>
              <w:tl2br w:val="nil"/>
              <w:tr2bl w:val="nil"/>
            </w:tcBorders>
            <w:noWrap/>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firstLine="0" w:firstLineChars="0"/>
              <w:jc w:val="center"/>
              <w:textAlignment w:val="auto"/>
              <w:rPr>
                <w:rFonts w:hint="eastAsia" w:ascii="宋体" w:hAnsi="宋体" w:eastAsia="宋体" w:cs="宋体"/>
                <w:bCs/>
                <w:caps w:val="0"/>
                <w:smallCaps w:val="0"/>
                <w:color w:val="auto"/>
                <w:spacing w:val="0"/>
                <w:sz w:val="24"/>
                <w:szCs w:val="24"/>
                <w:highlight w:val="none"/>
                <w:u w:val="none" w:color="auto"/>
              </w:rPr>
            </w:pPr>
            <w:r>
              <w:rPr>
                <w:rFonts w:hint="eastAsia" w:ascii="宋体" w:hAnsi="宋体" w:eastAsia="宋体" w:cs="宋体"/>
                <w:bCs/>
                <w:caps w:val="0"/>
                <w:smallCaps w:val="0"/>
                <w:color w:val="auto"/>
                <w:spacing w:val="0"/>
                <w:sz w:val="24"/>
                <w:szCs w:val="24"/>
                <w:highlight w:val="none"/>
                <w:u w:val="none" w:color="auto"/>
              </w:rPr>
              <w:t>已配备部分应急物资和应急装备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834" w:hRule="atLeast"/>
          <w:jc w:val="center"/>
        </w:trPr>
        <w:tc>
          <w:tcPr>
            <w:tcW w:w="562" w:type="dxa"/>
            <w:vMerge w:val="continue"/>
            <w:tcBorders>
              <w:tl2br w:val="nil"/>
              <w:tr2bl w:val="nil"/>
            </w:tcBorders>
            <w:noWrap/>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firstLine="0" w:firstLineChars="0"/>
              <w:jc w:val="center"/>
              <w:textAlignment w:val="auto"/>
              <w:rPr>
                <w:rFonts w:hint="eastAsia" w:ascii="宋体" w:hAnsi="宋体" w:eastAsia="宋体" w:cs="宋体"/>
                <w:bCs/>
                <w:caps w:val="0"/>
                <w:smallCaps w:val="0"/>
                <w:color w:val="auto"/>
                <w:spacing w:val="0"/>
                <w:sz w:val="24"/>
                <w:szCs w:val="24"/>
                <w:highlight w:val="none"/>
                <w:u w:val="none" w:color="auto"/>
              </w:rPr>
            </w:pPr>
          </w:p>
        </w:tc>
        <w:tc>
          <w:tcPr>
            <w:tcW w:w="3283" w:type="dxa"/>
            <w:tcBorders>
              <w:tl2br w:val="nil"/>
              <w:tr2bl w:val="nil"/>
            </w:tcBorders>
            <w:noWrap/>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firstLine="0" w:firstLineChars="0"/>
              <w:jc w:val="center"/>
              <w:textAlignment w:val="auto"/>
              <w:rPr>
                <w:rFonts w:hint="eastAsia" w:ascii="宋体" w:hAnsi="宋体" w:eastAsia="宋体" w:cs="宋体"/>
                <w:bCs/>
                <w:caps w:val="0"/>
                <w:smallCaps w:val="0"/>
                <w:color w:val="auto"/>
                <w:spacing w:val="0"/>
                <w:sz w:val="24"/>
                <w:szCs w:val="24"/>
                <w:highlight w:val="none"/>
                <w:u w:val="none" w:color="auto"/>
              </w:rPr>
            </w:pPr>
            <w:r>
              <w:rPr>
                <w:rFonts w:hint="eastAsia" w:ascii="宋体" w:hAnsi="宋体" w:eastAsia="宋体" w:cs="宋体"/>
                <w:bCs/>
                <w:caps w:val="0"/>
                <w:smallCaps w:val="0"/>
                <w:color w:val="auto"/>
                <w:spacing w:val="0"/>
                <w:sz w:val="24"/>
                <w:szCs w:val="24"/>
                <w:highlight w:val="none"/>
                <w:u w:val="none" w:color="auto"/>
              </w:rPr>
              <w:t>是否已设置专职或兼职人员组成的应急救援队伍</w:t>
            </w:r>
          </w:p>
        </w:tc>
        <w:tc>
          <w:tcPr>
            <w:tcW w:w="4674" w:type="dxa"/>
            <w:tcBorders>
              <w:tl2br w:val="nil"/>
              <w:tr2bl w:val="nil"/>
            </w:tcBorders>
            <w:noWrap/>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firstLine="0" w:firstLineChars="0"/>
              <w:jc w:val="center"/>
              <w:textAlignment w:val="auto"/>
              <w:rPr>
                <w:rFonts w:hint="eastAsia" w:ascii="宋体" w:hAnsi="宋体" w:eastAsia="宋体" w:cs="宋体"/>
                <w:bCs/>
                <w:caps w:val="0"/>
                <w:smallCaps w:val="0"/>
                <w:color w:val="auto"/>
                <w:spacing w:val="0"/>
                <w:sz w:val="24"/>
                <w:szCs w:val="24"/>
                <w:highlight w:val="none"/>
                <w:u w:val="none" w:color="auto"/>
              </w:rPr>
            </w:pPr>
            <w:r>
              <w:rPr>
                <w:rFonts w:hint="eastAsia" w:ascii="宋体" w:hAnsi="宋体" w:eastAsia="宋体" w:cs="宋体"/>
                <w:bCs/>
                <w:caps w:val="0"/>
                <w:smallCaps w:val="0"/>
                <w:color w:val="auto"/>
                <w:spacing w:val="0"/>
                <w:sz w:val="24"/>
                <w:szCs w:val="24"/>
                <w:highlight w:val="none"/>
                <w:u w:val="none" w:color="auto"/>
              </w:rPr>
              <w:t>应急救援队伍由应急指挥部和各应急救援队组成，一旦发生事故由应急指挥部统一调动</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105" w:hRule="atLeast"/>
          <w:jc w:val="center"/>
        </w:trPr>
        <w:tc>
          <w:tcPr>
            <w:tcW w:w="562" w:type="dxa"/>
            <w:vMerge w:val="continue"/>
            <w:tcBorders>
              <w:tl2br w:val="nil"/>
              <w:tr2bl w:val="nil"/>
            </w:tcBorders>
            <w:noWrap/>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firstLine="0" w:firstLineChars="0"/>
              <w:jc w:val="center"/>
              <w:textAlignment w:val="auto"/>
              <w:rPr>
                <w:rFonts w:hint="eastAsia" w:ascii="宋体" w:hAnsi="宋体" w:eastAsia="宋体" w:cs="宋体"/>
                <w:bCs/>
                <w:caps w:val="0"/>
                <w:smallCaps w:val="0"/>
                <w:color w:val="auto"/>
                <w:spacing w:val="0"/>
                <w:sz w:val="24"/>
                <w:szCs w:val="24"/>
                <w:highlight w:val="none"/>
                <w:u w:val="none" w:color="auto"/>
              </w:rPr>
            </w:pPr>
          </w:p>
        </w:tc>
        <w:tc>
          <w:tcPr>
            <w:tcW w:w="3283" w:type="dxa"/>
            <w:tcBorders>
              <w:tl2br w:val="nil"/>
              <w:tr2bl w:val="nil"/>
            </w:tcBorders>
            <w:noWrap/>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firstLine="0" w:firstLineChars="0"/>
              <w:jc w:val="center"/>
              <w:textAlignment w:val="auto"/>
              <w:rPr>
                <w:rFonts w:hint="eastAsia" w:ascii="宋体" w:hAnsi="宋体" w:eastAsia="宋体" w:cs="宋体"/>
                <w:bCs/>
                <w:caps w:val="0"/>
                <w:smallCaps w:val="0"/>
                <w:color w:val="auto"/>
                <w:spacing w:val="0"/>
                <w:sz w:val="24"/>
                <w:szCs w:val="24"/>
                <w:highlight w:val="none"/>
                <w:u w:val="none" w:color="auto"/>
              </w:rPr>
            </w:pPr>
            <w:r>
              <w:rPr>
                <w:rFonts w:hint="eastAsia" w:ascii="宋体" w:hAnsi="宋体" w:eastAsia="宋体" w:cs="宋体"/>
                <w:bCs/>
                <w:caps w:val="0"/>
                <w:smallCaps w:val="0"/>
                <w:color w:val="auto"/>
                <w:spacing w:val="0"/>
                <w:sz w:val="24"/>
                <w:szCs w:val="24"/>
                <w:highlight w:val="none"/>
                <w:u w:val="none" w:color="auto"/>
              </w:rPr>
              <w:t>是否与其他组织或单位签订应急救援协议或互救协议（包括应急物资、应急装备和救援队伍等情况）</w:t>
            </w:r>
          </w:p>
        </w:tc>
        <w:tc>
          <w:tcPr>
            <w:tcW w:w="4674" w:type="dxa"/>
            <w:tcBorders>
              <w:tl2br w:val="nil"/>
              <w:tr2bl w:val="nil"/>
            </w:tcBorders>
            <w:noWrap/>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firstLine="0" w:firstLineChars="0"/>
              <w:jc w:val="center"/>
              <w:textAlignment w:val="auto"/>
              <w:rPr>
                <w:rFonts w:hint="eastAsia" w:ascii="宋体" w:hAnsi="宋体" w:eastAsia="宋体" w:cs="宋体"/>
                <w:bCs/>
                <w:caps w:val="0"/>
                <w:smallCaps w:val="0"/>
                <w:color w:val="auto"/>
                <w:spacing w:val="0"/>
                <w:sz w:val="24"/>
                <w:szCs w:val="24"/>
                <w:highlight w:val="none"/>
                <w:u w:val="none" w:color="auto"/>
                <w:lang w:val="en-US" w:eastAsia="zh-CN"/>
              </w:rPr>
            </w:pPr>
            <w:r>
              <w:rPr>
                <w:rFonts w:hint="eastAsia" w:ascii="宋体" w:hAnsi="宋体" w:eastAsia="宋体" w:cs="宋体"/>
                <w:bCs/>
                <w:caps w:val="0"/>
                <w:smallCaps w:val="0"/>
                <w:color w:val="auto"/>
                <w:spacing w:val="0"/>
                <w:sz w:val="24"/>
                <w:szCs w:val="24"/>
                <w:highlight w:val="none"/>
                <w:u w:val="none" w:color="auto"/>
              </w:rPr>
              <w:t>一旦发生公司应急资源无法满足的事故情况，可及时联系外部救援</w:t>
            </w:r>
            <w:r>
              <w:rPr>
                <w:rFonts w:hint="eastAsia" w:ascii="宋体" w:hAnsi="宋体" w:eastAsia="宋体" w:cs="宋体"/>
                <w:bCs/>
                <w:caps w:val="0"/>
                <w:smallCaps w:val="0"/>
                <w:color w:val="auto"/>
                <w:spacing w:val="0"/>
                <w:sz w:val="24"/>
                <w:szCs w:val="24"/>
                <w:highlight w:val="none"/>
                <w:u w:val="none" w:color="auto"/>
                <w:lang w:eastAsia="zh-CN"/>
              </w:rPr>
              <w:t>，</w:t>
            </w:r>
            <w:r>
              <w:rPr>
                <w:rFonts w:hint="eastAsia" w:ascii="宋体" w:hAnsi="宋体" w:eastAsia="宋体" w:cs="宋体"/>
                <w:bCs/>
                <w:caps w:val="0"/>
                <w:smallCaps w:val="0"/>
                <w:color w:val="auto"/>
                <w:spacing w:val="0"/>
                <w:sz w:val="24"/>
                <w:szCs w:val="24"/>
                <w:highlight w:val="none"/>
                <w:u w:val="none" w:color="auto"/>
                <w:lang w:val="en-US" w:eastAsia="zh-CN"/>
              </w:rPr>
              <w:t>已签订互救协议</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93" w:hRule="atLeast"/>
          <w:jc w:val="center"/>
        </w:trPr>
        <w:tc>
          <w:tcPr>
            <w:tcW w:w="562" w:type="dxa"/>
            <w:tcBorders>
              <w:tl2br w:val="nil"/>
              <w:tr2bl w:val="nil"/>
            </w:tcBorders>
            <w:noWrap/>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firstLine="0" w:firstLineChars="0"/>
              <w:jc w:val="center"/>
              <w:textAlignment w:val="auto"/>
              <w:rPr>
                <w:rFonts w:hint="eastAsia" w:ascii="宋体" w:hAnsi="宋体" w:eastAsia="宋体" w:cs="宋体"/>
                <w:bCs/>
                <w:caps w:val="0"/>
                <w:smallCaps w:val="0"/>
                <w:color w:val="auto"/>
                <w:spacing w:val="0"/>
                <w:sz w:val="24"/>
                <w:szCs w:val="24"/>
                <w:highlight w:val="none"/>
                <w:u w:val="none" w:color="auto"/>
              </w:rPr>
            </w:pPr>
            <w:r>
              <w:rPr>
                <w:rFonts w:hint="eastAsia" w:ascii="宋体" w:hAnsi="宋体" w:eastAsia="宋体" w:cs="宋体"/>
                <w:bCs/>
                <w:caps w:val="0"/>
                <w:smallCaps w:val="0"/>
                <w:color w:val="auto"/>
                <w:spacing w:val="0"/>
                <w:sz w:val="24"/>
                <w:szCs w:val="24"/>
                <w:highlight w:val="none"/>
                <w:u w:val="none" w:color="auto"/>
              </w:rPr>
              <w:t>历史经验教训总结</w:t>
            </w:r>
          </w:p>
        </w:tc>
        <w:tc>
          <w:tcPr>
            <w:tcW w:w="3283" w:type="dxa"/>
            <w:tcBorders>
              <w:tl2br w:val="nil"/>
              <w:tr2bl w:val="nil"/>
            </w:tcBorders>
            <w:noWrap/>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firstLine="0" w:firstLineChars="0"/>
              <w:jc w:val="center"/>
              <w:textAlignment w:val="auto"/>
              <w:rPr>
                <w:rFonts w:hint="eastAsia" w:ascii="宋体" w:hAnsi="宋体" w:eastAsia="宋体" w:cs="宋体"/>
                <w:bCs/>
                <w:caps w:val="0"/>
                <w:smallCaps w:val="0"/>
                <w:color w:val="auto"/>
                <w:spacing w:val="0"/>
                <w:sz w:val="24"/>
                <w:szCs w:val="24"/>
                <w:highlight w:val="none"/>
                <w:u w:val="none" w:color="auto"/>
              </w:rPr>
            </w:pPr>
            <w:r>
              <w:rPr>
                <w:rFonts w:hint="eastAsia" w:ascii="宋体" w:hAnsi="宋体" w:eastAsia="宋体" w:cs="宋体"/>
                <w:bCs/>
                <w:caps w:val="0"/>
                <w:smallCaps w:val="0"/>
                <w:color w:val="auto"/>
                <w:spacing w:val="0"/>
                <w:sz w:val="24"/>
                <w:szCs w:val="24"/>
                <w:highlight w:val="none"/>
                <w:u w:val="none" w:color="auto"/>
              </w:rPr>
              <w:t>分析、总结历史上同类型企业或涉及相同环境风险物质的企业发生突发环境事件的经验教训，对照检查本单位是否有防止类似事件发生的措施</w:t>
            </w:r>
          </w:p>
        </w:tc>
        <w:tc>
          <w:tcPr>
            <w:tcW w:w="4674" w:type="dxa"/>
            <w:tcBorders>
              <w:tl2br w:val="nil"/>
              <w:tr2bl w:val="nil"/>
            </w:tcBorders>
            <w:noWrap/>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firstLine="0" w:firstLineChars="0"/>
              <w:jc w:val="center"/>
              <w:textAlignment w:val="auto"/>
              <w:rPr>
                <w:rFonts w:hint="eastAsia" w:ascii="宋体" w:hAnsi="宋体" w:eastAsia="宋体" w:cs="宋体"/>
                <w:bCs/>
                <w:caps w:val="0"/>
                <w:smallCaps w:val="0"/>
                <w:color w:val="auto"/>
                <w:spacing w:val="0"/>
                <w:sz w:val="24"/>
                <w:szCs w:val="24"/>
                <w:highlight w:val="none"/>
                <w:u w:val="none" w:color="auto"/>
              </w:rPr>
            </w:pPr>
            <w:r>
              <w:rPr>
                <w:rFonts w:hint="eastAsia" w:ascii="宋体" w:hAnsi="宋体" w:eastAsia="宋体" w:cs="宋体"/>
                <w:bCs/>
                <w:caps w:val="0"/>
                <w:smallCaps w:val="0"/>
                <w:color w:val="auto"/>
                <w:spacing w:val="0"/>
                <w:sz w:val="24"/>
                <w:szCs w:val="24"/>
                <w:highlight w:val="none"/>
                <w:u w:val="none" w:color="auto"/>
              </w:rPr>
              <w:t>根据历史经验教训企业制定了详细的公司管理制度，针对各单元制定严格的操作规程，如（污水处理操作规程，安全操作规程），生产区十四个不准，进入容器、设备的八个必须，防治违章动火六大禁令，操作工的六严格，机动车辆七大禁令；定期加强职工的安全教育和安全技术训练；加强防火和防护组织及设施，严格事故管理</w:t>
            </w:r>
          </w:p>
        </w:tc>
      </w:tr>
    </w:tbl>
    <w:p>
      <w:pPr>
        <w:keepNext/>
        <w:keepLines/>
        <w:widowControl w:val="0"/>
        <w:numPr>
          <w:ilvl w:val="1"/>
          <w:numId w:val="1"/>
        </w:numPr>
        <w:bidi w:val="0"/>
        <w:spacing w:line="520" w:lineRule="exact"/>
        <w:ind w:firstLine="0" w:firstLineChars="0"/>
        <w:jc w:val="left"/>
        <w:outlineLvl w:val="1"/>
        <w:rPr>
          <w:rFonts w:hint="eastAsia" w:ascii="宋体" w:hAnsi="宋体" w:eastAsia="宋体" w:cs="宋体"/>
          <w:b/>
          <w:bCs/>
          <w:kern w:val="2"/>
          <w:sz w:val="28"/>
          <w:szCs w:val="32"/>
          <w:lang w:val="en-US" w:eastAsia="zh-CN" w:bidi="ar-SA"/>
        </w:rPr>
      </w:pPr>
      <w:bookmarkStart w:id="150" w:name="_Toc7781"/>
      <w:r>
        <w:rPr>
          <w:rFonts w:hint="eastAsia" w:ascii="宋体" w:hAnsi="宋体" w:eastAsia="宋体" w:cs="宋体"/>
          <w:b/>
          <w:bCs/>
          <w:kern w:val="2"/>
          <w:sz w:val="28"/>
          <w:szCs w:val="32"/>
          <w:lang w:val="en-US" w:eastAsia="zh-CN" w:bidi="ar-SA"/>
        </w:rPr>
        <w:t>4.4企业总平面布置</w:t>
      </w:r>
      <w:bookmarkEnd w:id="127"/>
      <w:bookmarkEnd w:id="128"/>
      <w:bookmarkEnd w:id="150"/>
    </w:p>
    <w:p>
      <w:pPr>
        <w:pageBreakBefore w:val="0"/>
        <w:kinsoku/>
        <w:wordWrap/>
        <w:bidi w:val="0"/>
        <w:spacing w:line="360" w:lineRule="auto"/>
        <w:ind w:left="0" w:leftChars="0" w:right="0" w:firstLine="560" w:firstLineChars="200"/>
        <w:rPr>
          <w:rFonts w:hint="eastAsia" w:ascii="宋体" w:hAnsi="宋体" w:eastAsia="宋体" w:cs="宋体"/>
          <w:caps w:val="0"/>
          <w:smallCaps w:val="0"/>
          <w:color w:val="auto"/>
          <w:spacing w:val="0"/>
          <w:sz w:val="28"/>
          <w:szCs w:val="28"/>
          <w:highlight w:val="none"/>
          <w:u w:val="none" w:color="auto"/>
          <w:lang w:val="en-US" w:eastAsia="zh-CN"/>
        </w:rPr>
      </w:pPr>
      <w:r>
        <w:rPr>
          <w:rFonts w:hint="eastAsia" w:ascii="宋体" w:hAnsi="宋体" w:eastAsia="宋体" w:cs="宋体"/>
          <w:caps w:val="0"/>
          <w:smallCaps w:val="0"/>
          <w:color w:val="auto"/>
          <w:spacing w:val="0"/>
          <w:sz w:val="28"/>
          <w:szCs w:val="28"/>
          <w:highlight w:val="none"/>
          <w:u w:val="none" w:color="auto"/>
          <w:lang w:val="zh-CN" w:eastAsia="zh-CN"/>
        </w:rPr>
        <w:t>三门峡新鑫源科技有限公司厂区占地面积</w:t>
      </w:r>
      <w:r>
        <w:rPr>
          <w:rFonts w:hint="eastAsia" w:ascii="宋体" w:hAnsi="宋体" w:eastAsia="宋体" w:cs="宋体"/>
          <w:caps w:val="0"/>
          <w:smallCaps w:val="0"/>
          <w:color w:val="auto"/>
          <w:spacing w:val="0"/>
          <w:sz w:val="28"/>
          <w:szCs w:val="28"/>
          <w:highlight w:val="none"/>
          <w:u w:val="none" w:color="auto"/>
          <w:lang w:val="en-US" w:eastAsia="zh-CN"/>
        </w:rPr>
        <w:t>100</w:t>
      </w:r>
      <w:r>
        <w:rPr>
          <w:rFonts w:hint="eastAsia" w:ascii="宋体" w:hAnsi="宋体" w:eastAsia="宋体" w:cs="宋体"/>
          <w:caps w:val="0"/>
          <w:smallCaps w:val="0"/>
          <w:color w:val="auto"/>
          <w:spacing w:val="0"/>
          <w:sz w:val="28"/>
          <w:szCs w:val="28"/>
          <w:highlight w:val="none"/>
          <w:u w:val="none" w:color="auto"/>
          <w:lang w:val="zh-CN" w:eastAsia="zh-CN"/>
        </w:rPr>
        <w:t>亩，</w:t>
      </w:r>
      <w:r>
        <w:rPr>
          <w:rFonts w:hint="eastAsia" w:ascii="宋体" w:hAnsi="宋体" w:eastAsia="宋体" w:cs="宋体"/>
          <w:caps w:val="0"/>
          <w:smallCaps w:val="0"/>
          <w:color w:val="auto"/>
          <w:spacing w:val="0"/>
          <w:sz w:val="28"/>
          <w:szCs w:val="28"/>
          <w:highlight w:val="none"/>
          <w:u w:val="none" w:color="auto"/>
          <w:lang w:val="en-US" w:eastAsia="zh-CN"/>
        </w:rPr>
        <w:t>项目用地性质为三类工业用地，项目总平面布置见附图3。</w:t>
      </w:r>
    </w:p>
    <w:p>
      <w:pPr>
        <w:pageBreakBefore w:val="0"/>
        <w:kinsoku/>
        <w:wordWrap/>
        <w:bidi w:val="0"/>
        <w:spacing w:line="360" w:lineRule="auto"/>
        <w:ind w:right="0"/>
        <w:rPr>
          <w:rFonts w:hint="eastAsia" w:ascii="宋体" w:hAnsi="宋体" w:eastAsia="宋体" w:cs="宋体"/>
          <w:caps w:val="0"/>
          <w:smallCaps w:val="0"/>
          <w:color w:val="auto"/>
          <w:spacing w:val="0"/>
          <w:sz w:val="28"/>
          <w:szCs w:val="28"/>
          <w:highlight w:val="none"/>
          <w:u w:val="none" w:color="auto"/>
          <w:lang w:val="zh-CN" w:eastAsia="zh-CN"/>
        </w:rPr>
      </w:pPr>
      <w:bookmarkStart w:id="151" w:name="_Toc12751"/>
      <w:r>
        <w:rPr>
          <w:rFonts w:hint="eastAsia" w:ascii="宋体" w:hAnsi="宋体" w:eastAsia="宋体" w:cs="宋体"/>
          <w:b/>
          <w:bCs/>
          <w:kern w:val="2"/>
          <w:sz w:val="28"/>
          <w:szCs w:val="32"/>
          <w:lang w:val="en-US" w:eastAsia="zh-CN" w:bidi="ar-SA"/>
        </w:rPr>
        <w:t>4</w:t>
      </w:r>
      <w:r>
        <w:rPr>
          <w:rFonts w:hint="eastAsia" w:ascii="宋体" w:hAnsi="宋体" w:eastAsia="宋体" w:cs="宋体"/>
          <w:b/>
          <w:bCs/>
          <w:caps w:val="0"/>
          <w:smallCaps w:val="0"/>
          <w:color w:val="auto"/>
          <w:spacing w:val="0"/>
          <w:sz w:val="28"/>
          <w:szCs w:val="28"/>
          <w:highlight w:val="none"/>
          <w:u w:val="none" w:color="auto"/>
          <w:lang w:val="en-US" w:eastAsia="zh-CN"/>
        </w:rPr>
        <w:t>.</w:t>
      </w:r>
      <w:bookmarkEnd w:id="129"/>
      <w:bookmarkEnd w:id="130"/>
      <w:bookmarkEnd w:id="131"/>
      <w:bookmarkEnd w:id="132"/>
      <w:bookmarkEnd w:id="133"/>
      <w:bookmarkEnd w:id="134"/>
      <w:bookmarkEnd w:id="135"/>
      <w:bookmarkEnd w:id="136"/>
      <w:bookmarkEnd w:id="137"/>
      <w:bookmarkEnd w:id="138"/>
      <w:bookmarkEnd w:id="139"/>
      <w:bookmarkEnd w:id="140"/>
      <w:bookmarkEnd w:id="141"/>
      <w:r>
        <w:rPr>
          <w:rFonts w:hint="eastAsia" w:ascii="宋体" w:hAnsi="宋体" w:eastAsia="宋体" w:cs="宋体"/>
          <w:b/>
          <w:bCs/>
          <w:caps w:val="0"/>
          <w:smallCaps w:val="0"/>
          <w:color w:val="auto"/>
          <w:spacing w:val="0"/>
          <w:sz w:val="28"/>
          <w:szCs w:val="28"/>
          <w:highlight w:val="none"/>
          <w:u w:val="none" w:color="auto"/>
          <w:lang w:val="en-US" w:eastAsia="zh-CN"/>
        </w:rPr>
        <w:t>5各重点场所、重点设施设备情况</w:t>
      </w:r>
      <w:bookmarkEnd w:id="151"/>
    </w:p>
    <w:p>
      <w:pPr>
        <w:pageBreakBefore w:val="0"/>
        <w:kinsoku/>
        <w:wordWrap/>
        <w:bidi w:val="0"/>
        <w:spacing w:line="360" w:lineRule="auto"/>
        <w:ind w:left="0" w:leftChars="0" w:right="0" w:firstLine="560" w:firstLineChars="200"/>
        <w:rPr>
          <w:rFonts w:hint="eastAsia" w:ascii="宋体" w:hAnsi="宋体" w:eastAsia="宋体" w:cs="宋体"/>
          <w:caps w:val="0"/>
          <w:smallCaps w:val="0"/>
          <w:color w:val="auto"/>
          <w:spacing w:val="0"/>
          <w:sz w:val="28"/>
          <w:szCs w:val="28"/>
          <w:highlight w:val="none"/>
          <w:u w:val="none" w:color="auto"/>
          <w:lang w:val="en-US" w:eastAsia="zh-CN"/>
        </w:rPr>
      </w:pPr>
      <w:r>
        <w:rPr>
          <w:rFonts w:hint="eastAsia" w:ascii="宋体" w:hAnsi="宋体" w:eastAsia="宋体" w:cs="宋体"/>
          <w:caps w:val="0"/>
          <w:smallCaps w:val="0"/>
          <w:color w:val="auto"/>
          <w:spacing w:val="0"/>
          <w:sz w:val="28"/>
          <w:szCs w:val="28"/>
          <w:highlight w:val="none"/>
          <w:u w:val="none" w:color="auto"/>
          <w:lang w:val="zh-CN" w:eastAsia="zh-CN"/>
        </w:rPr>
        <w:t>通过上述分析及设备设施情况的了解，确定该企业</w:t>
      </w:r>
      <w:r>
        <w:rPr>
          <w:rFonts w:hint="eastAsia" w:ascii="宋体" w:hAnsi="宋体" w:eastAsia="宋体" w:cs="宋体"/>
          <w:caps w:val="0"/>
          <w:smallCaps w:val="0"/>
          <w:color w:val="auto"/>
          <w:spacing w:val="0"/>
          <w:sz w:val="28"/>
          <w:szCs w:val="28"/>
          <w:highlight w:val="none"/>
          <w:u w:val="none" w:color="auto"/>
          <w:lang w:val="en-US" w:eastAsia="zh-CN"/>
        </w:rPr>
        <w:t>LNG储罐区及循环水池、消防水池、污水处理站及事故池、厌氧IC塔、综合车间及应急池、4-甲基二苯胺、固废、危废暂存间、1-4酸钠盐、尼文酸车间、1#2#仓库、甲酸乙酯车间、仓库及应急池、乙醇甲酸地埋罐、溴化氢车间（乙酸溶液）、二氯甲烷、双氧水、溴素储罐区、锅炉房缓冲池、冰醋酸储罐、酸碱储罐区、尼文酸应急池、4#仓库（甲苯、氯苯）、固废前处理车间、四溴应急池及缓冲池等为重点区域。</w:t>
      </w:r>
    </w:p>
    <w:p>
      <w:pPr>
        <w:pageBreakBefore w:val="0"/>
        <w:kinsoku/>
        <w:wordWrap/>
        <w:bidi w:val="0"/>
        <w:spacing w:line="360" w:lineRule="auto"/>
        <w:ind w:left="0" w:leftChars="0" w:right="0" w:firstLine="560" w:firstLineChars="200"/>
        <w:rPr>
          <w:rFonts w:hint="eastAsia" w:ascii="宋体" w:hAnsi="宋体" w:eastAsia="宋体" w:cs="宋体"/>
          <w:caps w:val="0"/>
          <w:smallCaps w:val="0"/>
          <w:color w:val="auto"/>
          <w:spacing w:val="0"/>
          <w:sz w:val="28"/>
          <w:szCs w:val="28"/>
          <w:highlight w:val="none"/>
          <w:u w:val="none" w:color="auto"/>
          <w:lang w:val="zh-CN" w:eastAsia="zh-CN"/>
        </w:rPr>
      </w:pPr>
      <w:r>
        <w:rPr>
          <w:rFonts w:hint="eastAsia" w:ascii="宋体" w:hAnsi="宋体" w:eastAsia="宋体" w:cs="宋体"/>
          <w:caps w:val="0"/>
          <w:smallCaps w:val="0"/>
          <w:color w:val="auto"/>
          <w:spacing w:val="0"/>
          <w:sz w:val="28"/>
          <w:szCs w:val="28"/>
          <w:highlight w:val="none"/>
          <w:u w:val="none" w:color="auto"/>
          <w:lang w:val="en-US" w:eastAsia="zh-CN"/>
        </w:rPr>
        <w:t>通过前期调查过程和对资料进行分析、总结和评价，根据各区域及设施信息、特征污染物类型、污染物进入土壤和地</w:t>
      </w:r>
      <w:r>
        <w:rPr>
          <w:rFonts w:hint="eastAsia" w:ascii="宋体" w:hAnsi="宋体" w:eastAsia="宋体" w:cs="宋体"/>
          <w:caps w:val="0"/>
          <w:smallCaps w:val="0"/>
          <w:color w:val="auto"/>
          <w:spacing w:val="0"/>
          <w:sz w:val="28"/>
          <w:szCs w:val="28"/>
          <w:highlight w:val="none"/>
          <w:u w:val="none" w:color="auto"/>
          <w:lang w:val="zh-CN" w:eastAsia="zh-CN"/>
        </w:rPr>
        <w:t>下水的途径等，识别企业内部存在土壤及地下水污染隐患的区域及设施，记录重点区域及设施相关信息。它们在生产经营活动中产生的污染物经大气流动、渗透、沉降到地面，可能对附近土壤造成污染详细见表</w:t>
      </w:r>
      <w:r>
        <w:rPr>
          <w:rFonts w:hint="eastAsia" w:ascii="宋体" w:hAnsi="宋体" w:eastAsia="宋体" w:cs="宋体"/>
          <w:caps w:val="0"/>
          <w:smallCaps w:val="0"/>
          <w:color w:val="auto"/>
          <w:spacing w:val="0"/>
          <w:sz w:val="28"/>
          <w:szCs w:val="28"/>
          <w:highlight w:val="none"/>
          <w:u w:val="none" w:color="auto"/>
          <w:lang w:val="en-US" w:eastAsia="zh-CN"/>
        </w:rPr>
        <w:t>4-6</w:t>
      </w:r>
      <w:r>
        <w:rPr>
          <w:rFonts w:hint="eastAsia" w:ascii="宋体" w:hAnsi="宋体" w:eastAsia="宋体" w:cs="宋体"/>
          <w:caps w:val="0"/>
          <w:smallCaps w:val="0"/>
          <w:color w:val="auto"/>
          <w:spacing w:val="0"/>
          <w:sz w:val="28"/>
          <w:szCs w:val="28"/>
          <w:highlight w:val="none"/>
          <w:u w:val="none" w:color="auto"/>
          <w:lang w:val="zh-CN" w:eastAsia="zh-CN"/>
        </w:rPr>
        <w:t>。</w:t>
      </w:r>
    </w:p>
    <w:p>
      <w:pPr>
        <w:widowControl w:val="0"/>
        <w:spacing w:line="520" w:lineRule="exact"/>
        <w:ind w:left="0" w:firstLine="0"/>
        <w:jc w:val="center"/>
        <w:outlineLvl w:val="9"/>
        <w:rPr>
          <w:rFonts w:hint="eastAsia" w:ascii="宋体" w:hAnsi="宋体" w:eastAsia="宋体" w:cs="宋体"/>
          <w:b/>
          <w:bCs/>
          <w:color w:val="auto"/>
          <w:kern w:val="2"/>
          <w:sz w:val="32"/>
          <w:szCs w:val="32"/>
          <w:lang w:val="zh-CN" w:eastAsia="zh-CN" w:bidi="zh-CN"/>
        </w:rPr>
      </w:pPr>
      <w:bookmarkStart w:id="152" w:name="_Toc5401"/>
      <w:bookmarkStart w:id="153" w:name="_Toc17448"/>
      <w:r>
        <w:rPr>
          <w:rFonts w:hint="eastAsia" w:ascii="宋体" w:hAnsi="宋体" w:eastAsia="宋体" w:cs="宋体"/>
          <w:b/>
          <w:bCs/>
          <w:kern w:val="2"/>
          <w:sz w:val="24"/>
          <w:szCs w:val="24"/>
          <w:lang w:val="zh-CN" w:eastAsia="zh-CN" w:bidi="zh-CN"/>
        </w:rPr>
        <w:t>表4-</w:t>
      </w:r>
      <w:r>
        <w:rPr>
          <w:rFonts w:hint="eastAsia" w:ascii="宋体" w:hAnsi="宋体" w:eastAsia="宋体" w:cs="宋体"/>
          <w:b/>
          <w:bCs/>
          <w:kern w:val="2"/>
          <w:sz w:val="24"/>
          <w:szCs w:val="24"/>
          <w:lang w:val="en-US" w:eastAsia="zh-CN" w:bidi="zh-CN"/>
        </w:rPr>
        <w:t>6</w:t>
      </w:r>
      <w:r>
        <w:rPr>
          <w:rFonts w:hint="eastAsia" w:ascii="宋体" w:hAnsi="宋体" w:eastAsia="宋体" w:cs="宋体"/>
          <w:b/>
          <w:bCs/>
          <w:kern w:val="2"/>
          <w:sz w:val="24"/>
          <w:szCs w:val="24"/>
          <w:lang w:val="zh-CN" w:eastAsia="zh-CN" w:bidi="zh-CN"/>
        </w:rPr>
        <w:t>重点场所及重点设备清单</w:t>
      </w:r>
      <w:bookmarkEnd w:id="152"/>
      <w:bookmarkEnd w:id="153"/>
    </w:p>
    <w:tbl>
      <w:tblPr>
        <w:tblStyle w:val="21"/>
        <w:tblW w:w="5084"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703"/>
        <w:gridCol w:w="961"/>
        <w:gridCol w:w="938"/>
        <w:gridCol w:w="554"/>
        <w:gridCol w:w="1816"/>
        <w:gridCol w:w="1398"/>
        <w:gridCol w:w="869"/>
        <w:gridCol w:w="814"/>
        <w:gridCol w:w="519"/>
        <w:gridCol w:w="87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8" w:hRule="atLeast"/>
          <w:jc w:val="center"/>
        </w:trPr>
        <w:tc>
          <w:tcPr>
            <w:tcW w:w="37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eastAsia" w:ascii="宋体" w:hAnsi="宋体" w:eastAsia="宋体" w:cs="宋体"/>
                <w:color w:val="auto"/>
                <w:sz w:val="21"/>
                <w:szCs w:val="21"/>
                <w:highlight w:val="none"/>
                <w:u w:val="none"/>
              </w:rPr>
            </w:pPr>
            <w:r>
              <w:rPr>
                <w:rFonts w:hint="eastAsia" w:ascii="宋体" w:hAnsi="宋体" w:eastAsia="宋体" w:cs="宋体"/>
                <w:color w:val="auto"/>
                <w:sz w:val="21"/>
                <w:szCs w:val="21"/>
                <w:highlight w:val="none"/>
                <w:u w:val="none"/>
              </w:rPr>
              <w:t>企业名称</w:t>
            </w:r>
          </w:p>
        </w:tc>
        <w:tc>
          <w:tcPr>
            <w:tcW w:w="4627" w:type="pct"/>
            <w:gridSpan w:val="9"/>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eastAsia" w:ascii="宋体" w:hAnsi="宋体" w:eastAsia="宋体" w:cs="宋体"/>
                <w:color w:val="auto"/>
                <w:sz w:val="21"/>
                <w:szCs w:val="21"/>
                <w:highlight w:val="none"/>
                <w:u w:val="none"/>
                <w:lang w:val="en-US" w:eastAsia="zh-CN"/>
              </w:rPr>
            </w:pPr>
            <w:r>
              <w:rPr>
                <w:rFonts w:hint="eastAsia" w:ascii="宋体" w:hAnsi="宋体" w:eastAsia="宋体" w:cs="宋体"/>
                <w:color w:val="auto"/>
                <w:sz w:val="21"/>
                <w:szCs w:val="21"/>
                <w:highlight w:val="none"/>
                <w:u w:val="none"/>
                <w:lang w:val="en-US" w:eastAsia="zh-CN"/>
              </w:rPr>
              <w:t>三门峡新鑫源科技有限公司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8" w:hRule="atLeast"/>
          <w:jc w:val="center"/>
        </w:trPr>
        <w:tc>
          <w:tcPr>
            <w:tcW w:w="37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eastAsia" w:ascii="宋体" w:hAnsi="宋体" w:eastAsia="宋体" w:cs="宋体"/>
                <w:color w:val="auto"/>
                <w:sz w:val="21"/>
                <w:szCs w:val="21"/>
                <w:highlight w:val="none"/>
                <w:u w:val="none"/>
                <w:lang w:eastAsia="zh-CN"/>
              </w:rPr>
            </w:pPr>
            <w:r>
              <w:rPr>
                <w:rFonts w:hint="eastAsia" w:ascii="宋体" w:hAnsi="宋体" w:eastAsia="宋体" w:cs="宋体"/>
                <w:color w:val="auto"/>
                <w:sz w:val="21"/>
                <w:szCs w:val="21"/>
                <w:highlight w:val="none"/>
                <w:u w:val="none"/>
                <w:lang w:eastAsia="zh-CN"/>
              </w:rPr>
              <w:t>填写日期</w:t>
            </w:r>
          </w:p>
        </w:tc>
        <w:tc>
          <w:tcPr>
            <w:tcW w:w="1299" w:type="pct"/>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eastAsia" w:ascii="宋体" w:hAnsi="宋体" w:eastAsia="宋体" w:cs="宋体"/>
                <w:color w:val="auto"/>
                <w:sz w:val="21"/>
                <w:szCs w:val="21"/>
                <w:highlight w:val="none"/>
                <w:u w:val="none"/>
                <w:lang w:val="en-US" w:eastAsia="zh-CN"/>
              </w:rPr>
            </w:pPr>
            <w:r>
              <w:rPr>
                <w:rFonts w:hint="eastAsia" w:ascii="宋体" w:hAnsi="宋体" w:cs="宋体"/>
                <w:color w:val="auto"/>
                <w:sz w:val="21"/>
                <w:szCs w:val="21"/>
                <w:highlight w:val="none"/>
                <w:u w:val="none"/>
                <w:lang w:val="en-US" w:eastAsia="zh-CN"/>
              </w:rPr>
              <w:t>2023年6月</w:t>
            </w:r>
          </w:p>
        </w:tc>
        <w:tc>
          <w:tcPr>
            <w:tcW w:w="96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eastAsia" w:ascii="宋体" w:hAnsi="宋体" w:eastAsia="宋体" w:cs="宋体"/>
                <w:color w:val="auto"/>
                <w:sz w:val="21"/>
                <w:szCs w:val="21"/>
                <w:highlight w:val="none"/>
                <w:u w:val="none"/>
                <w:lang w:eastAsia="zh-CN"/>
              </w:rPr>
            </w:pPr>
            <w:r>
              <w:rPr>
                <w:rFonts w:hint="eastAsia" w:ascii="宋体" w:hAnsi="宋体" w:eastAsia="宋体" w:cs="宋体"/>
                <w:color w:val="auto"/>
                <w:sz w:val="21"/>
                <w:szCs w:val="21"/>
                <w:highlight w:val="none"/>
                <w:u w:val="none"/>
                <w:lang w:eastAsia="zh-CN"/>
              </w:rPr>
              <w:t>填报人员</w:t>
            </w:r>
          </w:p>
        </w:tc>
        <w:tc>
          <w:tcPr>
            <w:tcW w:w="74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eastAsia" w:ascii="宋体" w:hAnsi="宋体" w:eastAsia="宋体" w:cs="宋体"/>
                <w:color w:val="auto"/>
                <w:sz w:val="21"/>
                <w:szCs w:val="21"/>
                <w:highlight w:val="none"/>
                <w:u w:val="none"/>
                <w:lang w:val="en-US" w:eastAsia="zh-CN"/>
              </w:rPr>
            </w:pPr>
            <w:r>
              <w:rPr>
                <w:rFonts w:hint="eastAsia" w:ascii="宋体" w:hAnsi="宋体" w:eastAsia="宋体" w:cs="宋体"/>
                <w:color w:val="auto"/>
                <w:sz w:val="21"/>
                <w:szCs w:val="21"/>
                <w:highlight w:val="none"/>
                <w:u w:val="none"/>
                <w:lang w:val="en-US" w:eastAsia="zh-CN"/>
              </w:rPr>
              <w:t>薛慧忠</w:t>
            </w:r>
          </w:p>
        </w:tc>
        <w:tc>
          <w:tcPr>
            <w:tcW w:w="45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eastAsia" w:ascii="宋体" w:hAnsi="宋体" w:eastAsia="宋体" w:cs="宋体"/>
                <w:color w:val="auto"/>
                <w:sz w:val="21"/>
                <w:szCs w:val="21"/>
                <w:highlight w:val="none"/>
                <w:u w:val="none"/>
                <w:lang w:eastAsia="zh-CN"/>
              </w:rPr>
            </w:pPr>
            <w:r>
              <w:rPr>
                <w:rFonts w:hint="eastAsia" w:ascii="宋体" w:hAnsi="宋体" w:eastAsia="宋体" w:cs="宋体"/>
                <w:color w:val="auto"/>
                <w:sz w:val="21"/>
                <w:szCs w:val="21"/>
                <w:highlight w:val="none"/>
                <w:u w:val="none"/>
                <w:lang w:eastAsia="zh-CN"/>
              </w:rPr>
              <w:t>联系方式</w:t>
            </w:r>
          </w:p>
        </w:tc>
        <w:tc>
          <w:tcPr>
            <w:tcW w:w="1167" w:type="pct"/>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eastAsia" w:ascii="宋体" w:hAnsi="宋体" w:eastAsia="宋体" w:cs="宋体"/>
                <w:color w:val="auto"/>
                <w:sz w:val="21"/>
                <w:szCs w:val="21"/>
                <w:highlight w:val="none"/>
                <w:u w:val="none"/>
                <w:lang w:val="en-US" w:eastAsia="zh-CN"/>
              </w:rPr>
            </w:pPr>
            <w:r>
              <w:rPr>
                <w:rFonts w:hint="eastAsia" w:ascii="宋体" w:hAnsi="宋体" w:eastAsia="宋体" w:cs="宋体"/>
                <w:color w:val="auto"/>
                <w:sz w:val="21"/>
                <w:szCs w:val="21"/>
                <w:highlight w:val="none"/>
                <w:u w:val="none"/>
                <w:lang w:val="en-US" w:eastAsia="zh-CN"/>
              </w:rPr>
              <w:t>13949799251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861" w:hRule="atLeast"/>
          <w:jc w:val="center"/>
        </w:trPr>
        <w:tc>
          <w:tcPr>
            <w:tcW w:w="37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eastAsia" w:ascii="宋体" w:hAnsi="宋体" w:eastAsia="宋体" w:cs="宋体"/>
                <w:color w:val="auto"/>
                <w:sz w:val="21"/>
                <w:szCs w:val="21"/>
                <w:highlight w:val="none"/>
                <w:u w:val="none"/>
                <w:lang w:val="en-US" w:eastAsia="zh-CN"/>
              </w:rPr>
            </w:pPr>
            <w:r>
              <w:rPr>
                <w:rFonts w:hint="eastAsia" w:ascii="宋体" w:hAnsi="宋体" w:eastAsia="宋体" w:cs="宋体"/>
                <w:color w:val="auto"/>
                <w:sz w:val="21"/>
                <w:szCs w:val="21"/>
                <w:highlight w:val="none"/>
                <w:u w:val="none"/>
                <w:lang w:eastAsia="zh-CN"/>
              </w:rPr>
              <w:t>序号</w:t>
            </w:r>
          </w:p>
        </w:tc>
        <w:tc>
          <w:tcPr>
            <w:tcW w:w="50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eastAsia" w:ascii="宋体" w:hAnsi="宋体" w:eastAsia="宋体" w:cs="宋体"/>
                <w:color w:val="auto"/>
                <w:sz w:val="21"/>
                <w:szCs w:val="21"/>
                <w:highlight w:val="none"/>
                <w:u w:val="none"/>
                <w:lang w:val="en-US" w:eastAsia="zh-CN"/>
              </w:rPr>
            </w:pPr>
            <w:r>
              <w:rPr>
                <w:rFonts w:hint="eastAsia" w:ascii="宋体" w:hAnsi="宋体" w:eastAsia="宋体" w:cs="宋体"/>
                <w:color w:val="auto"/>
                <w:sz w:val="21"/>
                <w:szCs w:val="21"/>
                <w:highlight w:val="none"/>
                <w:u w:val="none"/>
                <w:lang w:eastAsia="zh-CN"/>
              </w:rPr>
              <w:t>单元内需要检测的重点场所</w:t>
            </w:r>
          </w:p>
        </w:tc>
        <w:tc>
          <w:tcPr>
            <w:tcW w:w="49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eastAsia" w:ascii="宋体" w:hAnsi="宋体" w:eastAsia="宋体" w:cs="宋体"/>
                <w:color w:val="auto"/>
                <w:sz w:val="21"/>
                <w:szCs w:val="21"/>
                <w:highlight w:val="none"/>
                <w:u w:val="none"/>
              </w:rPr>
            </w:pPr>
            <w:r>
              <w:rPr>
                <w:rFonts w:hint="eastAsia" w:ascii="宋体" w:hAnsi="宋体" w:eastAsia="宋体" w:cs="宋体"/>
                <w:color w:val="auto"/>
                <w:sz w:val="21"/>
                <w:szCs w:val="21"/>
                <w:highlight w:val="none"/>
                <w:u w:val="none"/>
                <w:lang w:eastAsia="zh-CN"/>
              </w:rPr>
              <w:t>功能（即该重点场所</w:t>
            </w:r>
            <w:r>
              <w:rPr>
                <w:rFonts w:hint="eastAsia" w:ascii="宋体" w:hAnsi="宋体" w:eastAsia="宋体" w:cs="宋体"/>
                <w:color w:val="auto"/>
                <w:sz w:val="21"/>
                <w:szCs w:val="21"/>
                <w:highlight w:val="none"/>
                <w:u w:val="none"/>
                <w:lang w:val="en-US" w:eastAsia="zh-CN"/>
              </w:rPr>
              <w:t>/设施/设备实际的生产活动</w:t>
            </w:r>
            <w:r>
              <w:rPr>
                <w:rFonts w:hint="eastAsia" w:ascii="宋体" w:hAnsi="宋体" w:eastAsia="宋体" w:cs="宋体"/>
                <w:color w:val="auto"/>
                <w:sz w:val="21"/>
                <w:szCs w:val="21"/>
                <w:highlight w:val="none"/>
                <w:u w:val="none"/>
                <w:lang w:eastAsia="zh-CN"/>
              </w:rPr>
              <w:t>）</w:t>
            </w:r>
          </w:p>
        </w:tc>
        <w:tc>
          <w:tcPr>
            <w:tcW w:w="29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eastAsia" w:ascii="宋体" w:hAnsi="宋体" w:eastAsia="宋体" w:cs="宋体"/>
                <w:color w:val="auto"/>
                <w:sz w:val="21"/>
                <w:szCs w:val="21"/>
                <w:highlight w:val="none"/>
                <w:u w:val="none"/>
              </w:rPr>
            </w:pPr>
            <w:r>
              <w:rPr>
                <w:rFonts w:hint="eastAsia" w:ascii="宋体" w:hAnsi="宋体" w:eastAsia="宋体" w:cs="宋体"/>
                <w:color w:val="auto"/>
                <w:sz w:val="21"/>
                <w:szCs w:val="21"/>
                <w:highlight w:val="none"/>
                <w:u w:val="none"/>
                <w:lang w:eastAsia="zh-CN"/>
              </w:rPr>
              <w:t>涉及有毒有害物质清单</w:t>
            </w:r>
          </w:p>
        </w:tc>
        <w:tc>
          <w:tcPr>
            <w:tcW w:w="96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eastAsia" w:ascii="宋体" w:hAnsi="宋体" w:eastAsia="宋体" w:cs="宋体"/>
                <w:color w:val="auto"/>
                <w:sz w:val="21"/>
                <w:szCs w:val="21"/>
                <w:highlight w:val="none"/>
                <w:u w:val="none"/>
                <w:lang w:eastAsia="zh-CN"/>
              </w:rPr>
            </w:pPr>
            <w:r>
              <w:rPr>
                <w:rFonts w:hint="eastAsia" w:ascii="宋体" w:hAnsi="宋体" w:eastAsia="宋体" w:cs="宋体"/>
                <w:color w:val="auto"/>
                <w:sz w:val="21"/>
                <w:szCs w:val="21"/>
                <w:highlight w:val="none"/>
                <w:u w:val="none"/>
                <w:lang w:eastAsia="zh-CN"/>
              </w:rPr>
              <w:t>关注污染物（</w:t>
            </w:r>
            <w:r>
              <w:rPr>
                <w:rFonts w:hint="eastAsia" w:ascii="宋体" w:hAnsi="宋体" w:eastAsia="宋体" w:cs="宋体"/>
                <w:color w:val="auto"/>
                <w:sz w:val="21"/>
                <w:szCs w:val="21"/>
                <w:highlight w:val="none"/>
                <w:u w:val="none"/>
                <w:lang w:val="en-US" w:eastAsia="zh-CN"/>
              </w:rPr>
              <w:t>废水、废气等污染因子</w:t>
            </w:r>
            <w:r>
              <w:rPr>
                <w:rFonts w:hint="eastAsia" w:ascii="宋体" w:hAnsi="宋体" w:eastAsia="宋体" w:cs="宋体"/>
                <w:color w:val="auto"/>
                <w:sz w:val="21"/>
                <w:szCs w:val="21"/>
                <w:highlight w:val="none"/>
                <w:u w:val="none"/>
                <w:lang w:eastAsia="zh-CN"/>
              </w:rPr>
              <w:t>）</w:t>
            </w:r>
          </w:p>
        </w:tc>
        <w:tc>
          <w:tcPr>
            <w:tcW w:w="74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eastAsia" w:ascii="宋体" w:hAnsi="宋体" w:eastAsia="宋体" w:cs="宋体"/>
                <w:color w:val="auto"/>
                <w:sz w:val="21"/>
                <w:szCs w:val="21"/>
                <w:highlight w:val="none"/>
                <w:u w:val="none"/>
                <w:lang w:eastAsia="zh-CN"/>
              </w:rPr>
            </w:pPr>
            <w:r>
              <w:rPr>
                <w:rFonts w:hint="eastAsia" w:ascii="宋体" w:hAnsi="宋体" w:eastAsia="宋体" w:cs="宋体"/>
                <w:color w:val="auto"/>
                <w:sz w:val="21"/>
                <w:szCs w:val="21"/>
                <w:highlight w:val="none"/>
                <w:u w:val="none"/>
                <w:lang w:eastAsia="zh-CN"/>
              </w:rPr>
              <w:t>设施坐标</w:t>
            </w:r>
          </w:p>
        </w:tc>
        <w:tc>
          <w:tcPr>
            <w:tcW w:w="45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eastAsia" w:ascii="宋体" w:hAnsi="宋体" w:eastAsia="宋体" w:cs="宋体"/>
                <w:color w:val="auto"/>
                <w:sz w:val="21"/>
                <w:szCs w:val="21"/>
                <w:highlight w:val="none"/>
                <w:u w:val="none"/>
                <w:lang w:eastAsia="zh-CN"/>
              </w:rPr>
            </w:pPr>
            <w:r>
              <w:rPr>
                <w:rFonts w:hint="eastAsia" w:ascii="宋体" w:hAnsi="宋体" w:eastAsia="宋体" w:cs="宋体"/>
                <w:color w:val="auto"/>
                <w:sz w:val="21"/>
                <w:szCs w:val="21"/>
                <w:highlight w:val="none"/>
                <w:u w:val="none"/>
                <w:lang w:eastAsia="zh-CN"/>
              </w:rPr>
              <w:t>是否为隐蔽性设施</w:t>
            </w:r>
          </w:p>
        </w:tc>
        <w:tc>
          <w:tcPr>
            <w:tcW w:w="43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eastAsia" w:ascii="宋体" w:hAnsi="宋体" w:eastAsia="宋体" w:cs="宋体"/>
                <w:color w:val="auto"/>
                <w:sz w:val="21"/>
                <w:szCs w:val="21"/>
                <w:highlight w:val="none"/>
                <w:u w:val="none"/>
                <w:lang w:eastAsia="zh-CN"/>
              </w:rPr>
            </w:pPr>
            <w:r>
              <w:rPr>
                <w:rFonts w:hint="eastAsia" w:ascii="宋体" w:hAnsi="宋体" w:eastAsia="宋体" w:cs="宋体"/>
                <w:color w:val="auto"/>
                <w:sz w:val="21"/>
                <w:szCs w:val="21"/>
                <w:highlight w:val="none"/>
                <w:u w:val="none"/>
                <w:lang w:eastAsia="zh-CN"/>
              </w:rPr>
              <w:t>单元类别</w:t>
            </w:r>
          </w:p>
        </w:tc>
        <w:tc>
          <w:tcPr>
            <w:tcW w:w="736" w:type="pct"/>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eastAsia" w:ascii="宋体" w:hAnsi="宋体" w:eastAsia="宋体" w:cs="宋体"/>
                <w:color w:val="auto"/>
                <w:sz w:val="21"/>
                <w:szCs w:val="21"/>
                <w:highlight w:val="none"/>
                <w:u w:val="none"/>
              </w:rPr>
            </w:pPr>
            <w:r>
              <w:rPr>
                <w:rFonts w:hint="eastAsia" w:ascii="宋体" w:hAnsi="宋体" w:eastAsia="宋体" w:cs="宋体"/>
                <w:color w:val="auto"/>
                <w:sz w:val="21"/>
                <w:szCs w:val="21"/>
                <w:highlight w:val="none"/>
                <w:u w:val="none"/>
                <w:lang w:eastAsia="zh-CN"/>
              </w:rPr>
              <w:t>该单元对应的检测点位编号及坐标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35" w:hRule="atLeast"/>
          <w:jc w:val="center"/>
        </w:trPr>
        <w:tc>
          <w:tcPr>
            <w:tcW w:w="372"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eastAsia" w:ascii="宋体" w:hAnsi="宋体" w:eastAsia="宋体" w:cs="宋体"/>
                <w:color w:val="auto"/>
                <w:sz w:val="21"/>
                <w:szCs w:val="21"/>
                <w:highlight w:val="none"/>
                <w:u w:val="none"/>
                <w:lang w:val="en-US"/>
              </w:rPr>
            </w:pPr>
            <w:r>
              <w:rPr>
                <w:rFonts w:hint="eastAsia" w:ascii="宋体" w:hAnsi="宋体" w:eastAsia="宋体" w:cs="宋体"/>
                <w:color w:val="auto"/>
                <w:sz w:val="21"/>
                <w:szCs w:val="21"/>
                <w:highlight w:val="none"/>
                <w:u w:val="none"/>
                <w:lang w:eastAsia="zh-CN"/>
              </w:rPr>
              <w:t>单元</w:t>
            </w:r>
            <w:r>
              <w:rPr>
                <w:rFonts w:hint="eastAsia" w:ascii="宋体" w:hAnsi="宋体" w:eastAsia="宋体" w:cs="宋体"/>
                <w:color w:val="auto"/>
                <w:sz w:val="21"/>
                <w:szCs w:val="21"/>
                <w:highlight w:val="none"/>
                <w:u w:val="none"/>
                <w:lang w:val="en-US" w:eastAsia="zh-CN"/>
              </w:rPr>
              <w:t>A</w:t>
            </w:r>
          </w:p>
        </w:tc>
        <w:tc>
          <w:tcPr>
            <w:tcW w:w="508" w:type="pct"/>
            <w:noWrap w:val="0"/>
            <w:vAlign w:val="center"/>
          </w:tcPr>
          <w:p>
            <w:pPr>
              <w:keepNext w:val="0"/>
              <w:keepLines w:val="0"/>
              <w:pageBreakBefore w:val="0"/>
              <w:widowControl w:val="0"/>
              <w:numPr>
                <w:ilvl w:val="0"/>
                <w:numId w:val="0"/>
              </w:numPr>
              <w:kinsoku/>
              <w:wordWrap/>
              <w:overflowPunct/>
              <w:topLinePunct w:val="0"/>
              <w:autoSpaceDE/>
              <w:autoSpaceDN/>
              <w:bidi w:val="0"/>
              <w:spacing w:line="240" w:lineRule="exact"/>
              <w:ind w:left="0" w:leftChars="0" w:firstLine="0" w:firstLineChars="0"/>
              <w:jc w:val="center"/>
              <w:textAlignment w:val="auto"/>
              <w:rPr>
                <w:rFonts w:hint="eastAsia" w:ascii="宋体" w:hAnsi="宋体" w:eastAsia="宋体" w:cs="宋体"/>
                <w:b w:val="0"/>
                <w:bCs w:val="0"/>
                <w:color w:val="auto"/>
                <w:kern w:val="2"/>
                <w:sz w:val="21"/>
                <w:szCs w:val="21"/>
                <w:highlight w:val="none"/>
                <w:vertAlign w:val="baseline"/>
                <w:lang w:val="en-US" w:eastAsia="zh-CN" w:bidi="ar-SA"/>
              </w:rPr>
            </w:pPr>
            <w:r>
              <w:rPr>
                <w:rFonts w:hint="eastAsia" w:ascii="宋体" w:hAnsi="宋体" w:eastAsia="宋体" w:cs="宋体"/>
                <w:b w:val="0"/>
                <w:bCs w:val="0"/>
                <w:color w:val="auto"/>
                <w:sz w:val="21"/>
                <w:szCs w:val="21"/>
                <w:highlight w:val="none"/>
                <w:lang w:val="en-US" w:eastAsia="zh-CN"/>
              </w:rPr>
              <w:t>LNG储罐区及循环水池、消防水池</w:t>
            </w:r>
          </w:p>
        </w:tc>
        <w:tc>
          <w:tcPr>
            <w:tcW w:w="496" w:type="pct"/>
            <w:noWrap w:val="0"/>
            <w:vAlign w:val="center"/>
          </w:tcPr>
          <w:p>
            <w:pPr>
              <w:keepNext w:val="0"/>
              <w:keepLines w:val="0"/>
              <w:pageBreakBefore w:val="0"/>
              <w:widowControl w:val="0"/>
              <w:numPr>
                <w:ilvl w:val="0"/>
                <w:numId w:val="0"/>
              </w:numPr>
              <w:kinsoku/>
              <w:wordWrap/>
              <w:overflowPunct/>
              <w:topLinePunct w:val="0"/>
              <w:autoSpaceDE/>
              <w:autoSpaceDN/>
              <w:bidi w:val="0"/>
              <w:spacing w:line="240" w:lineRule="exact"/>
              <w:ind w:left="0" w:leftChars="0" w:firstLine="0" w:firstLineChars="0"/>
              <w:jc w:val="center"/>
              <w:textAlignment w:val="auto"/>
              <w:rPr>
                <w:rFonts w:hint="eastAsia" w:ascii="宋体" w:hAnsi="宋体" w:eastAsia="宋体" w:cs="宋体"/>
                <w:b w:val="0"/>
                <w:bCs w:val="0"/>
                <w:color w:val="auto"/>
                <w:kern w:val="2"/>
                <w:sz w:val="21"/>
                <w:szCs w:val="21"/>
                <w:highlight w:val="none"/>
                <w:vertAlign w:val="baseline"/>
                <w:lang w:val="en-US" w:eastAsia="zh-CN" w:bidi="ar-SA"/>
              </w:rPr>
            </w:pPr>
            <w:r>
              <w:rPr>
                <w:rFonts w:hint="eastAsia" w:ascii="宋体" w:hAnsi="宋体" w:eastAsia="宋体" w:cs="宋体"/>
                <w:b w:val="0"/>
                <w:bCs w:val="0"/>
                <w:color w:val="auto"/>
                <w:sz w:val="21"/>
                <w:szCs w:val="21"/>
                <w:highlight w:val="none"/>
                <w:lang w:val="en-US" w:eastAsia="zh-CN"/>
              </w:rPr>
              <w:t>LNG储罐区及循环水池、消防水池</w:t>
            </w:r>
          </w:p>
        </w:tc>
        <w:tc>
          <w:tcPr>
            <w:tcW w:w="29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eastAsia" w:ascii="宋体" w:hAnsi="宋体" w:eastAsia="宋体" w:cs="宋体"/>
                <w:color w:val="auto"/>
                <w:sz w:val="21"/>
                <w:szCs w:val="21"/>
                <w:highlight w:val="none"/>
                <w:u w:val="none"/>
                <w:lang w:val="en-US" w:eastAsia="zh-CN"/>
              </w:rPr>
            </w:pPr>
            <w:r>
              <w:rPr>
                <w:rFonts w:hint="eastAsia" w:ascii="宋体" w:hAnsi="宋体" w:eastAsia="宋体" w:cs="宋体"/>
                <w:color w:val="auto"/>
                <w:sz w:val="21"/>
                <w:szCs w:val="21"/>
                <w:highlight w:val="none"/>
                <w:u w:val="none"/>
                <w:lang w:val="en-US" w:eastAsia="zh-CN"/>
              </w:rPr>
              <w:t>/</w:t>
            </w:r>
          </w:p>
        </w:tc>
        <w:tc>
          <w:tcPr>
            <w:tcW w:w="96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eastAsia" w:ascii="宋体" w:hAnsi="宋体" w:eastAsia="宋体" w:cs="宋体"/>
                <w:color w:val="auto"/>
                <w:sz w:val="21"/>
                <w:szCs w:val="21"/>
                <w:highlight w:val="none"/>
                <w:u w:val="none"/>
                <w:lang w:val="en-US" w:eastAsia="zh-CN"/>
              </w:rPr>
            </w:pPr>
            <w:r>
              <w:rPr>
                <w:rFonts w:hint="eastAsia" w:ascii="宋体" w:hAnsi="宋体" w:eastAsia="宋体" w:cs="宋体"/>
                <w:color w:val="auto"/>
                <w:sz w:val="21"/>
                <w:szCs w:val="21"/>
                <w:highlight w:val="none"/>
                <w:u w:val="none"/>
                <w:lang w:val="en-US" w:eastAsia="zh-CN"/>
              </w:rPr>
              <w:t>氯化氢、溴离子、非甲烷总烃、硫酸雾、储罐呼吸废气等</w:t>
            </w:r>
          </w:p>
        </w:tc>
        <w:tc>
          <w:tcPr>
            <w:tcW w:w="740"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color w:val="auto"/>
                <w:kern w:val="0"/>
                <w:sz w:val="21"/>
                <w:szCs w:val="21"/>
                <w:highlight w:val="none"/>
              </w:rPr>
              <w:t>N</w:t>
            </w:r>
            <w:r>
              <w:rPr>
                <w:rFonts w:hint="eastAsia" w:ascii="宋体" w:hAnsi="宋体" w:eastAsia="宋体" w:cs="宋体"/>
                <w:color w:val="auto"/>
                <w:kern w:val="0"/>
                <w:sz w:val="21"/>
                <w:szCs w:val="21"/>
                <w:highlight w:val="none"/>
                <w:lang w:eastAsia="zh-CN"/>
              </w:rPr>
              <w:t>：</w:t>
            </w:r>
            <w:r>
              <w:rPr>
                <w:rFonts w:hint="eastAsia" w:ascii="宋体" w:hAnsi="宋体" w:eastAsia="宋体" w:cs="宋体"/>
                <w:color w:val="auto"/>
                <w:kern w:val="0"/>
                <w:sz w:val="21"/>
                <w:szCs w:val="21"/>
                <w:highlight w:val="none"/>
              </w:rPr>
              <w:t>3</w:t>
            </w:r>
            <w:r>
              <w:rPr>
                <w:rFonts w:hint="eastAsia" w:ascii="宋体" w:hAnsi="宋体" w:eastAsia="宋体" w:cs="宋体"/>
                <w:color w:val="auto"/>
                <w:kern w:val="0"/>
                <w:sz w:val="21"/>
                <w:szCs w:val="21"/>
                <w:highlight w:val="none"/>
                <w:lang w:val="en-US" w:eastAsia="zh-CN"/>
              </w:rPr>
              <w:t>4</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40</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31.148</w:t>
            </w:r>
            <w:r>
              <w:rPr>
                <w:rFonts w:hint="eastAsia" w:ascii="宋体" w:hAnsi="宋体" w:eastAsia="宋体" w:cs="宋体"/>
                <w:color w:val="auto"/>
                <w:kern w:val="0"/>
                <w:sz w:val="21"/>
                <w:szCs w:val="21"/>
                <w:highlight w:val="none"/>
              </w:rPr>
              <w:t>''E</w:t>
            </w:r>
            <w:r>
              <w:rPr>
                <w:rFonts w:hint="eastAsia" w:ascii="宋体" w:hAnsi="宋体" w:eastAsia="宋体" w:cs="宋体"/>
                <w:color w:val="auto"/>
                <w:kern w:val="0"/>
                <w:sz w:val="21"/>
                <w:szCs w:val="21"/>
                <w:highlight w:val="none"/>
                <w:lang w:eastAsia="zh-CN"/>
              </w:rPr>
              <w:t>：</w:t>
            </w:r>
            <w:r>
              <w:rPr>
                <w:rFonts w:hint="eastAsia" w:ascii="宋体" w:hAnsi="宋体" w:eastAsia="宋体" w:cs="宋体"/>
                <w:color w:val="auto"/>
                <w:kern w:val="0"/>
                <w:sz w:val="21"/>
                <w:szCs w:val="21"/>
                <w:highlight w:val="none"/>
              </w:rPr>
              <w:t>11</w:t>
            </w:r>
            <w:r>
              <w:rPr>
                <w:rFonts w:hint="eastAsia" w:ascii="宋体" w:hAnsi="宋体" w:eastAsia="宋体" w:cs="宋体"/>
                <w:color w:val="auto"/>
                <w:kern w:val="0"/>
                <w:sz w:val="21"/>
                <w:szCs w:val="21"/>
                <w:highlight w:val="none"/>
                <w:lang w:val="en-US" w:eastAsia="zh-CN"/>
              </w:rPr>
              <w:t>1</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35</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25.647</w:t>
            </w:r>
            <w:r>
              <w:rPr>
                <w:rFonts w:hint="eastAsia" w:ascii="宋体" w:hAnsi="宋体" w:eastAsia="宋体" w:cs="宋体"/>
                <w:color w:val="auto"/>
                <w:kern w:val="0"/>
                <w:sz w:val="21"/>
                <w:szCs w:val="21"/>
                <w:highlight w:val="none"/>
              </w:rPr>
              <w:t>''</w:t>
            </w:r>
          </w:p>
        </w:tc>
        <w:tc>
          <w:tcPr>
            <w:tcW w:w="45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eastAsia" w:ascii="宋体" w:hAnsi="宋体" w:eastAsia="宋体" w:cs="宋体"/>
                <w:color w:val="auto"/>
                <w:sz w:val="21"/>
                <w:szCs w:val="21"/>
                <w:highlight w:val="none"/>
                <w:u w:val="none"/>
                <w:lang w:eastAsia="zh-CN"/>
              </w:rPr>
            </w:pPr>
            <w:r>
              <w:rPr>
                <w:rFonts w:hint="eastAsia" w:ascii="宋体" w:hAnsi="宋体" w:eastAsia="宋体" w:cs="宋体"/>
                <w:color w:val="auto"/>
                <w:sz w:val="21"/>
                <w:szCs w:val="21"/>
                <w:highlight w:val="none"/>
                <w:u w:val="none"/>
                <w:lang w:eastAsia="zh-CN"/>
              </w:rPr>
              <w:t>否</w:t>
            </w:r>
          </w:p>
        </w:tc>
        <w:tc>
          <w:tcPr>
            <w:tcW w:w="43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eastAsia" w:ascii="宋体" w:hAnsi="宋体" w:eastAsia="宋体" w:cs="宋体"/>
                <w:color w:val="auto"/>
                <w:sz w:val="21"/>
                <w:szCs w:val="21"/>
                <w:highlight w:val="none"/>
                <w:u w:val="none"/>
                <w:lang w:eastAsia="zh-CN"/>
              </w:rPr>
            </w:pPr>
            <w:r>
              <w:rPr>
                <w:rFonts w:hint="eastAsia" w:ascii="宋体" w:hAnsi="宋体" w:eastAsia="宋体" w:cs="宋体"/>
                <w:color w:val="auto"/>
                <w:sz w:val="21"/>
                <w:szCs w:val="21"/>
                <w:highlight w:val="none"/>
                <w:u w:val="none"/>
                <w:lang w:eastAsia="zh-CN"/>
              </w:rPr>
              <w:t>二类</w:t>
            </w:r>
          </w:p>
        </w:tc>
        <w:tc>
          <w:tcPr>
            <w:tcW w:w="274"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eastAsia" w:ascii="宋体" w:hAnsi="宋体" w:eastAsia="宋体" w:cs="宋体"/>
                <w:color w:val="auto"/>
                <w:sz w:val="21"/>
                <w:szCs w:val="21"/>
                <w:highlight w:val="none"/>
                <w:u w:val="none"/>
                <w:lang w:eastAsia="zh-CN"/>
              </w:rPr>
            </w:pPr>
            <w:r>
              <w:rPr>
                <w:rFonts w:hint="eastAsia" w:ascii="宋体" w:hAnsi="宋体" w:eastAsia="宋体" w:cs="宋体"/>
                <w:color w:val="auto"/>
                <w:sz w:val="21"/>
                <w:szCs w:val="21"/>
                <w:highlight w:val="none"/>
                <w:u w:val="none"/>
                <w:lang w:eastAsia="zh-CN"/>
              </w:rPr>
              <w:t>土壤</w:t>
            </w:r>
          </w:p>
        </w:tc>
        <w:tc>
          <w:tcPr>
            <w:tcW w:w="46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eastAsia" w:ascii="宋体" w:hAnsi="宋体" w:eastAsia="宋体" w:cs="宋体"/>
                <w:color w:val="auto"/>
                <w:sz w:val="21"/>
                <w:szCs w:val="21"/>
                <w:highlight w:val="none"/>
                <w:u w:val="none"/>
                <w:lang w:val="en-US" w:eastAsia="zh-CN"/>
              </w:rPr>
            </w:pPr>
            <w:r>
              <w:rPr>
                <w:rFonts w:hint="eastAsia" w:ascii="宋体" w:hAnsi="宋体" w:eastAsia="宋体" w:cs="宋体"/>
                <w:color w:val="auto"/>
                <w:sz w:val="21"/>
                <w:szCs w:val="21"/>
                <w:highlight w:val="none"/>
                <w:u w:val="none"/>
                <w:lang w:val="en-US" w:eastAsia="zh-CN"/>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46" w:hRule="atLeast"/>
          <w:jc w:val="center"/>
        </w:trPr>
        <w:tc>
          <w:tcPr>
            <w:tcW w:w="372"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eastAsia" w:ascii="宋体" w:hAnsi="宋体" w:eastAsia="宋体" w:cs="宋体"/>
                <w:color w:val="auto"/>
                <w:sz w:val="21"/>
                <w:szCs w:val="21"/>
                <w:highlight w:val="none"/>
                <w:u w:val="none"/>
                <w:lang w:eastAsia="zh-CN"/>
              </w:rPr>
            </w:pPr>
          </w:p>
        </w:tc>
        <w:tc>
          <w:tcPr>
            <w:tcW w:w="508" w:type="pct"/>
            <w:noWrap w:val="0"/>
            <w:vAlign w:val="center"/>
          </w:tcPr>
          <w:p>
            <w:pPr>
              <w:keepNext w:val="0"/>
              <w:keepLines w:val="0"/>
              <w:pageBreakBefore w:val="0"/>
              <w:widowControl w:val="0"/>
              <w:numPr>
                <w:ilvl w:val="0"/>
                <w:numId w:val="0"/>
              </w:numPr>
              <w:kinsoku/>
              <w:wordWrap/>
              <w:overflowPunct/>
              <w:topLinePunct w:val="0"/>
              <w:autoSpaceDE/>
              <w:autoSpaceDN/>
              <w:bidi w:val="0"/>
              <w:spacing w:line="240" w:lineRule="exact"/>
              <w:ind w:left="0" w:leftChars="0" w:firstLine="0" w:firstLineChars="0"/>
              <w:jc w:val="center"/>
              <w:textAlignment w:val="auto"/>
              <w:rPr>
                <w:rFonts w:hint="eastAsia" w:ascii="宋体" w:hAnsi="宋体" w:eastAsia="宋体" w:cs="宋体"/>
                <w:b w:val="0"/>
                <w:bCs w:val="0"/>
                <w:color w:val="auto"/>
                <w:kern w:val="2"/>
                <w:sz w:val="21"/>
                <w:szCs w:val="21"/>
                <w:highlight w:val="none"/>
                <w:vertAlign w:val="baseline"/>
                <w:lang w:val="en-US" w:eastAsia="zh-CN" w:bidi="ar-SA"/>
              </w:rPr>
            </w:pPr>
            <w:r>
              <w:rPr>
                <w:rFonts w:hint="eastAsia" w:ascii="宋体" w:hAnsi="宋体" w:eastAsia="宋体" w:cs="宋体"/>
                <w:b w:val="0"/>
                <w:bCs w:val="0"/>
                <w:color w:val="auto"/>
                <w:sz w:val="21"/>
                <w:szCs w:val="21"/>
                <w:highlight w:val="none"/>
                <w:lang w:val="en-US" w:eastAsia="zh-CN"/>
              </w:rPr>
              <w:t>污水处理站及事故池、厌氧IC塔</w:t>
            </w:r>
          </w:p>
        </w:tc>
        <w:tc>
          <w:tcPr>
            <w:tcW w:w="496" w:type="pct"/>
            <w:noWrap w:val="0"/>
            <w:vAlign w:val="center"/>
          </w:tcPr>
          <w:p>
            <w:pPr>
              <w:keepNext w:val="0"/>
              <w:keepLines w:val="0"/>
              <w:pageBreakBefore w:val="0"/>
              <w:widowControl w:val="0"/>
              <w:numPr>
                <w:ilvl w:val="0"/>
                <w:numId w:val="0"/>
              </w:numPr>
              <w:kinsoku/>
              <w:wordWrap/>
              <w:overflowPunct/>
              <w:topLinePunct w:val="0"/>
              <w:autoSpaceDE/>
              <w:autoSpaceDN/>
              <w:bidi w:val="0"/>
              <w:spacing w:line="240" w:lineRule="exact"/>
              <w:ind w:left="0" w:leftChars="0" w:firstLine="0" w:firstLineChars="0"/>
              <w:jc w:val="center"/>
              <w:textAlignment w:val="auto"/>
              <w:rPr>
                <w:rFonts w:hint="eastAsia" w:ascii="宋体" w:hAnsi="宋体" w:eastAsia="宋体" w:cs="宋体"/>
                <w:b w:val="0"/>
                <w:bCs w:val="0"/>
                <w:color w:val="auto"/>
                <w:kern w:val="2"/>
                <w:sz w:val="21"/>
                <w:szCs w:val="21"/>
                <w:highlight w:val="none"/>
                <w:vertAlign w:val="baseline"/>
                <w:lang w:val="en-US" w:eastAsia="zh-CN" w:bidi="ar-SA"/>
              </w:rPr>
            </w:pPr>
            <w:r>
              <w:rPr>
                <w:rFonts w:hint="eastAsia" w:ascii="宋体" w:hAnsi="宋体" w:eastAsia="宋体" w:cs="宋体"/>
                <w:b w:val="0"/>
                <w:bCs w:val="0"/>
                <w:color w:val="auto"/>
                <w:sz w:val="21"/>
                <w:szCs w:val="21"/>
                <w:highlight w:val="none"/>
                <w:lang w:val="en-US" w:eastAsia="zh-CN"/>
              </w:rPr>
              <w:t>污水处理站及事故池、厌氧IC塔</w:t>
            </w:r>
          </w:p>
        </w:tc>
        <w:tc>
          <w:tcPr>
            <w:tcW w:w="293"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w:t>
            </w:r>
          </w:p>
        </w:tc>
        <w:tc>
          <w:tcPr>
            <w:tcW w:w="961" w:type="pct"/>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firstLine="0" w:firstLineChars="0"/>
              <w:jc w:val="left"/>
              <w:textAlignment w:val="auto"/>
              <w:rPr>
                <w:rFonts w:hint="eastAsia" w:ascii="宋体" w:hAnsi="宋体" w:eastAsia="宋体" w:cs="宋体"/>
                <w:color w:val="auto"/>
                <w:highlight w:val="none"/>
              </w:rPr>
            </w:pPr>
            <w:r>
              <w:rPr>
                <w:rFonts w:hint="eastAsia" w:ascii="宋体" w:hAnsi="宋体" w:eastAsia="宋体" w:cs="宋体"/>
                <w:color w:val="auto"/>
                <w:kern w:val="0"/>
                <w:sz w:val="21"/>
                <w:szCs w:val="21"/>
                <w:highlight w:val="none"/>
                <w:lang w:val="en-US" w:eastAsia="zh-CN" w:bidi="ar"/>
              </w:rPr>
              <w:t>化学需氧量,氨氮、总氮、总磷、</w:t>
            </w:r>
          </w:p>
          <w:p>
            <w:pPr>
              <w:keepNext w:val="0"/>
              <w:keepLines w:val="0"/>
              <w:pageBreakBefore w:val="0"/>
              <w:widowControl/>
              <w:suppressLineNumbers w:val="0"/>
              <w:kinsoku/>
              <w:wordWrap/>
              <w:overflowPunct/>
              <w:topLinePunct w:val="0"/>
              <w:autoSpaceDE/>
              <w:autoSpaceDN/>
              <w:bidi w:val="0"/>
              <w:adjustRightInd w:val="0"/>
              <w:snapToGrid w:val="0"/>
              <w:spacing w:line="240" w:lineRule="exact"/>
              <w:ind w:firstLine="0" w:firstLineChars="0"/>
              <w:jc w:val="left"/>
              <w:textAlignment w:val="auto"/>
              <w:rPr>
                <w:rFonts w:hint="default"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bidi="ar"/>
              </w:rPr>
              <w:t>pH值、色度、五日生化需氧量、悬浮物、总有机碳、石油类、硫化物、氟化物、挥发酚、可吸附有机卤化物、溶解性总固体（全盐类）等</w:t>
            </w:r>
          </w:p>
        </w:tc>
        <w:tc>
          <w:tcPr>
            <w:tcW w:w="740"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rPr>
              <w:t>N</w:t>
            </w:r>
            <w:r>
              <w:rPr>
                <w:rFonts w:hint="eastAsia" w:ascii="宋体" w:hAnsi="宋体" w:eastAsia="宋体" w:cs="宋体"/>
                <w:color w:val="auto"/>
                <w:kern w:val="0"/>
                <w:sz w:val="21"/>
                <w:szCs w:val="21"/>
                <w:highlight w:val="none"/>
                <w:lang w:eastAsia="zh-CN"/>
              </w:rPr>
              <w:t>：</w:t>
            </w:r>
            <w:r>
              <w:rPr>
                <w:rFonts w:hint="eastAsia" w:ascii="宋体" w:hAnsi="宋体" w:eastAsia="宋体" w:cs="宋体"/>
                <w:color w:val="auto"/>
                <w:kern w:val="0"/>
                <w:sz w:val="21"/>
                <w:szCs w:val="21"/>
                <w:highlight w:val="none"/>
              </w:rPr>
              <w:t>3</w:t>
            </w:r>
            <w:r>
              <w:rPr>
                <w:rFonts w:hint="eastAsia" w:ascii="宋体" w:hAnsi="宋体" w:eastAsia="宋体" w:cs="宋体"/>
                <w:color w:val="auto"/>
                <w:kern w:val="0"/>
                <w:sz w:val="21"/>
                <w:szCs w:val="21"/>
                <w:highlight w:val="none"/>
                <w:lang w:val="en-US" w:eastAsia="zh-CN"/>
              </w:rPr>
              <w:t>4</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40</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29.957</w:t>
            </w:r>
            <w:r>
              <w:rPr>
                <w:rFonts w:hint="eastAsia" w:ascii="宋体" w:hAnsi="宋体" w:eastAsia="宋体" w:cs="宋体"/>
                <w:color w:val="auto"/>
                <w:kern w:val="0"/>
                <w:sz w:val="21"/>
                <w:szCs w:val="21"/>
                <w:highlight w:val="none"/>
              </w:rPr>
              <w:t>''E</w:t>
            </w:r>
            <w:r>
              <w:rPr>
                <w:rFonts w:hint="eastAsia" w:ascii="宋体" w:hAnsi="宋体" w:eastAsia="宋体" w:cs="宋体"/>
                <w:color w:val="auto"/>
                <w:kern w:val="0"/>
                <w:sz w:val="21"/>
                <w:szCs w:val="21"/>
                <w:highlight w:val="none"/>
                <w:lang w:eastAsia="zh-CN"/>
              </w:rPr>
              <w:t>：</w:t>
            </w:r>
            <w:r>
              <w:rPr>
                <w:rFonts w:hint="eastAsia" w:ascii="宋体" w:hAnsi="宋体" w:eastAsia="宋体" w:cs="宋体"/>
                <w:color w:val="auto"/>
                <w:kern w:val="0"/>
                <w:sz w:val="21"/>
                <w:szCs w:val="21"/>
                <w:highlight w:val="none"/>
              </w:rPr>
              <w:t>11</w:t>
            </w:r>
            <w:r>
              <w:rPr>
                <w:rFonts w:hint="eastAsia" w:ascii="宋体" w:hAnsi="宋体" w:eastAsia="宋体" w:cs="宋体"/>
                <w:color w:val="auto"/>
                <w:kern w:val="0"/>
                <w:sz w:val="21"/>
                <w:szCs w:val="21"/>
                <w:highlight w:val="none"/>
                <w:lang w:val="en-US" w:eastAsia="zh-CN"/>
              </w:rPr>
              <w:t>1</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35</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28.930</w:t>
            </w:r>
            <w:r>
              <w:rPr>
                <w:rFonts w:hint="eastAsia" w:ascii="宋体" w:hAnsi="宋体" w:eastAsia="宋体" w:cs="宋体"/>
                <w:color w:val="auto"/>
                <w:kern w:val="0"/>
                <w:sz w:val="21"/>
                <w:szCs w:val="21"/>
                <w:highlight w:val="none"/>
              </w:rPr>
              <w:t>''</w:t>
            </w:r>
          </w:p>
        </w:tc>
        <w:tc>
          <w:tcPr>
            <w:tcW w:w="459"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sz w:val="21"/>
                <w:szCs w:val="21"/>
                <w:highlight w:val="none"/>
                <w:u w:val="none"/>
                <w:lang w:eastAsia="zh-CN"/>
              </w:rPr>
              <w:t>否</w:t>
            </w:r>
          </w:p>
        </w:tc>
        <w:tc>
          <w:tcPr>
            <w:tcW w:w="430"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sz w:val="21"/>
                <w:szCs w:val="21"/>
                <w:highlight w:val="none"/>
                <w:u w:val="none"/>
                <w:lang w:eastAsia="zh-CN"/>
              </w:rPr>
              <w:t>二类</w:t>
            </w:r>
          </w:p>
        </w:tc>
        <w:tc>
          <w:tcPr>
            <w:tcW w:w="274" w:type="pct"/>
            <w:vMerge w:val="continue"/>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eastAsia" w:ascii="宋体" w:hAnsi="宋体" w:eastAsia="宋体" w:cs="宋体"/>
                <w:color w:val="auto"/>
                <w:kern w:val="0"/>
                <w:sz w:val="21"/>
                <w:szCs w:val="21"/>
                <w:highlight w:val="none"/>
                <w:lang w:val="en-US" w:eastAsia="zh-CN"/>
              </w:rPr>
            </w:pPr>
          </w:p>
        </w:tc>
        <w:tc>
          <w:tcPr>
            <w:tcW w:w="461"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35" w:hRule="atLeast"/>
          <w:jc w:val="center"/>
        </w:trPr>
        <w:tc>
          <w:tcPr>
            <w:tcW w:w="372"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eastAsia" w:ascii="宋体" w:hAnsi="宋体" w:eastAsia="宋体" w:cs="宋体"/>
                <w:color w:val="auto"/>
                <w:sz w:val="21"/>
                <w:szCs w:val="21"/>
                <w:highlight w:val="none"/>
                <w:u w:val="none"/>
                <w:lang w:eastAsia="zh-CN"/>
              </w:rPr>
            </w:pPr>
          </w:p>
        </w:tc>
        <w:tc>
          <w:tcPr>
            <w:tcW w:w="508" w:type="pct"/>
            <w:noWrap w:val="0"/>
            <w:vAlign w:val="center"/>
          </w:tcPr>
          <w:p>
            <w:pPr>
              <w:keepNext w:val="0"/>
              <w:keepLines w:val="0"/>
              <w:pageBreakBefore w:val="0"/>
              <w:widowControl w:val="0"/>
              <w:numPr>
                <w:ilvl w:val="0"/>
                <w:numId w:val="0"/>
              </w:numPr>
              <w:kinsoku/>
              <w:wordWrap/>
              <w:overflowPunct/>
              <w:topLinePunct w:val="0"/>
              <w:autoSpaceDE/>
              <w:autoSpaceDN/>
              <w:bidi w:val="0"/>
              <w:spacing w:line="240" w:lineRule="exact"/>
              <w:ind w:left="0" w:leftChars="0" w:firstLine="0" w:firstLineChars="0"/>
              <w:jc w:val="center"/>
              <w:textAlignment w:val="auto"/>
              <w:rPr>
                <w:rFonts w:hint="eastAsia" w:ascii="宋体" w:hAnsi="宋体" w:eastAsia="宋体" w:cs="宋体"/>
                <w:b w:val="0"/>
                <w:bCs w:val="0"/>
                <w:color w:val="auto"/>
                <w:kern w:val="2"/>
                <w:sz w:val="21"/>
                <w:szCs w:val="21"/>
                <w:highlight w:val="none"/>
                <w:vertAlign w:val="baseline"/>
                <w:lang w:val="en-US" w:eastAsia="zh-CN" w:bidi="ar-SA"/>
              </w:rPr>
            </w:pPr>
            <w:r>
              <w:rPr>
                <w:rFonts w:hint="eastAsia" w:ascii="宋体" w:hAnsi="宋体" w:eastAsia="宋体" w:cs="宋体"/>
                <w:b w:val="0"/>
                <w:bCs w:val="0"/>
                <w:color w:val="auto"/>
                <w:sz w:val="21"/>
                <w:szCs w:val="21"/>
                <w:highlight w:val="none"/>
                <w:lang w:val="en-US" w:eastAsia="zh-CN"/>
              </w:rPr>
              <w:t>综合车间及应急池、4-甲基二苯胺</w:t>
            </w:r>
          </w:p>
        </w:tc>
        <w:tc>
          <w:tcPr>
            <w:tcW w:w="496" w:type="pct"/>
            <w:noWrap w:val="0"/>
            <w:vAlign w:val="center"/>
          </w:tcPr>
          <w:p>
            <w:pPr>
              <w:keepNext w:val="0"/>
              <w:keepLines w:val="0"/>
              <w:pageBreakBefore w:val="0"/>
              <w:widowControl w:val="0"/>
              <w:numPr>
                <w:ilvl w:val="0"/>
                <w:numId w:val="0"/>
              </w:numPr>
              <w:kinsoku/>
              <w:wordWrap/>
              <w:overflowPunct/>
              <w:topLinePunct w:val="0"/>
              <w:autoSpaceDE/>
              <w:autoSpaceDN/>
              <w:bidi w:val="0"/>
              <w:spacing w:line="240" w:lineRule="exact"/>
              <w:ind w:left="0" w:leftChars="0" w:firstLine="0" w:firstLineChars="0"/>
              <w:jc w:val="center"/>
              <w:textAlignment w:val="auto"/>
              <w:rPr>
                <w:rFonts w:hint="eastAsia" w:ascii="宋体" w:hAnsi="宋体" w:eastAsia="宋体" w:cs="宋体"/>
                <w:b w:val="0"/>
                <w:bCs w:val="0"/>
                <w:color w:val="auto"/>
                <w:kern w:val="2"/>
                <w:sz w:val="21"/>
                <w:szCs w:val="21"/>
                <w:highlight w:val="none"/>
                <w:vertAlign w:val="baseline"/>
                <w:lang w:val="en-US" w:eastAsia="zh-CN" w:bidi="ar-SA"/>
              </w:rPr>
            </w:pPr>
            <w:r>
              <w:rPr>
                <w:rFonts w:hint="eastAsia" w:ascii="宋体" w:hAnsi="宋体" w:eastAsia="宋体" w:cs="宋体"/>
                <w:b w:val="0"/>
                <w:bCs w:val="0"/>
                <w:color w:val="auto"/>
                <w:sz w:val="21"/>
                <w:szCs w:val="21"/>
                <w:highlight w:val="none"/>
                <w:lang w:val="en-US" w:eastAsia="zh-CN"/>
              </w:rPr>
              <w:t>综合车间及应急池、4-甲基二苯胺</w:t>
            </w:r>
          </w:p>
        </w:tc>
        <w:tc>
          <w:tcPr>
            <w:tcW w:w="293"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w:t>
            </w:r>
          </w:p>
        </w:tc>
        <w:tc>
          <w:tcPr>
            <w:tcW w:w="961" w:type="pct"/>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firstLine="0" w:firstLineChars="0"/>
              <w:jc w:val="center"/>
              <w:textAlignment w:val="auto"/>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
              </w:rPr>
              <w:t>溴化氢,非甲烷总烃等</w:t>
            </w:r>
          </w:p>
        </w:tc>
        <w:tc>
          <w:tcPr>
            <w:tcW w:w="740"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rPr>
              <w:t>N</w:t>
            </w:r>
            <w:r>
              <w:rPr>
                <w:rFonts w:hint="eastAsia" w:ascii="宋体" w:hAnsi="宋体" w:eastAsia="宋体" w:cs="宋体"/>
                <w:color w:val="auto"/>
                <w:kern w:val="0"/>
                <w:sz w:val="21"/>
                <w:szCs w:val="21"/>
                <w:highlight w:val="none"/>
                <w:lang w:eastAsia="zh-CN"/>
              </w:rPr>
              <w:t>：</w:t>
            </w:r>
            <w:r>
              <w:rPr>
                <w:rFonts w:hint="eastAsia" w:ascii="宋体" w:hAnsi="宋体" w:eastAsia="宋体" w:cs="宋体"/>
                <w:color w:val="auto"/>
                <w:kern w:val="0"/>
                <w:sz w:val="21"/>
                <w:szCs w:val="21"/>
                <w:highlight w:val="none"/>
              </w:rPr>
              <w:t>3</w:t>
            </w:r>
            <w:r>
              <w:rPr>
                <w:rFonts w:hint="eastAsia" w:ascii="宋体" w:hAnsi="宋体" w:eastAsia="宋体" w:cs="宋体"/>
                <w:color w:val="auto"/>
                <w:kern w:val="0"/>
                <w:sz w:val="21"/>
                <w:szCs w:val="21"/>
                <w:highlight w:val="none"/>
                <w:lang w:val="en-US" w:eastAsia="zh-CN"/>
              </w:rPr>
              <w:t>4</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40</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28.416</w:t>
            </w:r>
            <w:r>
              <w:rPr>
                <w:rFonts w:hint="eastAsia" w:ascii="宋体" w:hAnsi="宋体" w:eastAsia="宋体" w:cs="宋体"/>
                <w:color w:val="auto"/>
                <w:kern w:val="0"/>
                <w:sz w:val="21"/>
                <w:szCs w:val="21"/>
                <w:highlight w:val="none"/>
              </w:rPr>
              <w:t>''E</w:t>
            </w:r>
            <w:r>
              <w:rPr>
                <w:rFonts w:hint="eastAsia" w:ascii="宋体" w:hAnsi="宋体" w:eastAsia="宋体" w:cs="宋体"/>
                <w:color w:val="auto"/>
                <w:kern w:val="0"/>
                <w:sz w:val="21"/>
                <w:szCs w:val="21"/>
                <w:highlight w:val="none"/>
                <w:lang w:eastAsia="zh-CN"/>
              </w:rPr>
              <w:t>：</w:t>
            </w:r>
            <w:r>
              <w:rPr>
                <w:rFonts w:hint="eastAsia" w:ascii="宋体" w:hAnsi="宋体" w:eastAsia="宋体" w:cs="宋体"/>
                <w:color w:val="auto"/>
                <w:kern w:val="0"/>
                <w:sz w:val="21"/>
                <w:szCs w:val="21"/>
                <w:highlight w:val="none"/>
              </w:rPr>
              <w:t>11</w:t>
            </w:r>
            <w:r>
              <w:rPr>
                <w:rFonts w:hint="eastAsia" w:ascii="宋体" w:hAnsi="宋体" w:eastAsia="宋体" w:cs="宋体"/>
                <w:color w:val="auto"/>
                <w:kern w:val="0"/>
                <w:sz w:val="21"/>
                <w:szCs w:val="21"/>
                <w:highlight w:val="none"/>
                <w:lang w:val="en-US" w:eastAsia="zh-CN"/>
              </w:rPr>
              <w:t>1</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35</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28.003</w:t>
            </w:r>
            <w:r>
              <w:rPr>
                <w:rFonts w:hint="eastAsia" w:ascii="宋体" w:hAnsi="宋体" w:eastAsia="宋体" w:cs="宋体"/>
                <w:color w:val="auto"/>
                <w:kern w:val="0"/>
                <w:sz w:val="21"/>
                <w:szCs w:val="21"/>
                <w:highlight w:val="none"/>
              </w:rPr>
              <w:t>''</w:t>
            </w:r>
          </w:p>
        </w:tc>
        <w:tc>
          <w:tcPr>
            <w:tcW w:w="459"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sz w:val="21"/>
                <w:szCs w:val="21"/>
                <w:highlight w:val="none"/>
                <w:u w:val="none"/>
                <w:lang w:eastAsia="zh-CN"/>
              </w:rPr>
              <w:t>否</w:t>
            </w:r>
          </w:p>
        </w:tc>
        <w:tc>
          <w:tcPr>
            <w:tcW w:w="430"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sz w:val="21"/>
                <w:szCs w:val="21"/>
                <w:highlight w:val="none"/>
                <w:u w:val="none"/>
                <w:lang w:eastAsia="zh-CN"/>
              </w:rPr>
              <w:t>二类</w:t>
            </w:r>
          </w:p>
        </w:tc>
        <w:tc>
          <w:tcPr>
            <w:tcW w:w="274" w:type="pct"/>
            <w:vMerge w:val="continue"/>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eastAsia" w:ascii="宋体" w:hAnsi="宋体" w:eastAsia="宋体" w:cs="宋体"/>
                <w:color w:val="auto"/>
                <w:kern w:val="0"/>
                <w:sz w:val="21"/>
                <w:szCs w:val="21"/>
                <w:highlight w:val="none"/>
                <w:lang w:val="en-US" w:eastAsia="zh-CN"/>
              </w:rPr>
            </w:pPr>
          </w:p>
        </w:tc>
        <w:tc>
          <w:tcPr>
            <w:tcW w:w="461"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35" w:hRule="atLeast"/>
          <w:jc w:val="center"/>
        </w:trPr>
        <w:tc>
          <w:tcPr>
            <w:tcW w:w="372"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eastAsia" w:ascii="宋体" w:hAnsi="宋体" w:eastAsia="宋体" w:cs="宋体"/>
                <w:color w:val="auto"/>
                <w:sz w:val="21"/>
                <w:szCs w:val="21"/>
                <w:highlight w:val="none"/>
                <w:u w:val="none"/>
                <w:lang w:eastAsia="zh-CN"/>
              </w:rPr>
            </w:pPr>
          </w:p>
        </w:tc>
        <w:tc>
          <w:tcPr>
            <w:tcW w:w="508" w:type="pct"/>
            <w:noWrap w:val="0"/>
            <w:vAlign w:val="center"/>
          </w:tcPr>
          <w:p>
            <w:pPr>
              <w:keepNext w:val="0"/>
              <w:keepLines w:val="0"/>
              <w:pageBreakBefore w:val="0"/>
              <w:widowControl w:val="0"/>
              <w:numPr>
                <w:ilvl w:val="0"/>
                <w:numId w:val="0"/>
              </w:numPr>
              <w:kinsoku/>
              <w:wordWrap/>
              <w:overflowPunct/>
              <w:topLinePunct w:val="0"/>
              <w:autoSpaceDE/>
              <w:autoSpaceDN/>
              <w:bidi w:val="0"/>
              <w:spacing w:line="240" w:lineRule="exact"/>
              <w:ind w:left="0" w:leftChars="0" w:firstLine="0" w:firstLineChars="0"/>
              <w:jc w:val="center"/>
              <w:textAlignment w:val="auto"/>
              <w:rPr>
                <w:rFonts w:hint="eastAsia" w:ascii="宋体" w:hAnsi="宋体" w:eastAsia="宋体" w:cs="宋体"/>
                <w:b w:val="0"/>
                <w:bCs w:val="0"/>
                <w:color w:val="auto"/>
                <w:kern w:val="2"/>
                <w:sz w:val="21"/>
                <w:szCs w:val="21"/>
                <w:highlight w:val="none"/>
                <w:vertAlign w:val="baseline"/>
                <w:lang w:val="en-US" w:eastAsia="zh-CN" w:bidi="ar-SA"/>
              </w:rPr>
            </w:pPr>
            <w:r>
              <w:rPr>
                <w:rFonts w:hint="eastAsia" w:ascii="宋体" w:hAnsi="宋体" w:eastAsia="宋体" w:cs="宋体"/>
                <w:b w:val="0"/>
                <w:bCs w:val="0"/>
                <w:color w:val="auto"/>
                <w:sz w:val="21"/>
                <w:szCs w:val="21"/>
                <w:highlight w:val="none"/>
                <w:lang w:val="en-US" w:eastAsia="zh-CN"/>
              </w:rPr>
              <w:t>固废、危废暂存间</w:t>
            </w:r>
          </w:p>
        </w:tc>
        <w:tc>
          <w:tcPr>
            <w:tcW w:w="496" w:type="pct"/>
            <w:noWrap w:val="0"/>
            <w:vAlign w:val="center"/>
          </w:tcPr>
          <w:p>
            <w:pPr>
              <w:keepNext w:val="0"/>
              <w:keepLines w:val="0"/>
              <w:pageBreakBefore w:val="0"/>
              <w:widowControl w:val="0"/>
              <w:numPr>
                <w:ilvl w:val="0"/>
                <w:numId w:val="0"/>
              </w:numPr>
              <w:kinsoku/>
              <w:wordWrap/>
              <w:overflowPunct/>
              <w:topLinePunct w:val="0"/>
              <w:autoSpaceDE/>
              <w:autoSpaceDN/>
              <w:bidi w:val="0"/>
              <w:spacing w:line="240" w:lineRule="exact"/>
              <w:ind w:left="0" w:leftChars="0" w:firstLine="0" w:firstLineChars="0"/>
              <w:jc w:val="center"/>
              <w:textAlignment w:val="auto"/>
              <w:rPr>
                <w:rFonts w:hint="eastAsia" w:ascii="宋体" w:hAnsi="宋体" w:eastAsia="宋体" w:cs="宋体"/>
                <w:b w:val="0"/>
                <w:bCs w:val="0"/>
                <w:color w:val="auto"/>
                <w:kern w:val="2"/>
                <w:sz w:val="21"/>
                <w:szCs w:val="21"/>
                <w:highlight w:val="none"/>
                <w:vertAlign w:val="baseline"/>
                <w:lang w:val="en-US" w:eastAsia="zh-CN" w:bidi="ar-SA"/>
              </w:rPr>
            </w:pPr>
            <w:r>
              <w:rPr>
                <w:rFonts w:hint="eastAsia" w:ascii="宋体" w:hAnsi="宋体" w:eastAsia="宋体" w:cs="宋体"/>
                <w:b w:val="0"/>
                <w:bCs w:val="0"/>
                <w:color w:val="auto"/>
                <w:sz w:val="21"/>
                <w:szCs w:val="21"/>
                <w:highlight w:val="none"/>
                <w:lang w:val="en-US" w:eastAsia="zh-CN"/>
              </w:rPr>
              <w:t>固废、危废暂存间</w:t>
            </w:r>
          </w:p>
        </w:tc>
        <w:tc>
          <w:tcPr>
            <w:tcW w:w="293"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w:t>
            </w:r>
          </w:p>
        </w:tc>
        <w:tc>
          <w:tcPr>
            <w:tcW w:w="961"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
              </w:rPr>
              <w:t>非甲烷总烃等</w:t>
            </w:r>
          </w:p>
        </w:tc>
        <w:tc>
          <w:tcPr>
            <w:tcW w:w="740"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rPr>
              <w:t>N</w:t>
            </w:r>
            <w:r>
              <w:rPr>
                <w:rFonts w:hint="eastAsia" w:ascii="宋体" w:hAnsi="宋体" w:eastAsia="宋体" w:cs="宋体"/>
                <w:color w:val="auto"/>
                <w:kern w:val="0"/>
                <w:sz w:val="21"/>
                <w:szCs w:val="21"/>
                <w:highlight w:val="none"/>
                <w:lang w:eastAsia="zh-CN"/>
              </w:rPr>
              <w:t>：</w:t>
            </w:r>
            <w:r>
              <w:rPr>
                <w:rFonts w:hint="eastAsia" w:ascii="宋体" w:hAnsi="宋体" w:eastAsia="宋体" w:cs="宋体"/>
                <w:color w:val="auto"/>
                <w:kern w:val="0"/>
                <w:sz w:val="21"/>
                <w:szCs w:val="21"/>
                <w:highlight w:val="none"/>
              </w:rPr>
              <w:t>3</w:t>
            </w:r>
            <w:r>
              <w:rPr>
                <w:rFonts w:hint="eastAsia" w:ascii="宋体" w:hAnsi="宋体" w:eastAsia="宋体" w:cs="宋体"/>
                <w:color w:val="auto"/>
                <w:kern w:val="0"/>
                <w:sz w:val="21"/>
                <w:szCs w:val="21"/>
                <w:highlight w:val="none"/>
                <w:lang w:val="en-US" w:eastAsia="zh-CN"/>
              </w:rPr>
              <w:t>4</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40</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27.146</w:t>
            </w:r>
            <w:r>
              <w:rPr>
                <w:rFonts w:hint="eastAsia" w:ascii="宋体" w:hAnsi="宋体" w:eastAsia="宋体" w:cs="宋体"/>
                <w:color w:val="auto"/>
                <w:kern w:val="0"/>
                <w:sz w:val="21"/>
                <w:szCs w:val="21"/>
                <w:highlight w:val="none"/>
              </w:rPr>
              <w:t>''E</w:t>
            </w:r>
            <w:r>
              <w:rPr>
                <w:rFonts w:hint="eastAsia" w:ascii="宋体" w:hAnsi="宋体" w:eastAsia="宋体" w:cs="宋体"/>
                <w:color w:val="auto"/>
                <w:kern w:val="0"/>
                <w:sz w:val="21"/>
                <w:szCs w:val="21"/>
                <w:highlight w:val="none"/>
                <w:lang w:eastAsia="zh-CN"/>
              </w:rPr>
              <w:t>：</w:t>
            </w:r>
            <w:r>
              <w:rPr>
                <w:rFonts w:hint="eastAsia" w:ascii="宋体" w:hAnsi="宋体" w:eastAsia="宋体" w:cs="宋体"/>
                <w:color w:val="auto"/>
                <w:kern w:val="0"/>
                <w:sz w:val="21"/>
                <w:szCs w:val="21"/>
                <w:highlight w:val="none"/>
              </w:rPr>
              <w:t>11</w:t>
            </w:r>
            <w:r>
              <w:rPr>
                <w:rFonts w:hint="eastAsia" w:ascii="宋体" w:hAnsi="宋体" w:eastAsia="宋体" w:cs="宋体"/>
                <w:color w:val="auto"/>
                <w:kern w:val="0"/>
                <w:sz w:val="21"/>
                <w:szCs w:val="21"/>
                <w:highlight w:val="none"/>
                <w:lang w:val="en-US" w:eastAsia="zh-CN"/>
              </w:rPr>
              <w:t>1</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35</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28.100</w:t>
            </w:r>
            <w:r>
              <w:rPr>
                <w:rFonts w:hint="eastAsia" w:ascii="宋体" w:hAnsi="宋体" w:eastAsia="宋体" w:cs="宋体"/>
                <w:color w:val="auto"/>
                <w:kern w:val="0"/>
                <w:sz w:val="21"/>
                <w:szCs w:val="21"/>
                <w:highlight w:val="none"/>
              </w:rPr>
              <w:t>''</w:t>
            </w:r>
          </w:p>
        </w:tc>
        <w:tc>
          <w:tcPr>
            <w:tcW w:w="459"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sz w:val="21"/>
                <w:szCs w:val="21"/>
                <w:highlight w:val="none"/>
                <w:u w:val="none"/>
                <w:lang w:eastAsia="zh-CN"/>
              </w:rPr>
              <w:t>否</w:t>
            </w:r>
          </w:p>
        </w:tc>
        <w:tc>
          <w:tcPr>
            <w:tcW w:w="430"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sz w:val="21"/>
                <w:szCs w:val="21"/>
                <w:highlight w:val="none"/>
                <w:u w:val="none"/>
                <w:lang w:eastAsia="zh-CN"/>
              </w:rPr>
              <w:t>二类</w:t>
            </w:r>
          </w:p>
        </w:tc>
        <w:tc>
          <w:tcPr>
            <w:tcW w:w="274" w:type="pct"/>
            <w:vMerge w:val="continue"/>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eastAsia" w:ascii="宋体" w:hAnsi="宋体" w:eastAsia="宋体" w:cs="宋体"/>
                <w:color w:val="auto"/>
                <w:kern w:val="0"/>
                <w:sz w:val="21"/>
                <w:szCs w:val="21"/>
                <w:highlight w:val="none"/>
                <w:lang w:val="en-US" w:eastAsia="zh-CN"/>
              </w:rPr>
            </w:pPr>
          </w:p>
        </w:tc>
        <w:tc>
          <w:tcPr>
            <w:tcW w:w="461"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120" w:hRule="atLeast"/>
          <w:jc w:val="center"/>
        </w:trPr>
        <w:tc>
          <w:tcPr>
            <w:tcW w:w="372"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eastAsia" w:ascii="宋体" w:hAnsi="宋体" w:eastAsia="宋体" w:cs="宋体"/>
                <w:color w:val="auto"/>
                <w:sz w:val="21"/>
                <w:szCs w:val="21"/>
                <w:highlight w:val="none"/>
                <w:u w:val="none"/>
                <w:lang w:eastAsia="zh-CN"/>
              </w:rPr>
            </w:pPr>
          </w:p>
        </w:tc>
        <w:tc>
          <w:tcPr>
            <w:tcW w:w="508" w:type="pct"/>
            <w:noWrap w:val="0"/>
            <w:vAlign w:val="center"/>
          </w:tcPr>
          <w:p>
            <w:pPr>
              <w:keepNext w:val="0"/>
              <w:keepLines w:val="0"/>
              <w:pageBreakBefore w:val="0"/>
              <w:widowControl w:val="0"/>
              <w:numPr>
                <w:ilvl w:val="0"/>
                <w:numId w:val="0"/>
              </w:numPr>
              <w:kinsoku/>
              <w:wordWrap/>
              <w:overflowPunct/>
              <w:topLinePunct w:val="0"/>
              <w:autoSpaceDE/>
              <w:autoSpaceDN/>
              <w:bidi w:val="0"/>
              <w:spacing w:line="240" w:lineRule="exact"/>
              <w:ind w:left="0" w:leftChars="0" w:firstLine="0" w:firstLineChars="0"/>
              <w:jc w:val="center"/>
              <w:textAlignment w:val="auto"/>
              <w:rPr>
                <w:rFonts w:hint="eastAsia" w:ascii="宋体" w:hAnsi="宋体" w:eastAsia="宋体" w:cs="宋体"/>
                <w:b w:val="0"/>
                <w:bCs w:val="0"/>
                <w:color w:val="auto"/>
                <w:kern w:val="2"/>
                <w:sz w:val="21"/>
                <w:szCs w:val="21"/>
                <w:highlight w:val="none"/>
                <w:vertAlign w:val="baseline"/>
                <w:lang w:val="en-US" w:eastAsia="zh-CN" w:bidi="ar-SA"/>
              </w:rPr>
            </w:pPr>
            <w:r>
              <w:rPr>
                <w:rFonts w:hint="eastAsia" w:ascii="宋体" w:hAnsi="宋体" w:eastAsia="宋体" w:cs="宋体"/>
                <w:b w:val="0"/>
                <w:bCs w:val="0"/>
                <w:color w:val="auto"/>
                <w:sz w:val="21"/>
                <w:szCs w:val="21"/>
                <w:highlight w:val="none"/>
                <w:lang w:val="en-US" w:eastAsia="zh-CN"/>
              </w:rPr>
              <w:t>1-4酸钠盐、尼文酸车间、1#2#仓库</w:t>
            </w:r>
          </w:p>
        </w:tc>
        <w:tc>
          <w:tcPr>
            <w:tcW w:w="496" w:type="pct"/>
            <w:noWrap w:val="0"/>
            <w:vAlign w:val="center"/>
          </w:tcPr>
          <w:p>
            <w:pPr>
              <w:keepNext w:val="0"/>
              <w:keepLines w:val="0"/>
              <w:pageBreakBefore w:val="0"/>
              <w:widowControl w:val="0"/>
              <w:numPr>
                <w:ilvl w:val="0"/>
                <w:numId w:val="0"/>
              </w:numPr>
              <w:kinsoku/>
              <w:wordWrap/>
              <w:overflowPunct/>
              <w:topLinePunct w:val="0"/>
              <w:autoSpaceDE/>
              <w:autoSpaceDN/>
              <w:bidi w:val="0"/>
              <w:spacing w:line="240" w:lineRule="exact"/>
              <w:ind w:left="0" w:leftChars="0" w:firstLine="0" w:firstLineChars="0"/>
              <w:jc w:val="center"/>
              <w:textAlignment w:val="auto"/>
              <w:rPr>
                <w:rFonts w:hint="eastAsia" w:ascii="宋体" w:hAnsi="宋体" w:eastAsia="宋体" w:cs="宋体"/>
                <w:b w:val="0"/>
                <w:bCs w:val="0"/>
                <w:color w:val="auto"/>
                <w:kern w:val="2"/>
                <w:sz w:val="21"/>
                <w:szCs w:val="21"/>
                <w:highlight w:val="none"/>
                <w:vertAlign w:val="baseline"/>
                <w:lang w:val="en-US" w:eastAsia="zh-CN" w:bidi="ar-SA"/>
              </w:rPr>
            </w:pPr>
            <w:r>
              <w:rPr>
                <w:rFonts w:hint="eastAsia" w:ascii="宋体" w:hAnsi="宋体" w:eastAsia="宋体" w:cs="宋体"/>
                <w:b w:val="0"/>
                <w:bCs w:val="0"/>
                <w:color w:val="auto"/>
                <w:sz w:val="21"/>
                <w:szCs w:val="21"/>
                <w:highlight w:val="none"/>
                <w:lang w:val="en-US" w:eastAsia="zh-CN"/>
              </w:rPr>
              <w:t>1-4酸钠盐、尼文酸车间、1#2#仓库</w:t>
            </w:r>
          </w:p>
        </w:tc>
        <w:tc>
          <w:tcPr>
            <w:tcW w:w="293"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w:t>
            </w:r>
          </w:p>
        </w:tc>
        <w:tc>
          <w:tcPr>
            <w:tcW w:w="96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eastAsia" w:ascii="宋体" w:hAnsi="宋体" w:eastAsia="宋体" w:cs="宋体"/>
                <w:color w:val="auto"/>
                <w:sz w:val="21"/>
                <w:szCs w:val="21"/>
                <w:highlight w:val="none"/>
                <w:u w:val="none"/>
                <w:lang w:val="en-US" w:eastAsia="zh-CN"/>
              </w:rPr>
            </w:pPr>
            <w:r>
              <w:rPr>
                <w:rFonts w:hint="eastAsia" w:ascii="宋体" w:hAnsi="宋体" w:eastAsia="宋体" w:cs="宋体"/>
                <w:color w:val="auto"/>
                <w:sz w:val="21"/>
                <w:szCs w:val="21"/>
                <w:highlight w:val="none"/>
                <w:u w:val="none"/>
                <w:lang w:val="en-US" w:eastAsia="zh-CN"/>
              </w:rPr>
              <w:t>1，2 - 二氯苯、氯化氢、溴离子、氨气、硫酸雾、非甲烷总烃</w:t>
            </w:r>
            <w:r>
              <w:rPr>
                <w:rFonts w:hint="eastAsia" w:ascii="宋体" w:hAnsi="宋体" w:eastAsia="宋体" w:cs="宋体"/>
                <w:color w:val="auto"/>
                <w:kern w:val="0"/>
                <w:sz w:val="21"/>
                <w:szCs w:val="21"/>
                <w:highlight w:val="none"/>
                <w:lang w:val="en-US" w:eastAsia="zh-CN" w:bidi="ar"/>
              </w:rPr>
              <w:t>等</w:t>
            </w:r>
          </w:p>
        </w:tc>
        <w:tc>
          <w:tcPr>
            <w:tcW w:w="740"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rPr>
              <w:t>N</w:t>
            </w:r>
            <w:r>
              <w:rPr>
                <w:rFonts w:hint="eastAsia" w:ascii="宋体" w:hAnsi="宋体" w:eastAsia="宋体" w:cs="宋体"/>
                <w:color w:val="auto"/>
                <w:kern w:val="0"/>
                <w:sz w:val="21"/>
                <w:szCs w:val="21"/>
                <w:highlight w:val="none"/>
                <w:lang w:eastAsia="zh-CN"/>
              </w:rPr>
              <w:t>：</w:t>
            </w:r>
            <w:r>
              <w:rPr>
                <w:rFonts w:hint="eastAsia" w:ascii="宋体" w:hAnsi="宋体" w:eastAsia="宋体" w:cs="宋体"/>
                <w:color w:val="auto"/>
                <w:kern w:val="0"/>
                <w:sz w:val="21"/>
                <w:szCs w:val="21"/>
                <w:highlight w:val="none"/>
              </w:rPr>
              <w:t>3</w:t>
            </w:r>
            <w:r>
              <w:rPr>
                <w:rFonts w:hint="eastAsia" w:ascii="宋体" w:hAnsi="宋体" w:eastAsia="宋体" w:cs="宋体"/>
                <w:color w:val="auto"/>
                <w:kern w:val="0"/>
                <w:sz w:val="21"/>
                <w:szCs w:val="21"/>
                <w:highlight w:val="none"/>
                <w:lang w:val="en-US" w:eastAsia="zh-CN"/>
              </w:rPr>
              <w:t>4</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40</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30.767</w:t>
            </w:r>
            <w:r>
              <w:rPr>
                <w:rFonts w:hint="eastAsia" w:ascii="宋体" w:hAnsi="宋体" w:eastAsia="宋体" w:cs="宋体"/>
                <w:color w:val="auto"/>
                <w:kern w:val="0"/>
                <w:sz w:val="21"/>
                <w:szCs w:val="21"/>
                <w:highlight w:val="none"/>
              </w:rPr>
              <w:t>''E</w:t>
            </w:r>
            <w:r>
              <w:rPr>
                <w:rFonts w:hint="eastAsia" w:ascii="宋体" w:hAnsi="宋体" w:eastAsia="宋体" w:cs="宋体"/>
                <w:color w:val="auto"/>
                <w:kern w:val="0"/>
                <w:sz w:val="21"/>
                <w:szCs w:val="21"/>
                <w:highlight w:val="none"/>
                <w:lang w:eastAsia="zh-CN"/>
              </w:rPr>
              <w:t>：</w:t>
            </w:r>
            <w:r>
              <w:rPr>
                <w:rFonts w:hint="eastAsia" w:ascii="宋体" w:hAnsi="宋体" w:eastAsia="宋体" w:cs="宋体"/>
                <w:color w:val="auto"/>
                <w:kern w:val="0"/>
                <w:sz w:val="21"/>
                <w:szCs w:val="21"/>
                <w:highlight w:val="none"/>
              </w:rPr>
              <w:t>11</w:t>
            </w:r>
            <w:r>
              <w:rPr>
                <w:rFonts w:hint="eastAsia" w:ascii="宋体" w:hAnsi="宋体" w:eastAsia="宋体" w:cs="宋体"/>
                <w:color w:val="auto"/>
                <w:kern w:val="0"/>
                <w:sz w:val="21"/>
                <w:szCs w:val="21"/>
                <w:highlight w:val="none"/>
                <w:lang w:val="en-US" w:eastAsia="zh-CN"/>
              </w:rPr>
              <w:t>1</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35</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19.661</w:t>
            </w:r>
            <w:r>
              <w:rPr>
                <w:rFonts w:hint="eastAsia" w:ascii="宋体" w:hAnsi="宋体" w:eastAsia="宋体" w:cs="宋体"/>
                <w:color w:val="auto"/>
                <w:kern w:val="0"/>
                <w:sz w:val="21"/>
                <w:szCs w:val="21"/>
                <w:highlight w:val="none"/>
              </w:rPr>
              <w:t>''</w:t>
            </w:r>
          </w:p>
        </w:tc>
        <w:tc>
          <w:tcPr>
            <w:tcW w:w="459"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sz w:val="21"/>
                <w:szCs w:val="21"/>
                <w:highlight w:val="none"/>
                <w:u w:val="none"/>
                <w:lang w:eastAsia="zh-CN"/>
              </w:rPr>
              <w:t>否</w:t>
            </w:r>
          </w:p>
        </w:tc>
        <w:tc>
          <w:tcPr>
            <w:tcW w:w="430"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sz w:val="21"/>
                <w:szCs w:val="21"/>
                <w:highlight w:val="none"/>
                <w:u w:val="none"/>
                <w:lang w:eastAsia="zh-CN"/>
              </w:rPr>
              <w:t>二类</w:t>
            </w:r>
          </w:p>
        </w:tc>
        <w:tc>
          <w:tcPr>
            <w:tcW w:w="274" w:type="pct"/>
            <w:vMerge w:val="continue"/>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eastAsia" w:ascii="宋体" w:hAnsi="宋体" w:eastAsia="宋体" w:cs="宋体"/>
                <w:color w:val="auto"/>
                <w:kern w:val="0"/>
                <w:sz w:val="21"/>
                <w:szCs w:val="21"/>
                <w:highlight w:val="none"/>
                <w:lang w:val="en-US" w:eastAsia="zh-CN"/>
              </w:rPr>
            </w:pPr>
          </w:p>
        </w:tc>
        <w:tc>
          <w:tcPr>
            <w:tcW w:w="461"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490" w:hRule="atLeast"/>
          <w:jc w:val="center"/>
        </w:trPr>
        <w:tc>
          <w:tcPr>
            <w:tcW w:w="372"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eastAsia" w:ascii="宋体" w:hAnsi="宋体" w:eastAsia="宋体" w:cs="宋体"/>
                <w:color w:val="auto"/>
                <w:sz w:val="21"/>
                <w:szCs w:val="21"/>
                <w:highlight w:val="none"/>
                <w:u w:val="none"/>
                <w:lang w:eastAsia="zh-CN"/>
              </w:rPr>
            </w:pPr>
          </w:p>
        </w:tc>
        <w:tc>
          <w:tcPr>
            <w:tcW w:w="508" w:type="pct"/>
            <w:noWrap w:val="0"/>
            <w:vAlign w:val="center"/>
          </w:tcPr>
          <w:p>
            <w:pPr>
              <w:keepNext w:val="0"/>
              <w:keepLines w:val="0"/>
              <w:pageBreakBefore w:val="0"/>
              <w:widowControl w:val="0"/>
              <w:numPr>
                <w:ilvl w:val="0"/>
                <w:numId w:val="0"/>
              </w:numPr>
              <w:kinsoku/>
              <w:wordWrap/>
              <w:overflowPunct/>
              <w:topLinePunct w:val="0"/>
              <w:autoSpaceDE/>
              <w:autoSpaceDN/>
              <w:bidi w:val="0"/>
              <w:spacing w:line="240" w:lineRule="exact"/>
              <w:ind w:left="0" w:leftChars="0" w:firstLine="0" w:firstLineChars="0"/>
              <w:jc w:val="center"/>
              <w:textAlignment w:val="auto"/>
              <w:rPr>
                <w:rFonts w:hint="eastAsia" w:ascii="宋体" w:hAnsi="宋体" w:eastAsia="宋体" w:cs="宋体"/>
                <w:b w:val="0"/>
                <w:bCs w:val="0"/>
                <w:color w:val="auto"/>
                <w:kern w:val="2"/>
                <w:sz w:val="21"/>
                <w:szCs w:val="21"/>
                <w:highlight w:val="none"/>
                <w:vertAlign w:val="baseline"/>
                <w:lang w:val="en-US" w:eastAsia="zh-CN" w:bidi="ar-SA"/>
              </w:rPr>
            </w:pPr>
            <w:r>
              <w:rPr>
                <w:rFonts w:hint="eastAsia" w:ascii="宋体" w:hAnsi="宋体" w:eastAsia="宋体" w:cs="宋体"/>
                <w:b w:val="0"/>
                <w:bCs w:val="0"/>
                <w:color w:val="auto"/>
                <w:sz w:val="21"/>
                <w:szCs w:val="21"/>
                <w:highlight w:val="none"/>
                <w:lang w:val="en-US" w:eastAsia="zh-CN"/>
              </w:rPr>
              <w:t>甲酸乙酯车间、仓库及应急池、乙醇甲酸地埋罐</w:t>
            </w:r>
          </w:p>
        </w:tc>
        <w:tc>
          <w:tcPr>
            <w:tcW w:w="496" w:type="pct"/>
            <w:noWrap w:val="0"/>
            <w:vAlign w:val="center"/>
          </w:tcPr>
          <w:p>
            <w:pPr>
              <w:keepNext w:val="0"/>
              <w:keepLines w:val="0"/>
              <w:pageBreakBefore w:val="0"/>
              <w:widowControl w:val="0"/>
              <w:numPr>
                <w:ilvl w:val="0"/>
                <w:numId w:val="0"/>
              </w:numPr>
              <w:kinsoku/>
              <w:wordWrap/>
              <w:overflowPunct/>
              <w:topLinePunct w:val="0"/>
              <w:autoSpaceDE/>
              <w:autoSpaceDN/>
              <w:bidi w:val="0"/>
              <w:spacing w:line="240" w:lineRule="exact"/>
              <w:ind w:left="0" w:leftChars="0" w:firstLine="0" w:firstLineChars="0"/>
              <w:jc w:val="center"/>
              <w:textAlignment w:val="auto"/>
              <w:rPr>
                <w:rFonts w:hint="eastAsia" w:ascii="宋体" w:hAnsi="宋体" w:eastAsia="宋体" w:cs="宋体"/>
                <w:b w:val="0"/>
                <w:bCs w:val="0"/>
                <w:color w:val="auto"/>
                <w:kern w:val="2"/>
                <w:sz w:val="21"/>
                <w:szCs w:val="21"/>
                <w:highlight w:val="none"/>
                <w:vertAlign w:val="baseline"/>
                <w:lang w:val="en-US" w:eastAsia="zh-CN" w:bidi="ar-SA"/>
              </w:rPr>
            </w:pPr>
            <w:r>
              <w:rPr>
                <w:rFonts w:hint="eastAsia" w:ascii="宋体" w:hAnsi="宋体" w:eastAsia="宋体" w:cs="宋体"/>
                <w:b w:val="0"/>
                <w:bCs w:val="0"/>
                <w:color w:val="auto"/>
                <w:sz w:val="21"/>
                <w:szCs w:val="21"/>
                <w:highlight w:val="none"/>
                <w:lang w:val="en-US" w:eastAsia="zh-CN"/>
              </w:rPr>
              <w:t>甲酸乙酯车间、仓库及应急池、乙醇甲酸地埋罐</w:t>
            </w:r>
          </w:p>
        </w:tc>
        <w:tc>
          <w:tcPr>
            <w:tcW w:w="293"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w:t>
            </w:r>
          </w:p>
        </w:tc>
        <w:tc>
          <w:tcPr>
            <w:tcW w:w="96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sz w:val="21"/>
                <w:szCs w:val="21"/>
                <w:highlight w:val="none"/>
                <w:u w:val="none"/>
                <w:lang w:val="en-US" w:eastAsia="zh-CN"/>
              </w:rPr>
              <w:t>甲醇、乙醇、氯化氢、溴离子、硫酸雾、非甲烷总烃</w:t>
            </w:r>
            <w:r>
              <w:rPr>
                <w:rFonts w:hint="eastAsia" w:ascii="宋体" w:hAnsi="宋体" w:eastAsia="宋体" w:cs="宋体"/>
                <w:color w:val="auto"/>
                <w:kern w:val="0"/>
                <w:sz w:val="21"/>
                <w:szCs w:val="21"/>
                <w:highlight w:val="none"/>
                <w:lang w:val="en-US" w:eastAsia="zh-CN" w:bidi="ar"/>
              </w:rPr>
              <w:t>等</w:t>
            </w:r>
          </w:p>
        </w:tc>
        <w:tc>
          <w:tcPr>
            <w:tcW w:w="740"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rPr>
              <w:t>N</w:t>
            </w:r>
            <w:r>
              <w:rPr>
                <w:rFonts w:hint="eastAsia" w:ascii="宋体" w:hAnsi="宋体" w:eastAsia="宋体" w:cs="宋体"/>
                <w:color w:val="auto"/>
                <w:kern w:val="0"/>
                <w:sz w:val="21"/>
                <w:szCs w:val="21"/>
                <w:highlight w:val="none"/>
                <w:lang w:eastAsia="zh-CN"/>
              </w:rPr>
              <w:t>：</w:t>
            </w:r>
            <w:r>
              <w:rPr>
                <w:rFonts w:hint="eastAsia" w:ascii="宋体" w:hAnsi="宋体" w:eastAsia="宋体" w:cs="宋体"/>
                <w:color w:val="auto"/>
                <w:kern w:val="0"/>
                <w:sz w:val="21"/>
                <w:szCs w:val="21"/>
                <w:highlight w:val="none"/>
              </w:rPr>
              <w:t>3</w:t>
            </w:r>
            <w:r>
              <w:rPr>
                <w:rFonts w:hint="eastAsia" w:ascii="宋体" w:hAnsi="宋体" w:eastAsia="宋体" w:cs="宋体"/>
                <w:color w:val="auto"/>
                <w:kern w:val="0"/>
                <w:sz w:val="21"/>
                <w:szCs w:val="21"/>
                <w:highlight w:val="none"/>
                <w:lang w:val="en-US" w:eastAsia="zh-CN"/>
              </w:rPr>
              <w:t>4</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40</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29.480</w:t>
            </w:r>
            <w:r>
              <w:rPr>
                <w:rFonts w:hint="eastAsia" w:ascii="宋体" w:hAnsi="宋体" w:eastAsia="宋体" w:cs="宋体"/>
                <w:color w:val="auto"/>
                <w:kern w:val="0"/>
                <w:sz w:val="21"/>
                <w:szCs w:val="21"/>
                <w:highlight w:val="none"/>
              </w:rPr>
              <w:t>''E</w:t>
            </w:r>
            <w:r>
              <w:rPr>
                <w:rFonts w:hint="eastAsia" w:ascii="宋体" w:hAnsi="宋体" w:eastAsia="宋体" w:cs="宋体"/>
                <w:color w:val="auto"/>
                <w:kern w:val="0"/>
                <w:sz w:val="21"/>
                <w:szCs w:val="21"/>
                <w:highlight w:val="none"/>
                <w:lang w:eastAsia="zh-CN"/>
              </w:rPr>
              <w:t>：</w:t>
            </w:r>
            <w:r>
              <w:rPr>
                <w:rFonts w:hint="eastAsia" w:ascii="宋体" w:hAnsi="宋体" w:eastAsia="宋体" w:cs="宋体"/>
                <w:color w:val="auto"/>
                <w:kern w:val="0"/>
                <w:sz w:val="21"/>
                <w:szCs w:val="21"/>
                <w:highlight w:val="none"/>
              </w:rPr>
              <w:t>11</w:t>
            </w:r>
            <w:r>
              <w:rPr>
                <w:rFonts w:hint="eastAsia" w:ascii="宋体" w:hAnsi="宋体" w:eastAsia="宋体" w:cs="宋体"/>
                <w:color w:val="auto"/>
                <w:kern w:val="0"/>
                <w:sz w:val="21"/>
                <w:szCs w:val="21"/>
                <w:highlight w:val="none"/>
                <w:lang w:val="en-US" w:eastAsia="zh-CN"/>
              </w:rPr>
              <w:t>1</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35</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22.422</w:t>
            </w:r>
            <w:r>
              <w:rPr>
                <w:rFonts w:hint="eastAsia" w:ascii="宋体" w:hAnsi="宋体" w:eastAsia="宋体" w:cs="宋体"/>
                <w:color w:val="auto"/>
                <w:kern w:val="0"/>
                <w:sz w:val="21"/>
                <w:szCs w:val="21"/>
                <w:highlight w:val="none"/>
              </w:rPr>
              <w:t>''</w:t>
            </w:r>
          </w:p>
        </w:tc>
        <w:tc>
          <w:tcPr>
            <w:tcW w:w="459"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sz w:val="21"/>
                <w:szCs w:val="21"/>
                <w:highlight w:val="none"/>
                <w:u w:val="none"/>
                <w:lang w:eastAsia="zh-CN"/>
              </w:rPr>
              <w:t>否</w:t>
            </w:r>
          </w:p>
        </w:tc>
        <w:tc>
          <w:tcPr>
            <w:tcW w:w="430"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sz w:val="21"/>
                <w:szCs w:val="21"/>
                <w:highlight w:val="none"/>
                <w:u w:val="none"/>
                <w:lang w:eastAsia="zh-CN"/>
              </w:rPr>
              <w:t>二类</w:t>
            </w:r>
          </w:p>
        </w:tc>
        <w:tc>
          <w:tcPr>
            <w:tcW w:w="274" w:type="pct"/>
            <w:vMerge w:val="continue"/>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eastAsia" w:ascii="宋体" w:hAnsi="宋体" w:eastAsia="宋体" w:cs="宋体"/>
                <w:color w:val="auto"/>
                <w:kern w:val="0"/>
                <w:sz w:val="21"/>
                <w:szCs w:val="21"/>
                <w:highlight w:val="none"/>
                <w:lang w:val="en-US" w:eastAsia="zh-CN"/>
              </w:rPr>
            </w:pPr>
          </w:p>
        </w:tc>
        <w:tc>
          <w:tcPr>
            <w:tcW w:w="461"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676" w:hRule="atLeast"/>
          <w:jc w:val="center"/>
        </w:trPr>
        <w:tc>
          <w:tcPr>
            <w:tcW w:w="372"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eastAsia" w:ascii="宋体" w:hAnsi="宋体" w:eastAsia="宋体" w:cs="宋体"/>
                <w:color w:val="auto"/>
                <w:sz w:val="21"/>
                <w:szCs w:val="21"/>
                <w:highlight w:val="none"/>
                <w:u w:val="none"/>
              </w:rPr>
            </w:pPr>
          </w:p>
        </w:tc>
        <w:tc>
          <w:tcPr>
            <w:tcW w:w="508" w:type="pct"/>
            <w:noWrap w:val="0"/>
            <w:vAlign w:val="center"/>
          </w:tcPr>
          <w:p>
            <w:pPr>
              <w:keepNext w:val="0"/>
              <w:keepLines w:val="0"/>
              <w:pageBreakBefore w:val="0"/>
              <w:widowControl w:val="0"/>
              <w:numPr>
                <w:ilvl w:val="0"/>
                <w:numId w:val="0"/>
              </w:numPr>
              <w:kinsoku/>
              <w:wordWrap/>
              <w:overflowPunct/>
              <w:topLinePunct w:val="0"/>
              <w:autoSpaceDE/>
              <w:autoSpaceDN/>
              <w:bidi w:val="0"/>
              <w:spacing w:line="240" w:lineRule="exact"/>
              <w:ind w:left="0" w:leftChars="0" w:firstLine="0" w:firstLineChars="0"/>
              <w:jc w:val="center"/>
              <w:textAlignment w:val="auto"/>
              <w:rPr>
                <w:rFonts w:hint="eastAsia" w:ascii="宋体" w:hAnsi="宋体" w:eastAsia="宋体" w:cs="宋体"/>
                <w:b w:val="0"/>
                <w:bCs w:val="0"/>
                <w:color w:val="auto"/>
                <w:kern w:val="2"/>
                <w:sz w:val="21"/>
                <w:szCs w:val="21"/>
                <w:highlight w:val="none"/>
                <w:vertAlign w:val="baseline"/>
                <w:lang w:val="en-US" w:eastAsia="zh-CN" w:bidi="ar-SA"/>
              </w:rPr>
            </w:pPr>
            <w:r>
              <w:rPr>
                <w:rFonts w:hint="eastAsia" w:ascii="宋体" w:hAnsi="宋体" w:eastAsia="宋体" w:cs="宋体"/>
                <w:b w:val="0"/>
                <w:bCs w:val="0"/>
                <w:color w:val="auto"/>
                <w:sz w:val="21"/>
                <w:szCs w:val="21"/>
                <w:highlight w:val="none"/>
                <w:lang w:val="en-US" w:eastAsia="zh-CN"/>
              </w:rPr>
              <w:t>溴化氢车间（乙酸溶液）、二氯甲烷、双氧水、溴素储罐区</w:t>
            </w:r>
          </w:p>
        </w:tc>
        <w:tc>
          <w:tcPr>
            <w:tcW w:w="496" w:type="pct"/>
            <w:noWrap w:val="0"/>
            <w:vAlign w:val="center"/>
          </w:tcPr>
          <w:p>
            <w:pPr>
              <w:keepNext w:val="0"/>
              <w:keepLines w:val="0"/>
              <w:pageBreakBefore w:val="0"/>
              <w:widowControl w:val="0"/>
              <w:numPr>
                <w:ilvl w:val="0"/>
                <w:numId w:val="0"/>
              </w:numPr>
              <w:kinsoku/>
              <w:wordWrap/>
              <w:overflowPunct/>
              <w:topLinePunct w:val="0"/>
              <w:autoSpaceDE/>
              <w:autoSpaceDN/>
              <w:bidi w:val="0"/>
              <w:spacing w:line="240" w:lineRule="exact"/>
              <w:ind w:left="0" w:leftChars="0" w:firstLine="0" w:firstLineChars="0"/>
              <w:jc w:val="center"/>
              <w:textAlignment w:val="auto"/>
              <w:rPr>
                <w:rFonts w:hint="eastAsia" w:ascii="宋体" w:hAnsi="宋体" w:eastAsia="宋体" w:cs="宋体"/>
                <w:b w:val="0"/>
                <w:bCs w:val="0"/>
                <w:color w:val="auto"/>
                <w:kern w:val="2"/>
                <w:sz w:val="21"/>
                <w:szCs w:val="21"/>
                <w:highlight w:val="none"/>
                <w:vertAlign w:val="baseline"/>
                <w:lang w:val="en-US" w:eastAsia="zh-CN" w:bidi="ar-SA"/>
              </w:rPr>
            </w:pPr>
            <w:r>
              <w:rPr>
                <w:rFonts w:hint="eastAsia" w:ascii="宋体" w:hAnsi="宋体" w:eastAsia="宋体" w:cs="宋体"/>
                <w:b w:val="0"/>
                <w:bCs w:val="0"/>
                <w:color w:val="auto"/>
                <w:sz w:val="21"/>
                <w:szCs w:val="21"/>
                <w:highlight w:val="none"/>
                <w:lang w:val="en-US" w:eastAsia="zh-CN"/>
              </w:rPr>
              <w:t>溴化氢车间（乙酸溶液）、二氯甲烷、双氧水、溴素储罐区</w:t>
            </w:r>
          </w:p>
        </w:tc>
        <w:tc>
          <w:tcPr>
            <w:tcW w:w="29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eastAsia" w:ascii="宋体" w:hAnsi="宋体" w:eastAsia="宋体" w:cs="宋体"/>
                <w:color w:val="auto"/>
                <w:sz w:val="21"/>
                <w:szCs w:val="21"/>
                <w:highlight w:val="none"/>
                <w:u w:val="none"/>
                <w:lang w:val="en-US" w:eastAsia="zh-CN"/>
              </w:rPr>
            </w:pPr>
            <w:r>
              <w:rPr>
                <w:rFonts w:hint="eastAsia" w:ascii="宋体" w:hAnsi="宋体" w:eastAsia="宋体" w:cs="宋体"/>
                <w:b w:val="0"/>
                <w:bCs w:val="0"/>
                <w:color w:val="auto"/>
                <w:sz w:val="21"/>
                <w:szCs w:val="21"/>
                <w:highlight w:val="none"/>
                <w:lang w:val="en-US" w:eastAsia="zh-CN"/>
              </w:rPr>
              <w:t>二氯甲烷</w:t>
            </w:r>
          </w:p>
        </w:tc>
        <w:tc>
          <w:tcPr>
            <w:tcW w:w="961" w:type="pct"/>
            <w:noWrap w:val="0"/>
            <w:vAlign w:val="center"/>
          </w:tcPr>
          <w:p>
            <w:pPr>
              <w:keepNext w:val="0"/>
              <w:keepLines w:val="0"/>
              <w:pageBreakBefore w:val="0"/>
              <w:widowControl/>
              <w:suppressLineNumbers w:val="0"/>
              <w:kinsoku/>
              <w:wordWrap/>
              <w:overflowPunct/>
              <w:topLinePunct w:val="0"/>
              <w:autoSpaceDE/>
              <w:autoSpaceDN/>
              <w:bidi w:val="0"/>
              <w:spacing w:line="240" w:lineRule="exact"/>
              <w:ind w:left="0" w:leftChars="0" w:firstLine="0" w:firstLineChars="0"/>
              <w:jc w:val="center"/>
              <w:textAlignment w:val="auto"/>
              <w:rPr>
                <w:rFonts w:hint="eastAsia" w:ascii="宋体" w:hAnsi="宋体" w:eastAsia="宋体" w:cs="宋体"/>
                <w:color w:val="auto"/>
                <w:sz w:val="21"/>
                <w:szCs w:val="21"/>
                <w:highlight w:val="none"/>
                <w:u w:val="none"/>
                <w:lang w:val="en-US" w:eastAsia="zh-CN"/>
              </w:rPr>
            </w:pPr>
            <w:r>
              <w:rPr>
                <w:rFonts w:hint="eastAsia" w:ascii="宋体" w:hAnsi="宋体" w:eastAsia="宋体" w:cs="宋体"/>
                <w:color w:val="auto"/>
                <w:sz w:val="21"/>
                <w:szCs w:val="21"/>
                <w:highlight w:val="none"/>
                <w:u w:val="none"/>
                <w:lang w:val="en-US" w:eastAsia="zh-CN"/>
              </w:rPr>
              <w:t>氯化氢、溴离子、硫酸雾、</w:t>
            </w:r>
            <w:r>
              <w:rPr>
                <w:rFonts w:hint="eastAsia" w:ascii="宋体" w:hAnsi="宋体" w:eastAsia="宋体" w:cs="宋体"/>
                <w:color w:val="auto"/>
                <w:kern w:val="0"/>
                <w:sz w:val="21"/>
                <w:szCs w:val="21"/>
                <w:highlight w:val="none"/>
                <w:lang w:val="en-US" w:eastAsia="zh-CN" w:bidi="ar"/>
              </w:rPr>
              <w:t>非甲烷总烃等</w:t>
            </w:r>
          </w:p>
        </w:tc>
        <w:tc>
          <w:tcPr>
            <w:tcW w:w="740"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color w:val="auto"/>
                <w:kern w:val="0"/>
                <w:sz w:val="21"/>
                <w:szCs w:val="21"/>
                <w:highlight w:val="none"/>
              </w:rPr>
              <w:t>N</w:t>
            </w:r>
            <w:r>
              <w:rPr>
                <w:rFonts w:hint="eastAsia" w:ascii="宋体" w:hAnsi="宋体" w:eastAsia="宋体" w:cs="宋体"/>
                <w:color w:val="auto"/>
                <w:kern w:val="0"/>
                <w:sz w:val="21"/>
                <w:szCs w:val="21"/>
                <w:highlight w:val="none"/>
                <w:lang w:eastAsia="zh-CN"/>
              </w:rPr>
              <w:t>：</w:t>
            </w:r>
            <w:r>
              <w:rPr>
                <w:rFonts w:hint="eastAsia" w:ascii="宋体" w:hAnsi="宋体" w:eastAsia="宋体" w:cs="宋体"/>
                <w:color w:val="auto"/>
                <w:kern w:val="0"/>
                <w:sz w:val="21"/>
                <w:szCs w:val="21"/>
                <w:highlight w:val="none"/>
              </w:rPr>
              <w:t>3</w:t>
            </w:r>
            <w:r>
              <w:rPr>
                <w:rFonts w:hint="eastAsia" w:ascii="宋体" w:hAnsi="宋体" w:eastAsia="宋体" w:cs="宋体"/>
                <w:color w:val="auto"/>
                <w:kern w:val="0"/>
                <w:sz w:val="21"/>
                <w:szCs w:val="21"/>
                <w:highlight w:val="none"/>
                <w:lang w:val="en-US" w:eastAsia="zh-CN"/>
              </w:rPr>
              <w:t>4</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40</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27.130</w:t>
            </w:r>
            <w:r>
              <w:rPr>
                <w:rFonts w:hint="eastAsia" w:ascii="宋体" w:hAnsi="宋体" w:eastAsia="宋体" w:cs="宋体"/>
                <w:color w:val="auto"/>
                <w:kern w:val="0"/>
                <w:sz w:val="21"/>
                <w:szCs w:val="21"/>
                <w:highlight w:val="none"/>
              </w:rPr>
              <w:t>''E</w:t>
            </w:r>
            <w:r>
              <w:rPr>
                <w:rFonts w:hint="eastAsia" w:ascii="宋体" w:hAnsi="宋体" w:eastAsia="宋体" w:cs="宋体"/>
                <w:color w:val="auto"/>
                <w:kern w:val="0"/>
                <w:sz w:val="21"/>
                <w:szCs w:val="21"/>
                <w:highlight w:val="none"/>
                <w:lang w:eastAsia="zh-CN"/>
              </w:rPr>
              <w:t>：</w:t>
            </w:r>
            <w:r>
              <w:rPr>
                <w:rFonts w:hint="eastAsia" w:ascii="宋体" w:hAnsi="宋体" w:eastAsia="宋体" w:cs="宋体"/>
                <w:color w:val="auto"/>
                <w:kern w:val="0"/>
                <w:sz w:val="21"/>
                <w:szCs w:val="21"/>
                <w:highlight w:val="none"/>
              </w:rPr>
              <w:t>11</w:t>
            </w:r>
            <w:r>
              <w:rPr>
                <w:rFonts w:hint="eastAsia" w:ascii="宋体" w:hAnsi="宋体" w:eastAsia="宋体" w:cs="宋体"/>
                <w:color w:val="auto"/>
                <w:kern w:val="0"/>
                <w:sz w:val="21"/>
                <w:szCs w:val="21"/>
                <w:highlight w:val="none"/>
                <w:lang w:val="en-US" w:eastAsia="zh-CN"/>
              </w:rPr>
              <w:t>1</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35</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25.512</w:t>
            </w:r>
            <w:r>
              <w:rPr>
                <w:rFonts w:hint="eastAsia" w:ascii="宋体" w:hAnsi="宋体" w:eastAsia="宋体" w:cs="宋体"/>
                <w:color w:val="auto"/>
                <w:kern w:val="0"/>
                <w:sz w:val="21"/>
                <w:szCs w:val="21"/>
                <w:highlight w:val="none"/>
              </w:rPr>
              <w:t>''</w:t>
            </w:r>
          </w:p>
        </w:tc>
        <w:tc>
          <w:tcPr>
            <w:tcW w:w="45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eastAsia" w:ascii="宋体" w:hAnsi="宋体" w:eastAsia="宋体" w:cs="宋体"/>
                <w:color w:val="auto"/>
                <w:sz w:val="21"/>
                <w:szCs w:val="21"/>
                <w:highlight w:val="none"/>
                <w:u w:val="none"/>
              </w:rPr>
            </w:pPr>
            <w:r>
              <w:rPr>
                <w:rFonts w:hint="eastAsia" w:ascii="宋体" w:hAnsi="宋体" w:eastAsia="宋体" w:cs="宋体"/>
                <w:color w:val="auto"/>
                <w:sz w:val="21"/>
                <w:szCs w:val="21"/>
                <w:highlight w:val="none"/>
                <w:u w:val="none"/>
                <w:lang w:eastAsia="zh-CN"/>
              </w:rPr>
              <w:t>否</w:t>
            </w:r>
          </w:p>
        </w:tc>
        <w:tc>
          <w:tcPr>
            <w:tcW w:w="43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eastAsia" w:ascii="宋体" w:hAnsi="宋体" w:eastAsia="宋体" w:cs="宋体"/>
                <w:color w:val="auto"/>
                <w:sz w:val="21"/>
                <w:szCs w:val="21"/>
                <w:highlight w:val="none"/>
                <w:u w:val="none"/>
              </w:rPr>
            </w:pPr>
            <w:r>
              <w:rPr>
                <w:rFonts w:hint="eastAsia" w:ascii="宋体" w:hAnsi="宋体" w:eastAsia="宋体" w:cs="宋体"/>
                <w:color w:val="auto"/>
                <w:sz w:val="21"/>
                <w:szCs w:val="21"/>
                <w:highlight w:val="none"/>
                <w:u w:val="none"/>
                <w:lang w:eastAsia="zh-CN"/>
              </w:rPr>
              <w:t>二类</w:t>
            </w:r>
          </w:p>
        </w:tc>
        <w:tc>
          <w:tcPr>
            <w:tcW w:w="274"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eastAsia" w:ascii="宋体" w:hAnsi="宋体" w:eastAsia="宋体" w:cs="宋体"/>
                <w:color w:val="auto"/>
                <w:sz w:val="21"/>
                <w:szCs w:val="21"/>
                <w:highlight w:val="none"/>
                <w:u w:val="none"/>
              </w:rPr>
            </w:pPr>
          </w:p>
        </w:tc>
        <w:tc>
          <w:tcPr>
            <w:tcW w:w="46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eastAsia" w:ascii="宋体" w:hAnsi="宋体" w:eastAsia="宋体" w:cs="宋体"/>
                <w:color w:val="auto"/>
                <w:sz w:val="21"/>
                <w:szCs w:val="21"/>
                <w:highlight w:val="none"/>
                <w:u w:val="none"/>
                <w:lang w:val="en-US" w:eastAsia="zh-CN"/>
              </w:rPr>
            </w:pPr>
            <w:r>
              <w:rPr>
                <w:rFonts w:hint="eastAsia" w:ascii="宋体" w:hAnsi="宋体" w:eastAsia="宋体" w:cs="宋体"/>
                <w:color w:val="auto"/>
                <w:sz w:val="21"/>
                <w:szCs w:val="21"/>
                <w:highlight w:val="none"/>
                <w:u w:val="none"/>
                <w:lang w:val="en-US" w:eastAsia="zh-CN"/>
              </w:rPr>
              <w:t>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35" w:hRule="atLeast"/>
          <w:jc w:val="center"/>
        </w:trPr>
        <w:tc>
          <w:tcPr>
            <w:tcW w:w="37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eastAsia" w:ascii="宋体" w:hAnsi="宋体" w:eastAsia="宋体" w:cs="宋体"/>
                <w:color w:val="auto"/>
                <w:sz w:val="21"/>
                <w:szCs w:val="21"/>
                <w:highlight w:val="none"/>
                <w:u w:val="none"/>
              </w:rPr>
            </w:pPr>
          </w:p>
        </w:tc>
        <w:tc>
          <w:tcPr>
            <w:tcW w:w="508" w:type="pct"/>
            <w:vAlign w:val="center"/>
          </w:tcPr>
          <w:p>
            <w:pPr>
              <w:keepNext w:val="0"/>
              <w:keepLines w:val="0"/>
              <w:pageBreakBefore w:val="0"/>
              <w:widowControl w:val="0"/>
              <w:numPr>
                <w:ilvl w:val="0"/>
                <w:numId w:val="0"/>
              </w:numPr>
              <w:kinsoku/>
              <w:wordWrap/>
              <w:overflowPunct/>
              <w:topLinePunct w:val="0"/>
              <w:autoSpaceDE/>
              <w:autoSpaceDN/>
              <w:bidi w:val="0"/>
              <w:spacing w:line="240" w:lineRule="exact"/>
              <w:ind w:left="0" w:leftChars="0" w:firstLine="0" w:firstLineChars="0"/>
              <w:jc w:val="center"/>
              <w:textAlignment w:val="auto"/>
              <w:rPr>
                <w:rFonts w:hint="eastAsia" w:ascii="宋体" w:hAnsi="宋体" w:eastAsia="宋体" w:cs="宋体"/>
                <w:b w:val="0"/>
                <w:bCs w:val="0"/>
                <w:color w:val="auto"/>
                <w:kern w:val="2"/>
                <w:sz w:val="21"/>
                <w:szCs w:val="21"/>
                <w:highlight w:val="none"/>
                <w:lang w:val="en-US" w:eastAsia="zh-CN" w:bidi="ar-SA"/>
              </w:rPr>
            </w:pPr>
            <w:r>
              <w:rPr>
                <w:rFonts w:hint="eastAsia" w:ascii="宋体" w:hAnsi="宋体" w:eastAsia="宋体" w:cs="宋体"/>
                <w:b w:val="0"/>
                <w:bCs w:val="0"/>
                <w:color w:val="auto"/>
                <w:sz w:val="21"/>
                <w:szCs w:val="21"/>
                <w:highlight w:val="none"/>
                <w:lang w:val="en-US" w:eastAsia="zh-CN"/>
              </w:rPr>
              <w:t>锅炉房缓冲池、冰醋酸储罐</w:t>
            </w:r>
          </w:p>
        </w:tc>
        <w:tc>
          <w:tcPr>
            <w:tcW w:w="496" w:type="pct"/>
            <w:vAlign w:val="center"/>
          </w:tcPr>
          <w:p>
            <w:pPr>
              <w:keepNext w:val="0"/>
              <w:keepLines w:val="0"/>
              <w:pageBreakBefore w:val="0"/>
              <w:widowControl w:val="0"/>
              <w:numPr>
                <w:ilvl w:val="0"/>
                <w:numId w:val="0"/>
              </w:numPr>
              <w:kinsoku/>
              <w:wordWrap/>
              <w:overflowPunct/>
              <w:topLinePunct w:val="0"/>
              <w:autoSpaceDE/>
              <w:autoSpaceDN/>
              <w:bidi w:val="0"/>
              <w:spacing w:line="240" w:lineRule="exact"/>
              <w:ind w:left="0" w:leftChars="0" w:firstLine="0" w:firstLineChars="0"/>
              <w:jc w:val="center"/>
              <w:textAlignment w:val="auto"/>
              <w:rPr>
                <w:rFonts w:hint="eastAsia" w:ascii="宋体" w:hAnsi="宋体" w:eastAsia="宋体" w:cs="宋体"/>
                <w:b w:val="0"/>
                <w:bCs w:val="0"/>
                <w:color w:val="auto"/>
                <w:kern w:val="2"/>
                <w:sz w:val="21"/>
                <w:szCs w:val="21"/>
                <w:highlight w:val="none"/>
                <w:lang w:val="en-US" w:eastAsia="zh-CN" w:bidi="ar-SA"/>
              </w:rPr>
            </w:pPr>
            <w:r>
              <w:rPr>
                <w:rFonts w:hint="eastAsia" w:ascii="宋体" w:hAnsi="宋体" w:eastAsia="宋体" w:cs="宋体"/>
                <w:b w:val="0"/>
                <w:bCs w:val="0"/>
                <w:color w:val="auto"/>
                <w:sz w:val="21"/>
                <w:szCs w:val="21"/>
                <w:highlight w:val="none"/>
                <w:lang w:val="en-US" w:eastAsia="zh-CN"/>
              </w:rPr>
              <w:t>锅炉房缓冲池、冰醋酸储罐</w:t>
            </w:r>
          </w:p>
        </w:tc>
        <w:tc>
          <w:tcPr>
            <w:tcW w:w="293" w:type="pct"/>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eastAsia" w:ascii="宋体" w:hAnsi="宋体" w:eastAsia="宋体" w:cs="宋体"/>
                <w:color w:val="auto"/>
                <w:sz w:val="21"/>
                <w:szCs w:val="21"/>
                <w:highlight w:val="none"/>
                <w:u w:val="none"/>
                <w:lang w:val="en-US" w:eastAsia="zh-CN"/>
              </w:rPr>
            </w:pPr>
            <w:r>
              <w:rPr>
                <w:rFonts w:hint="eastAsia" w:ascii="宋体" w:hAnsi="宋体" w:eastAsia="宋体" w:cs="宋体"/>
                <w:color w:val="auto"/>
                <w:sz w:val="21"/>
                <w:szCs w:val="21"/>
                <w:highlight w:val="none"/>
                <w:u w:val="none"/>
                <w:lang w:val="en-US" w:eastAsia="zh-CN"/>
              </w:rPr>
              <w:t>/</w:t>
            </w:r>
          </w:p>
        </w:tc>
        <w:tc>
          <w:tcPr>
            <w:tcW w:w="961" w:type="pct"/>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eastAsia" w:ascii="宋体" w:hAnsi="宋体" w:eastAsia="宋体" w:cs="宋体"/>
                <w:color w:val="auto"/>
                <w:sz w:val="21"/>
                <w:szCs w:val="21"/>
                <w:highlight w:val="none"/>
                <w:u w:val="none"/>
                <w:lang w:val="en-US" w:eastAsia="zh-CN"/>
              </w:rPr>
            </w:pPr>
            <w:r>
              <w:rPr>
                <w:rFonts w:hint="eastAsia" w:ascii="宋体" w:hAnsi="宋体" w:eastAsia="宋体" w:cs="宋体"/>
                <w:color w:val="auto"/>
                <w:sz w:val="21"/>
                <w:szCs w:val="21"/>
                <w:highlight w:val="none"/>
                <w:u w:val="none"/>
                <w:lang w:val="en-US" w:eastAsia="zh-CN"/>
              </w:rPr>
              <w:t>颗粒物、二氧化硫、氮氧化物、废水污染因子</w:t>
            </w:r>
            <w:r>
              <w:rPr>
                <w:rFonts w:hint="eastAsia" w:ascii="宋体" w:hAnsi="宋体" w:eastAsia="宋体" w:cs="宋体"/>
                <w:color w:val="auto"/>
                <w:kern w:val="0"/>
                <w:sz w:val="21"/>
                <w:szCs w:val="21"/>
                <w:highlight w:val="none"/>
                <w:lang w:val="en-US" w:eastAsia="zh-CN" w:bidi="ar"/>
              </w:rPr>
              <w:t>等</w:t>
            </w:r>
          </w:p>
        </w:tc>
        <w:tc>
          <w:tcPr>
            <w:tcW w:w="74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color w:val="auto"/>
                <w:kern w:val="0"/>
                <w:sz w:val="21"/>
                <w:szCs w:val="21"/>
                <w:highlight w:val="none"/>
              </w:rPr>
              <w:t>N</w:t>
            </w:r>
            <w:r>
              <w:rPr>
                <w:rFonts w:hint="eastAsia" w:ascii="宋体" w:hAnsi="宋体" w:eastAsia="宋体" w:cs="宋体"/>
                <w:color w:val="auto"/>
                <w:kern w:val="0"/>
                <w:sz w:val="21"/>
                <w:szCs w:val="21"/>
                <w:highlight w:val="none"/>
                <w:lang w:eastAsia="zh-CN"/>
              </w:rPr>
              <w:t>：</w:t>
            </w:r>
            <w:r>
              <w:rPr>
                <w:rFonts w:hint="eastAsia" w:ascii="宋体" w:hAnsi="宋体" w:eastAsia="宋体" w:cs="宋体"/>
                <w:color w:val="auto"/>
                <w:kern w:val="0"/>
                <w:sz w:val="21"/>
                <w:szCs w:val="21"/>
                <w:highlight w:val="none"/>
              </w:rPr>
              <w:t>3</w:t>
            </w:r>
            <w:r>
              <w:rPr>
                <w:rFonts w:hint="eastAsia" w:ascii="宋体" w:hAnsi="宋体" w:eastAsia="宋体" w:cs="宋体"/>
                <w:color w:val="auto"/>
                <w:kern w:val="0"/>
                <w:sz w:val="21"/>
                <w:szCs w:val="21"/>
                <w:highlight w:val="none"/>
                <w:lang w:val="en-US" w:eastAsia="zh-CN"/>
              </w:rPr>
              <w:t>4</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40</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27.003</w:t>
            </w:r>
            <w:r>
              <w:rPr>
                <w:rFonts w:hint="eastAsia" w:ascii="宋体" w:hAnsi="宋体" w:eastAsia="宋体" w:cs="宋体"/>
                <w:color w:val="auto"/>
                <w:kern w:val="0"/>
                <w:sz w:val="21"/>
                <w:szCs w:val="21"/>
                <w:highlight w:val="none"/>
              </w:rPr>
              <w:t>''E</w:t>
            </w:r>
            <w:r>
              <w:rPr>
                <w:rFonts w:hint="eastAsia" w:ascii="宋体" w:hAnsi="宋体" w:eastAsia="宋体" w:cs="宋体"/>
                <w:color w:val="auto"/>
                <w:kern w:val="0"/>
                <w:sz w:val="21"/>
                <w:szCs w:val="21"/>
                <w:highlight w:val="none"/>
                <w:lang w:eastAsia="zh-CN"/>
              </w:rPr>
              <w:t>：</w:t>
            </w:r>
            <w:r>
              <w:rPr>
                <w:rFonts w:hint="eastAsia" w:ascii="宋体" w:hAnsi="宋体" w:eastAsia="宋体" w:cs="宋体"/>
                <w:color w:val="auto"/>
                <w:kern w:val="0"/>
                <w:sz w:val="21"/>
                <w:szCs w:val="21"/>
                <w:highlight w:val="none"/>
              </w:rPr>
              <w:t>11</w:t>
            </w:r>
            <w:r>
              <w:rPr>
                <w:rFonts w:hint="eastAsia" w:ascii="宋体" w:hAnsi="宋体" w:eastAsia="宋体" w:cs="宋体"/>
                <w:color w:val="auto"/>
                <w:kern w:val="0"/>
                <w:sz w:val="21"/>
                <w:szCs w:val="21"/>
                <w:highlight w:val="none"/>
                <w:lang w:val="en-US" w:eastAsia="zh-CN"/>
              </w:rPr>
              <w:t>1</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35</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23.697</w:t>
            </w:r>
            <w:r>
              <w:rPr>
                <w:rFonts w:hint="eastAsia" w:ascii="宋体" w:hAnsi="宋体" w:eastAsia="宋体" w:cs="宋体"/>
                <w:color w:val="auto"/>
                <w:kern w:val="0"/>
                <w:sz w:val="21"/>
                <w:szCs w:val="21"/>
                <w:highlight w:val="none"/>
              </w:rPr>
              <w:t>''</w:t>
            </w:r>
          </w:p>
        </w:tc>
        <w:tc>
          <w:tcPr>
            <w:tcW w:w="459"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sz w:val="21"/>
                <w:szCs w:val="21"/>
                <w:highlight w:val="none"/>
                <w:u w:val="none"/>
                <w:lang w:eastAsia="zh-CN"/>
              </w:rPr>
              <w:t>否</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sz w:val="21"/>
                <w:szCs w:val="21"/>
                <w:highlight w:val="none"/>
                <w:u w:val="none"/>
                <w:lang w:eastAsia="zh-CN"/>
              </w:rPr>
              <w:t>二类</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eastAsia" w:ascii="宋体" w:hAnsi="宋体" w:eastAsia="宋体" w:cs="宋体"/>
                <w:color w:val="auto"/>
                <w:sz w:val="21"/>
                <w:szCs w:val="21"/>
                <w:highlight w:val="none"/>
                <w:u w:val="none"/>
              </w:rPr>
            </w:pP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eastAsia" w:ascii="宋体" w:hAnsi="宋体" w:eastAsia="宋体" w:cs="宋体"/>
                <w:color w:val="auto"/>
                <w:sz w:val="21"/>
                <w:szCs w:val="21"/>
                <w:highlight w:val="none"/>
                <w:u w:val="none"/>
                <w:lang w:val="en-US" w:eastAsia="zh-CN"/>
              </w:rPr>
            </w:pPr>
            <w:r>
              <w:rPr>
                <w:rFonts w:hint="eastAsia" w:ascii="宋体" w:hAnsi="宋体" w:eastAsia="宋体" w:cs="宋体"/>
                <w:color w:val="auto"/>
                <w:sz w:val="21"/>
                <w:szCs w:val="21"/>
                <w:highlight w:val="none"/>
                <w:u w:val="none"/>
                <w:lang w:val="en-US" w:eastAsia="zh-CN"/>
              </w:rPr>
              <w:t>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676" w:hRule="atLeast"/>
          <w:jc w:val="center"/>
        </w:trPr>
        <w:tc>
          <w:tcPr>
            <w:tcW w:w="37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eastAsia" w:ascii="宋体" w:hAnsi="宋体" w:eastAsia="宋体" w:cs="宋体"/>
                <w:color w:val="auto"/>
                <w:sz w:val="21"/>
                <w:szCs w:val="21"/>
                <w:highlight w:val="none"/>
                <w:u w:val="none"/>
              </w:rPr>
            </w:pPr>
          </w:p>
        </w:tc>
        <w:tc>
          <w:tcPr>
            <w:tcW w:w="508" w:type="pct"/>
            <w:vAlign w:val="center"/>
          </w:tcPr>
          <w:p>
            <w:pPr>
              <w:keepNext w:val="0"/>
              <w:keepLines w:val="0"/>
              <w:pageBreakBefore w:val="0"/>
              <w:widowControl w:val="0"/>
              <w:numPr>
                <w:ilvl w:val="0"/>
                <w:numId w:val="0"/>
              </w:numPr>
              <w:kinsoku/>
              <w:wordWrap/>
              <w:overflowPunct/>
              <w:topLinePunct w:val="0"/>
              <w:autoSpaceDE/>
              <w:autoSpaceDN/>
              <w:bidi w:val="0"/>
              <w:spacing w:line="240" w:lineRule="exact"/>
              <w:ind w:left="0" w:leftChars="0" w:firstLine="0" w:firstLineChars="0"/>
              <w:jc w:val="center"/>
              <w:textAlignment w:val="auto"/>
              <w:rPr>
                <w:rFonts w:hint="eastAsia" w:ascii="宋体" w:hAnsi="宋体" w:eastAsia="宋体" w:cs="宋体"/>
                <w:b w:val="0"/>
                <w:bCs w:val="0"/>
                <w:color w:val="auto"/>
                <w:kern w:val="2"/>
                <w:sz w:val="21"/>
                <w:szCs w:val="21"/>
                <w:highlight w:val="none"/>
                <w:lang w:val="en-US" w:eastAsia="zh-CN" w:bidi="ar-SA"/>
              </w:rPr>
            </w:pPr>
            <w:r>
              <w:rPr>
                <w:rFonts w:hint="eastAsia" w:ascii="宋体" w:hAnsi="宋体" w:eastAsia="宋体" w:cs="宋体"/>
                <w:b w:val="0"/>
                <w:bCs w:val="0"/>
                <w:color w:val="auto"/>
                <w:sz w:val="21"/>
                <w:szCs w:val="21"/>
                <w:highlight w:val="none"/>
                <w:lang w:val="en-US" w:eastAsia="zh-CN"/>
              </w:rPr>
              <w:t>酸碱储罐区、尼文酸应急池、4#仓库（甲苯、氯苯）</w:t>
            </w:r>
          </w:p>
        </w:tc>
        <w:tc>
          <w:tcPr>
            <w:tcW w:w="496" w:type="pct"/>
            <w:vAlign w:val="center"/>
          </w:tcPr>
          <w:p>
            <w:pPr>
              <w:keepNext w:val="0"/>
              <w:keepLines w:val="0"/>
              <w:pageBreakBefore w:val="0"/>
              <w:widowControl w:val="0"/>
              <w:numPr>
                <w:ilvl w:val="0"/>
                <w:numId w:val="0"/>
              </w:numPr>
              <w:kinsoku/>
              <w:wordWrap/>
              <w:overflowPunct/>
              <w:topLinePunct w:val="0"/>
              <w:autoSpaceDE/>
              <w:autoSpaceDN/>
              <w:bidi w:val="0"/>
              <w:spacing w:line="240" w:lineRule="exact"/>
              <w:ind w:left="0" w:leftChars="0" w:firstLine="0" w:firstLineChars="0"/>
              <w:jc w:val="center"/>
              <w:textAlignment w:val="auto"/>
              <w:rPr>
                <w:rFonts w:hint="eastAsia" w:ascii="宋体" w:hAnsi="宋体" w:eastAsia="宋体" w:cs="宋体"/>
                <w:b w:val="0"/>
                <w:bCs w:val="0"/>
                <w:color w:val="auto"/>
                <w:kern w:val="2"/>
                <w:sz w:val="21"/>
                <w:szCs w:val="21"/>
                <w:highlight w:val="none"/>
                <w:lang w:val="en-US" w:eastAsia="zh-CN" w:bidi="ar-SA"/>
              </w:rPr>
            </w:pPr>
            <w:r>
              <w:rPr>
                <w:rFonts w:hint="eastAsia" w:ascii="宋体" w:hAnsi="宋体" w:eastAsia="宋体" w:cs="宋体"/>
                <w:b w:val="0"/>
                <w:bCs w:val="0"/>
                <w:color w:val="auto"/>
                <w:sz w:val="21"/>
                <w:szCs w:val="21"/>
                <w:highlight w:val="none"/>
                <w:lang w:val="en-US" w:eastAsia="zh-CN"/>
              </w:rPr>
              <w:t>酸碱储罐区、尼文酸应急池、4#仓库（甲苯、氯苯）</w:t>
            </w:r>
          </w:p>
        </w:tc>
        <w:tc>
          <w:tcPr>
            <w:tcW w:w="293" w:type="pct"/>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eastAsia" w:ascii="宋体" w:hAnsi="宋体" w:eastAsia="宋体" w:cs="宋体"/>
                <w:color w:val="auto"/>
                <w:sz w:val="21"/>
                <w:szCs w:val="21"/>
                <w:highlight w:val="none"/>
                <w:u w:val="none"/>
                <w:lang w:val="en-US" w:eastAsia="zh-CN"/>
              </w:rPr>
            </w:pPr>
            <w:r>
              <w:rPr>
                <w:rFonts w:hint="eastAsia" w:ascii="宋体" w:hAnsi="宋体" w:eastAsia="宋体" w:cs="宋体"/>
                <w:color w:val="auto"/>
                <w:sz w:val="21"/>
                <w:szCs w:val="21"/>
                <w:highlight w:val="none"/>
                <w:u w:val="none"/>
                <w:lang w:val="en-US" w:eastAsia="zh-CN"/>
              </w:rPr>
              <w:t>甲苯、氯苯</w:t>
            </w:r>
          </w:p>
        </w:tc>
        <w:tc>
          <w:tcPr>
            <w:tcW w:w="961" w:type="pct"/>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eastAsia" w:ascii="宋体" w:hAnsi="宋体" w:eastAsia="宋体" w:cs="宋体"/>
                <w:color w:val="auto"/>
                <w:sz w:val="21"/>
                <w:szCs w:val="21"/>
                <w:highlight w:val="none"/>
                <w:u w:val="none"/>
                <w:lang w:val="en-US" w:eastAsia="zh-CN"/>
              </w:rPr>
            </w:pPr>
            <w:r>
              <w:rPr>
                <w:rFonts w:hint="eastAsia" w:ascii="宋体" w:hAnsi="宋体" w:eastAsia="宋体" w:cs="宋体"/>
                <w:b w:val="0"/>
                <w:bCs w:val="0"/>
                <w:color w:val="auto"/>
                <w:sz w:val="21"/>
                <w:szCs w:val="21"/>
                <w:highlight w:val="none"/>
                <w:lang w:val="en-US" w:eastAsia="zh-CN"/>
              </w:rPr>
              <w:t>甲苯、氯苯、</w:t>
            </w:r>
            <w:r>
              <w:rPr>
                <w:rFonts w:hint="eastAsia" w:ascii="宋体" w:hAnsi="宋体" w:eastAsia="宋体" w:cs="宋体"/>
                <w:color w:val="auto"/>
                <w:sz w:val="21"/>
                <w:szCs w:val="21"/>
                <w:highlight w:val="none"/>
                <w:u w:val="none"/>
                <w:lang w:val="en-US" w:eastAsia="zh-CN"/>
              </w:rPr>
              <w:t>硫酸雾、</w:t>
            </w:r>
            <w:r>
              <w:rPr>
                <w:rFonts w:hint="eastAsia" w:ascii="宋体" w:hAnsi="宋体" w:eastAsia="宋体" w:cs="宋体"/>
                <w:color w:val="auto"/>
                <w:kern w:val="0"/>
                <w:sz w:val="21"/>
                <w:szCs w:val="21"/>
                <w:highlight w:val="none"/>
                <w:lang w:val="en-US" w:eastAsia="zh-CN" w:bidi="ar"/>
              </w:rPr>
              <w:t>非甲烷总烃等</w:t>
            </w:r>
          </w:p>
        </w:tc>
        <w:tc>
          <w:tcPr>
            <w:tcW w:w="74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color w:val="auto"/>
                <w:kern w:val="0"/>
                <w:sz w:val="21"/>
                <w:szCs w:val="21"/>
                <w:highlight w:val="none"/>
              </w:rPr>
              <w:t>N</w:t>
            </w:r>
            <w:r>
              <w:rPr>
                <w:rFonts w:hint="eastAsia" w:ascii="宋体" w:hAnsi="宋体" w:eastAsia="宋体" w:cs="宋体"/>
                <w:color w:val="auto"/>
                <w:kern w:val="0"/>
                <w:sz w:val="21"/>
                <w:szCs w:val="21"/>
                <w:highlight w:val="none"/>
                <w:lang w:eastAsia="zh-CN"/>
              </w:rPr>
              <w:t>：</w:t>
            </w:r>
            <w:r>
              <w:rPr>
                <w:rFonts w:hint="eastAsia" w:ascii="宋体" w:hAnsi="宋体" w:eastAsia="宋体" w:cs="宋体"/>
                <w:color w:val="auto"/>
                <w:kern w:val="0"/>
                <w:sz w:val="21"/>
                <w:szCs w:val="21"/>
                <w:highlight w:val="none"/>
              </w:rPr>
              <w:t>3</w:t>
            </w:r>
            <w:r>
              <w:rPr>
                <w:rFonts w:hint="eastAsia" w:ascii="宋体" w:hAnsi="宋体" w:eastAsia="宋体" w:cs="宋体"/>
                <w:color w:val="auto"/>
                <w:kern w:val="0"/>
                <w:sz w:val="21"/>
                <w:szCs w:val="21"/>
                <w:highlight w:val="none"/>
                <w:lang w:val="en-US" w:eastAsia="zh-CN"/>
              </w:rPr>
              <w:t>4</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40</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27.050</w:t>
            </w:r>
            <w:r>
              <w:rPr>
                <w:rFonts w:hint="eastAsia" w:ascii="宋体" w:hAnsi="宋体" w:eastAsia="宋体" w:cs="宋体"/>
                <w:color w:val="auto"/>
                <w:kern w:val="0"/>
                <w:sz w:val="21"/>
                <w:szCs w:val="21"/>
                <w:highlight w:val="none"/>
              </w:rPr>
              <w:t>''E</w:t>
            </w:r>
            <w:r>
              <w:rPr>
                <w:rFonts w:hint="eastAsia" w:ascii="宋体" w:hAnsi="宋体" w:eastAsia="宋体" w:cs="宋体"/>
                <w:color w:val="auto"/>
                <w:kern w:val="0"/>
                <w:sz w:val="21"/>
                <w:szCs w:val="21"/>
                <w:highlight w:val="none"/>
                <w:lang w:eastAsia="zh-CN"/>
              </w:rPr>
              <w:t>：</w:t>
            </w:r>
            <w:r>
              <w:rPr>
                <w:rFonts w:hint="eastAsia" w:ascii="宋体" w:hAnsi="宋体" w:eastAsia="宋体" w:cs="宋体"/>
                <w:color w:val="auto"/>
                <w:kern w:val="0"/>
                <w:sz w:val="21"/>
                <w:szCs w:val="21"/>
                <w:highlight w:val="none"/>
              </w:rPr>
              <w:t>11</w:t>
            </w:r>
            <w:r>
              <w:rPr>
                <w:rFonts w:hint="eastAsia" w:ascii="宋体" w:hAnsi="宋体" w:eastAsia="宋体" w:cs="宋体"/>
                <w:color w:val="auto"/>
                <w:kern w:val="0"/>
                <w:sz w:val="21"/>
                <w:szCs w:val="21"/>
                <w:highlight w:val="none"/>
                <w:lang w:val="en-US" w:eastAsia="zh-CN"/>
              </w:rPr>
              <w:t>1</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35</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21.939</w:t>
            </w:r>
            <w:r>
              <w:rPr>
                <w:rFonts w:hint="eastAsia" w:ascii="宋体" w:hAnsi="宋体" w:eastAsia="宋体" w:cs="宋体"/>
                <w:color w:val="auto"/>
                <w:kern w:val="0"/>
                <w:sz w:val="21"/>
                <w:szCs w:val="21"/>
                <w:highlight w:val="none"/>
              </w:rPr>
              <w:t>''</w:t>
            </w:r>
          </w:p>
        </w:tc>
        <w:tc>
          <w:tcPr>
            <w:tcW w:w="459"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sz w:val="21"/>
                <w:szCs w:val="21"/>
                <w:highlight w:val="none"/>
                <w:u w:val="none"/>
                <w:lang w:eastAsia="zh-CN"/>
              </w:rPr>
              <w:t>否</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sz w:val="21"/>
                <w:szCs w:val="21"/>
                <w:highlight w:val="none"/>
                <w:u w:val="none"/>
                <w:lang w:eastAsia="zh-CN"/>
              </w:rPr>
              <w:t>二类</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eastAsia" w:ascii="宋体" w:hAnsi="宋体" w:eastAsia="宋体" w:cs="宋体"/>
                <w:color w:val="auto"/>
                <w:sz w:val="21"/>
                <w:szCs w:val="21"/>
                <w:highlight w:val="none"/>
                <w:u w:val="none"/>
              </w:rPr>
            </w:pP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eastAsia" w:ascii="宋体" w:hAnsi="宋体" w:eastAsia="宋体" w:cs="宋体"/>
                <w:color w:val="auto"/>
                <w:sz w:val="21"/>
                <w:szCs w:val="21"/>
                <w:highlight w:val="none"/>
                <w:u w:val="none"/>
                <w:lang w:val="en-US" w:eastAsia="zh-CN"/>
              </w:rPr>
            </w:pPr>
            <w:r>
              <w:rPr>
                <w:rFonts w:hint="eastAsia" w:ascii="宋体" w:hAnsi="宋体" w:eastAsia="宋体" w:cs="宋体"/>
                <w:color w:val="auto"/>
                <w:sz w:val="21"/>
                <w:szCs w:val="21"/>
                <w:highlight w:val="none"/>
                <w:u w:val="none"/>
                <w:lang w:val="en-US" w:eastAsia="zh-CN"/>
              </w:rPr>
              <w:t>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120" w:hRule="atLeast"/>
          <w:jc w:val="center"/>
        </w:trPr>
        <w:tc>
          <w:tcPr>
            <w:tcW w:w="37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eastAsia" w:ascii="宋体" w:hAnsi="宋体" w:eastAsia="宋体" w:cs="宋体"/>
                <w:color w:val="auto"/>
                <w:sz w:val="21"/>
                <w:szCs w:val="21"/>
                <w:highlight w:val="none"/>
                <w:u w:val="none"/>
              </w:rPr>
            </w:pPr>
          </w:p>
        </w:tc>
        <w:tc>
          <w:tcPr>
            <w:tcW w:w="508" w:type="pct"/>
            <w:vAlign w:val="center"/>
          </w:tcPr>
          <w:p>
            <w:pPr>
              <w:keepNext w:val="0"/>
              <w:keepLines w:val="0"/>
              <w:pageBreakBefore w:val="0"/>
              <w:widowControl w:val="0"/>
              <w:numPr>
                <w:ilvl w:val="0"/>
                <w:numId w:val="0"/>
              </w:numPr>
              <w:kinsoku/>
              <w:wordWrap/>
              <w:overflowPunct/>
              <w:topLinePunct w:val="0"/>
              <w:autoSpaceDE/>
              <w:autoSpaceDN/>
              <w:bidi w:val="0"/>
              <w:spacing w:line="240" w:lineRule="exact"/>
              <w:ind w:left="0" w:leftChars="0" w:firstLine="0" w:firstLineChars="0"/>
              <w:jc w:val="center"/>
              <w:textAlignment w:val="auto"/>
              <w:rPr>
                <w:rFonts w:hint="eastAsia" w:ascii="宋体" w:hAnsi="宋体" w:eastAsia="宋体" w:cs="宋体"/>
                <w:b w:val="0"/>
                <w:bCs w:val="0"/>
                <w:color w:val="auto"/>
                <w:kern w:val="2"/>
                <w:sz w:val="21"/>
                <w:szCs w:val="21"/>
                <w:highlight w:val="none"/>
                <w:lang w:val="en-US" w:eastAsia="zh-CN" w:bidi="ar-SA"/>
              </w:rPr>
            </w:pPr>
            <w:r>
              <w:rPr>
                <w:rFonts w:hint="eastAsia" w:ascii="宋体" w:hAnsi="宋体" w:eastAsia="宋体" w:cs="宋体"/>
                <w:b w:val="0"/>
                <w:bCs w:val="0"/>
                <w:color w:val="auto"/>
                <w:sz w:val="21"/>
                <w:szCs w:val="21"/>
                <w:highlight w:val="none"/>
                <w:lang w:val="en-US" w:eastAsia="zh-CN"/>
              </w:rPr>
              <w:t>固废前处理车间、四溴应急池及缓冲池</w:t>
            </w:r>
          </w:p>
        </w:tc>
        <w:tc>
          <w:tcPr>
            <w:tcW w:w="496" w:type="pct"/>
            <w:vAlign w:val="center"/>
          </w:tcPr>
          <w:p>
            <w:pPr>
              <w:keepNext w:val="0"/>
              <w:keepLines w:val="0"/>
              <w:pageBreakBefore w:val="0"/>
              <w:widowControl w:val="0"/>
              <w:numPr>
                <w:ilvl w:val="0"/>
                <w:numId w:val="0"/>
              </w:numPr>
              <w:kinsoku/>
              <w:wordWrap/>
              <w:overflowPunct/>
              <w:topLinePunct w:val="0"/>
              <w:autoSpaceDE/>
              <w:autoSpaceDN/>
              <w:bidi w:val="0"/>
              <w:spacing w:line="240" w:lineRule="exact"/>
              <w:ind w:left="0" w:leftChars="0" w:firstLine="0" w:firstLineChars="0"/>
              <w:jc w:val="center"/>
              <w:textAlignment w:val="auto"/>
              <w:rPr>
                <w:rFonts w:hint="eastAsia" w:ascii="宋体" w:hAnsi="宋体" w:eastAsia="宋体" w:cs="宋体"/>
                <w:b w:val="0"/>
                <w:bCs w:val="0"/>
                <w:color w:val="auto"/>
                <w:kern w:val="2"/>
                <w:sz w:val="21"/>
                <w:szCs w:val="21"/>
                <w:highlight w:val="none"/>
                <w:lang w:val="en-US" w:eastAsia="zh-CN" w:bidi="ar-SA"/>
              </w:rPr>
            </w:pPr>
            <w:r>
              <w:rPr>
                <w:rFonts w:hint="eastAsia" w:ascii="宋体" w:hAnsi="宋体" w:eastAsia="宋体" w:cs="宋体"/>
                <w:b w:val="0"/>
                <w:bCs w:val="0"/>
                <w:color w:val="auto"/>
                <w:sz w:val="21"/>
                <w:szCs w:val="21"/>
                <w:highlight w:val="none"/>
                <w:lang w:val="en-US" w:eastAsia="zh-CN"/>
              </w:rPr>
              <w:t>固废前处理车间、四溴应急池及缓冲池</w:t>
            </w:r>
          </w:p>
        </w:tc>
        <w:tc>
          <w:tcPr>
            <w:tcW w:w="293" w:type="pct"/>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eastAsia" w:ascii="宋体" w:hAnsi="宋体" w:eastAsia="宋体" w:cs="宋体"/>
                <w:color w:val="auto"/>
                <w:sz w:val="21"/>
                <w:szCs w:val="21"/>
                <w:highlight w:val="none"/>
                <w:u w:val="none"/>
                <w:lang w:val="en-US" w:eastAsia="zh-CN"/>
              </w:rPr>
            </w:pPr>
            <w:r>
              <w:rPr>
                <w:rFonts w:hint="eastAsia" w:ascii="宋体" w:hAnsi="宋体" w:eastAsia="宋体" w:cs="宋体"/>
                <w:color w:val="auto"/>
                <w:sz w:val="21"/>
                <w:szCs w:val="21"/>
                <w:highlight w:val="none"/>
                <w:u w:val="none"/>
                <w:lang w:val="en-US" w:eastAsia="zh-CN"/>
              </w:rPr>
              <w:t>/</w:t>
            </w:r>
          </w:p>
        </w:tc>
        <w:tc>
          <w:tcPr>
            <w:tcW w:w="961" w:type="pct"/>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eastAsia" w:ascii="宋体" w:hAnsi="宋体" w:eastAsia="宋体" w:cs="宋体"/>
                <w:color w:val="auto"/>
                <w:sz w:val="21"/>
                <w:szCs w:val="21"/>
                <w:highlight w:val="none"/>
                <w:u w:val="none"/>
                <w:lang w:val="en-US" w:eastAsia="zh-CN"/>
              </w:rPr>
            </w:pPr>
            <w:r>
              <w:rPr>
                <w:rFonts w:hint="eastAsia" w:ascii="宋体" w:hAnsi="宋体" w:eastAsia="宋体" w:cs="宋体"/>
                <w:color w:val="auto"/>
                <w:kern w:val="0"/>
                <w:sz w:val="21"/>
                <w:szCs w:val="21"/>
                <w:highlight w:val="none"/>
                <w:lang w:val="en-US" w:eastAsia="zh-CN" w:bidi="ar"/>
              </w:rPr>
              <w:t>非甲烷总烃等</w:t>
            </w:r>
          </w:p>
        </w:tc>
        <w:tc>
          <w:tcPr>
            <w:tcW w:w="74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color w:val="auto"/>
                <w:kern w:val="0"/>
                <w:sz w:val="21"/>
                <w:szCs w:val="21"/>
                <w:highlight w:val="none"/>
              </w:rPr>
              <w:t>N</w:t>
            </w:r>
            <w:r>
              <w:rPr>
                <w:rFonts w:hint="eastAsia" w:ascii="宋体" w:hAnsi="宋体" w:eastAsia="宋体" w:cs="宋体"/>
                <w:color w:val="auto"/>
                <w:kern w:val="0"/>
                <w:sz w:val="21"/>
                <w:szCs w:val="21"/>
                <w:highlight w:val="none"/>
                <w:lang w:eastAsia="zh-CN"/>
              </w:rPr>
              <w:t>：</w:t>
            </w:r>
            <w:r>
              <w:rPr>
                <w:rFonts w:hint="eastAsia" w:ascii="宋体" w:hAnsi="宋体" w:eastAsia="宋体" w:cs="宋体"/>
                <w:color w:val="auto"/>
                <w:kern w:val="0"/>
                <w:sz w:val="21"/>
                <w:szCs w:val="21"/>
                <w:highlight w:val="none"/>
              </w:rPr>
              <w:t>3</w:t>
            </w:r>
            <w:r>
              <w:rPr>
                <w:rFonts w:hint="eastAsia" w:ascii="宋体" w:hAnsi="宋体" w:eastAsia="宋体" w:cs="宋体"/>
                <w:color w:val="auto"/>
                <w:kern w:val="0"/>
                <w:sz w:val="21"/>
                <w:szCs w:val="21"/>
                <w:highlight w:val="none"/>
                <w:lang w:val="en-US" w:eastAsia="zh-CN"/>
              </w:rPr>
              <w:t>4</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40</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25.796</w:t>
            </w:r>
            <w:r>
              <w:rPr>
                <w:rFonts w:hint="eastAsia" w:ascii="宋体" w:hAnsi="宋体" w:eastAsia="宋体" w:cs="宋体"/>
                <w:color w:val="auto"/>
                <w:kern w:val="0"/>
                <w:sz w:val="21"/>
                <w:szCs w:val="21"/>
                <w:highlight w:val="none"/>
              </w:rPr>
              <w:t>''E</w:t>
            </w:r>
            <w:r>
              <w:rPr>
                <w:rFonts w:hint="eastAsia" w:ascii="宋体" w:hAnsi="宋体" w:eastAsia="宋体" w:cs="宋体"/>
                <w:color w:val="auto"/>
                <w:kern w:val="0"/>
                <w:sz w:val="21"/>
                <w:szCs w:val="21"/>
                <w:highlight w:val="none"/>
                <w:lang w:eastAsia="zh-CN"/>
              </w:rPr>
              <w:t>：</w:t>
            </w:r>
            <w:r>
              <w:rPr>
                <w:rFonts w:hint="eastAsia" w:ascii="宋体" w:hAnsi="宋体" w:eastAsia="宋体" w:cs="宋体"/>
                <w:color w:val="auto"/>
                <w:kern w:val="0"/>
                <w:sz w:val="21"/>
                <w:szCs w:val="21"/>
                <w:highlight w:val="none"/>
              </w:rPr>
              <w:t>11</w:t>
            </w:r>
            <w:r>
              <w:rPr>
                <w:rFonts w:hint="eastAsia" w:ascii="宋体" w:hAnsi="宋体" w:eastAsia="宋体" w:cs="宋体"/>
                <w:color w:val="auto"/>
                <w:kern w:val="0"/>
                <w:sz w:val="21"/>
                <w:szCs w:val="21"/>
                <w:highlight w:val="none"/>
                <w:lang w:val="en-US" w:eastAsia="zh-CN"/>
              </w:rPr>
              <w:t>1</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35</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27.520</w:t>
            </w:r>
            <w:r>
              <w:rPr>
                <w:rFonts w:hint="eastAsia" w:ascii="宋体" w:hAnsi="宋体" w:eastAsia="宋体" w:cs="宋体"/>
                <w:color w:val="auto"/>
                <w:kern w:val="0"/>
                <w:sz w:val="21"/>
                <w:szCs w:val="21"/>
                <w:highlight w:val="none"/>
              </w:rPr>
              <w:t>''</w:t>
            </w:r>
          </w:p>
        </w:tc>
        <w:tc>
          <w:tcPr>
            <w:tcW w:w="459"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sz w:val="21"/>
                <w:szCs w:val="21"/>
                <w:highlight w:val="none"/>
                <w:u w:val="none"/>
                <w:lang w:eastAsia="zh-CN"/>
              </w:rPr>
              <w:t>否</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sz w:val="21"/>
                <w:szCs w:val="21"/>
                <w:highlight w:val="none"/>
                <w:u w:val="none"/>
                <w:lang w:eastAsia="zh-CN"/>
              </w:rPr>
              <w:t>二类</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eastAsia" w:ascii="宋体" w:hAnsi="宋体" w:eastAsia="宋体" w:cs="宋体"/>
                <w:color w:val="auto"/>
                <w:sz w:val="21"/>
                <w:szCs w:val="21"/>
                <w:highlight w:val="none"/>
                <w:u w:val="none"/>
              </w:rPr>
            </w:pP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eastAsia" w:ascii="宋体" w:hAnsi="宋体" w:eastAsia="宋体" w:cs="宋体"/>
                <w:color w:val="auto"/>
                <w:sz w:val="21"/>
                <w:szCs w:val="21"/>
                <w:highlight w:val="none"/>
                <w:u w:val="none"/>
                <w:lang w:val="en-US" w:eastAsia="zh-CN"/>
              </w:rPr>
            </w:pPr>
            <w:r>
              <w:rPr>
                <w:rFonts w:hint="eastAsia" w:ascii="宋体" w:hAnsi="宋体" w:eastAsia="宋体" w:cs="宋体"/>
                <w:b w:val="0"/>
                <w:bCs w:val="0"/>
                <w:color w:val="auto"/>
                <w:sz w:val="21"/>
                <w:szCs w:val="21"/>
                <w:highlight w:val="none"/>
                <w:lang w:val="en-US" w:eastAsia="zh-CN"/>
              </w:rP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42" w:hRule="atLeast"/>
          <w:jc w:val="center"/>
        </w:trPr>
        <w:tc>
          <w:tcPr>
            <w:tcW w:w="37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eastAsia" w:ascii="宋体" w:hAnsi="宋体" w:eastAsia="宋体" w:cs="宋体"/>
                <w:color w:val="auto"/>
                <w:sz w:val="21"/>
                <w:szCs w:val="21"/>
                <w:highlight w:val="none"/>
                <w:u w:val="none"/>
              </w:rPr>
            </w:pPr>
          </w:p>
        </w:tc>
        <w:tc>
          <w:tcPr>
            <w:tcW w:w="508" w:type="pct"/>
            <w:vAlign w:val="center"/>
          </w:tcPr>
          <w:p>
            <w:pPr>
              <w:keepNext w:val="0"/>
              <w:keepLines w:val="0"/>
              <w:pageBreakBefore w:val="0"/>
              <w:widowControl w:val="0"/>
              <w:numPr>
                <w:ilvl w:val="0"/>
                <w:numId w:val="0"/>
              </w:numPr>
              <w:kinsoku/>
              <w:wordWrap/>
              <w:overflowPunct/>
              <w:topLinePunct w:val="0"/>
              <w:autoSpaceDE/>
              <w:autoSpaceDN/>
              <w:bidi w:val="0"/>
              <w:spacing w:line="240" w:lineRule="exact"/>
              <w:ind w:left="0" w:leftChars="0" w:firstLine="0" w:firstLineChars="0"/>
              <w:jc w:val="center"/>
              <w:textAlignment w:val="auto"/>
              <w:rPr>
                <w:rFonts w:hint="eastAsia" w:ascii="宋体" w:hAnsi="宋体" w:eastAsia="宋体" w:cs="宋体"/>
                <w:b w:val="0"/>
                <w:bCs w:val="0"/>
                <w:color w:val="auto"/>
                <w:kern w:val="2"/>
                <w:sz w:val="21"/>
                <w:szCs w:val="21"/>
                <w:highlight w:val="none"/>
                <w:vertAlign w:val="baseline"/>
                <w:lang w:val="en-US" w:eastAsia="zh-CN" w:bidi="ar-SA"/>
              </w:rPr>
            </w:pPr>
            <w:r>
              <w:rPr>
                <w:rFonts w:hint="eastAsia" w:ascii="宋体" w:hAnsi="宋体" w:eastAsia="宋体" w:cs="宋体"/>
                <w:b w:val="0"/>
                <w:bCs w:val="0"/>
                <w:color w:val="auto"/>
                <w:sz w:val="21"/>
                <w:szCs w:val="21"/>
                <w:highlight w:val="none"/>
                <w:u w:val="none"/>
              </w:rPr>
              <w:t>土壤背景监测点</w:t>
            </w:r>
          </w:p>
        </w:tc>
        <w:tc>
          <w:tcPr>
            <w:tcW w:w="496" w:type="pct"/>
            <w:vAlign w:val="center"/>
          </w:tcPr>
          <w:p>
            <w:pPr>
              <w:keepNext w:val="0"/>
              <w:keepLines w:val="0"/>
              <w:pageBreakBefore w:val="0"/>
              <w:widowControl w:val="0"/>
              <w:numPr>
                <w:ilvl w:val="0"/>
                <w:numId w:val="0"/>
              </w:numPr>
              <w:kinsoku/>
              <w:wordWrap/>
              <w:overflowPunct/>
              <w:topLinePunct w:val="0"/>
              <w:autoSpaceDE/>
              <w:autoSpaceDN/>
              <w:bidi w:val="0"/>
              <w:spacing w:line="240" w:lineRule="exact"/>
              <w:ind w:left="0" w:leftChars="0" w:firstLine="0" w:firstLineChars="0"/>
              <w:jc w:val="center"/>
              <w:textAlignment w:val="auto"/>
              <w:rPr>
                <w:rFonts w:hint="eastAsia" w:ascii="宋体" w:hAnsi="宋体" w:eastAsia="宋体" w:cs="宋体"/>
                <w:b w:val="0"/>
                <w:bCs w:val="0"/>
                <w:color w:val="auto"/>
                <w:kern w:val="2"/>
                <w:sz w:val="21"/>
                <w:szCs w:val="21"/>
                <w:highlight w:val="none"/>
                <w:vertAlign w:val="baseline"/>
                <w:lang w:val="en-US" w:eastAsia="zh-CN" w:bidi="ar-SA"/>
              </w:rPr>
            </w:pPr>
            <w:r>
              <w:rPr>
                <w:rFonts w:hint="eastAsia" w:ascii="宋体" w:hAnsi="宋体" w:eastAsia="宋体" w:cs="宋体"/>
                <w:b w:val="0"/>
                <w:bCs w:val="0"/>
                <w:color w:val="auto"/>
                <w:sz w:val="21"/>
                <w:szCs w:val="21"/>
                <w:highlight w:val="none"/>
                <w:u w:val="none"/>
              </w:rPr>
              <w:t>土壤背景监测点</w:t>
            </w:r>
          </w:p>
        </w:tc>
        <w:tc>
          <w:tcPr>
            <w:tcW w:w="293" w:type="pct"/>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eastAsia" w:ascii="宋体" w:hAnsi="宋体" w:eastAsia="宋体" w:cs="宋体"/>
                <w:color w:val="auto"/>
                <w:sz w:val="21"/>
                <w:szCs w:val="21"/>
                <w:highlight w:val="none"/>
                <w:u w:val="none"/>
                <w:lang w:val="en-US" w:eastAsia="zh-CN"/>
              </w:rPr>
            </w:pPr>
            <w:r>
              <w:rPr>
                <w:rFonts w:hint="eastAsia" w:ascii="宋体" w:hAnsi="宋体" w:eastAsia="宋体" w:cs="宋体"/>
                <w:color w:val="auto"/>
                <w:sz w:val="21"/>
                <w:szCs w:val="21"/>
                <w:highlight w:val="none"/>
                <w:u w:val="none"/>
                <w:lang w:val="en-US" w:eastAsia="zh-CN"/>
              </w:rPr>
              <w:t>/</w:t>
            </w:r>
          </w:p>
        </w:tc>
        <w:tc>
          <w:tcPr>
            <w:tcW w:w="961" w:type="pct"/>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eastAsia" w:ascii="宋体" w:hAnsi="宋体" w:eastAsia="宋体" w:cs="宋体"/>
                <w:color w:val="auto"/>
                <w:sz w:val="21"/>
                <w:szCs w:val="21"/>
                <w:highlight w:val="none"/>
                <w:u w:val="none"/>
                <w:lang w:val="en-US" w:eastAsia="zh-CN"/>
              </w:rPr>
            </w:pPr>
            <w:r>
              <w:rPr>
                <w:rFonts w:hint="eastAsia" w:ascii="宋体" w:hAnsi="宋体" w:eastAsia="宋体" w:cs="宋体"/>
                <w:color w:val="auto"/>
                <w:sz w:val="21"/>
                <w:szCs w:val="21"/>
                <w:highlight w:val="none"/>
                <w:u w:val="none"/>
                <w:lang w:val="en-US" w:eastAsia="zh-CN"/>
              </w:rPr>
              <w:t>/</w:t>
            </w:r>
          </w:p>
        </w:tc>
        <w:tc>
          <w:tcPr>
            <w:tcW w:w="74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color w:val="auto"/>
                <w:kern w:val="0"/>
                <w:sz w:val="21"/>
                <w:szCs w:val="21"/>
                <w:highlight w:val="none"/>
              </w:rPr>
              <w:t>N</w:t>
            </w:r>
            <w:r>
              <w:rPr>
                <w:rFonts w:hint="eastAsia" w:ascii="宋体" w:hAnsi="宋体" w:eastAsia="宋体" w:cs="宋体"/>
                <w:color w:val="auto"/>
                <w:kern w:val="0"/>
                <w:sz w:val="21"/>
                <w:szCs w:val="21"/>
                <w:highlight w:val="none"/>
                <w:lang w:eastAsia="zh-CN"/>
              </w:rPr>
              <w:t>：</w:t>
            </w:r>
            <w:r>
              <w:rPr>
                <w:rFonts w:hint="eastAsia" w:ascii="宋体" w:hAnsi="宋体" w:eastAsia="宋体" w:cs="宋体"/>
                <w:color w:val="auto"/>
                <w:kern w:val="0"/>
                <w:sz w:val="21"/>
                <w:szCs w:val="21"/>
                <w:highlight w:val="none"/>
              </w:rPr>
              <w:t>3</w:t>
            </w:r>
            <w:r>
              <w:rPr>
                <w:rFonts w:hint="eastAsia" w:ascii="宋体" w:hAnsi="宋体" w:eastAsia="宋体" w:cs="宋体"/>
                <w:color w:val="auto"/>
                <w:kern w:val="0"/>
                <w:sz w:val="21"/>
                <w:szCs w:val="21"/>
                <w:highlight w:val="none"/>
                <w:lang w:val="en-US" w:eastAsia="zh-CN"/>
              </w:rPr>
              <w:t>4</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40</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33.435</w:t>
            </w:r>
            <w:r>
              <w:rPr>
                <w:rFonts w:hint="eastAsia" w:ascii="宋体" w:hAnsi="宋体" w:eastAsia="宋体" w:cs="宋体"/>
                <w:color w:val="auto"/>
                <w:kern w:val="0"/>
                <w:sz w:val="21"/>
                <w:szCs w:val="21"/>
                <w:highlight w:val="none"/>
              </w:rPr>
              <w:t>''E</w:t>
            </w:r>
            <w:r>
              <w:rPr>
                <w:rFonts w:hint="eastAsia" w:ascii="宋体" w:hAnsi="宋体" w:eastAsia="宋体" w:cs="宋体"/>
                <w:color w:val="auto"/>
                <w:kern w:val="0"/>
                <w:sz w:val="21"/>
                <w:szCs w:val="21"/>
                <w:highlight w:val="none"/>
                <w:lang w:eastAsia="zh-CN"/>
              </w:rPr>
              <w:t>：</w:t>
            </w:r>
            <w:r>
              <w:rPr>
                <w:rFonts w:hint="eastAsia" w:ascii="宋体" w:hAnsi="宋体" w:eastAsia="宋体" w:cs="宋体"/>
                <w:color w:val="auto"/>
                <w:kern w:val="0"/>
                <w:sz w:val="21"/>
                <w:szCs w:val="21"/>
                <w:highlight w:val="none"/>
              </w:rPr>
              <w:t>11</w:t>
            </w:r>
            <w:r>
              <w:rPr>
                <w:rFonts w:hint="eastAsia" w:ascii="宋体" w:hAnsi="宋体" w:eastAsia="宋体" w:cs="宋体"/>
                <w:color w:val="auto"/>
                <w:kern w:val="0"/>
                <w:sz w:val="21"/>
                <w:szCs w:val="21"/>
                <w:highlight w:val="none"/>
                <w:lang w:val="en-US" w:eastAsia="zh-CN"/>
              </w:rPr>
              <w:t>1</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35</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24.024</w:t>
            </w:r>
            <w:r>
              <w:rPr>
                <w:rFonts w:hint="eastAsia" w:ascii="宋体" w:hAnsi="宋体" w:eastAsia="宋体" w:cs="宋体"/>
                <w:color w:val="auto"/>
                <w:kern w:val="0"/>
                <w:sz w:val="21"/>
                <w:szCs w:val="21"/>
                <w:highlight w:val="none"/>
              </w:rPr>
              <w:t>''</w:t>
            </w:r>
          </w:p>
        </w:tc>
        <w:tc>
          <w:tcPr>
            <w:tcW w:w="459"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sz w:val="21"/>
                <w:szCs w:val="21"/>
                <w:highlight w:val="none"/>
                <w:u w:val="none"/>
                <w:lang w:eastAsia="zh-CN"/>
              </w:rPr>
              <w:t>否</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sz w:val="21"/>
                <w:szCs w:val="21"/>
                <w:highlight w:val="none"/>
                <w:u w:val="none"/>
                <w:lang w:eastAsia="zh-CN"/>
              </w:rPr>
              <w:t>二类</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eastAsia" w:ascii="宋体" w:hAnsi="宋体" w:eastAsia="宋体" w:cs="宋体"/>
                <w:color w:val="auto"/>
                <w:sz w:val="21"/>
                <w:szCs w:val="21"/>
                <w:highlight w:val="none"/>
                <w:u w:val="none"/>
              </w:rPr>
            </w:pP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eastAsia" w:ascii="宋体" w:hAnsi="宋体" w:eastAsia="宋体" w:cs="宋体"/>
                <w:color w:val="auto"/>
                <w:sz w:val="21"/>
                <w:szCs w:val="21"/>
                <w:highlight w:val="none"/>
                <w:u w:val="none"/>
                <w:lang w:val="en-US" w:eastAsia="zh-CN"/>
              </w:rPr>
            </w:pPr>
            <w:r>
              <w:rPr>
                <w:rFonts w:hint="eastAsia" w:ascii="宋体" w:hAnsi="宋体" w:eastAsia="宋体" w:cs="宋体"/>
                <w:color w:val="auto"/>
                <w:sz w:val="21"/>
                <w:szCs w:val="21"/>
                <w:highlight w:val="none"/>
                <w:u w:val="none"/>
                <w:lang w:val="en-US" w:eastAsia="zh-CN"/>
              </w:rPr>
              <w:t>11#</w:t>
            </w:r>
          </w:p>
        </w:tc>
      </w:tr>
    </w:tbl>
    <w:p>
      <w:pPr>
        <w:rPr>
          <w:rFonts w:hint="eastAsia" w:ascii="宋体" w:hAnsi="宋体" w:eastAsia="宋体" w:cs="宋体"/>
          <w:color w:val="auto"/>
          <w:highlight w:val="none"/>
          <w:lang w:bidi="ar"/>
        </w:rPr>
      </w:pPr>
    </w:p>
    <w:p>
      <w:pPr>
        <w:widowControl w:val="0"/>
        <w:bidi w:val="0"/>
        <w:spacing w:line="520" w:lineRule="exact"/>
        <w:ind w:left="0" w:firstLine="0"/>
        <w:jc w:val="both"/>
        <w:outlineLvl w:val="0"/>
        <w:rPr>
          <w:rFonts w:hint="eastAsia" w:ascii="宋体" w:hAnsi="宋体" w:eastAsia="宋体" w:cs="宋体"/>
          <w:b/>
          <w:bCs/>
          <w:kern w:val="2"/>
          <w:sz w:val="32"/>
          <w:szCs w:val="32"/>
          <w:lang w:val="en-US" w:eastAsia="zh-CN" w:bidi="zh-CN"/>
        </w:rPr>
      </w:pPr>
      <w:bookmarkStart w:id="154" w:name="_Toc2343"/>
      <w:bookmarkStart w:id="155" w:name="_Toc107924576"/>
      <w:bookmarkStart w:id="156" w:name="_Toc1177"/>
      <w:bookmarkStart w:id="157" w:name="_Toc13590"/>
      <w:r>
        <w:rPr>
          <w:rFonts w:hint="eastAsia" w:ascii="宋体" w:hAnsi="宋体" w:eastAsia="宋体" w:cs="宋体"/>
          <w:b/>
          <w:bCs/>
          <w:kern w:val="2"/>
          <w:sz w:val="32"/>
          <w:szCs w:val="32"/>
          <w:lang w:val="en-US" w:eastAsia="zh-CN" w:bidi="zh-CN"/>
        </w:rPr>
        <w:t>5重点监测单元识别与分类</w:t>
      </w:r>
      <w:bookmarkEnd w:id="154"/>
      <w:bookmarkEnd w:id="155"/>
      <w:bookmarkEnd w:id="156"/>
      <w:bookmarkEnd w:id="157"/>
    </w:p>
    <w:p>
      <w:pPr>
        <w:keepNext/>
        <w:keepLines/>
        <w:widowControl w:val="0"/>
        <w:numPr>
          <w:ilvl w:val="1"/>
          <w:numId w:val="1"/>
        </w:numPr>
        <w:bidi w:val="0"/>
        <w:spacing w:line="520" w:lineRule="exact"/>
        <w:ind w:firstLine="0" w:firstLineChars="0"/>
        <w:jc w:val="left"/>
        <w:outlineLvl w:val="1"/>
        <w:rPr>
          <w:rFonts w:hint="eastAsia" w:ascii="宋体" w:hAnsi="宋体" w:eastAsia="宋体" w:cs="宋体"/>
          <w:b/>
          <w:bCs/>
          <w:kern w:val="2"/>
          <w:sz w:val="28"/>
          <w:szCs w:val="32"/>
          <w:lang w:val="en-US" w:eastAsia="zh-CN" w:bidi="ar-SA"/>
        </w:rPr>
      </w:pPr>
      <w:bookmarkStart w:id="158" w:name="_Toc7819"/>
      <w:bookmarkStart w:id="159" w:name="_Toc107924577"/>
      <w:bookmarkStart w:id="160" w:name="_Toc8453"/>
      <w:bookmarkStart w:id="161" w:name="_Toc8286"/>
      <w:r>
        <w:rPr>
          <w:rFonts w:hint="eastAsia" w:ascii="宋体" w:hAnsi="宋体" w:eastAsia="宋体" w:cs="宋体"/>
          <w:b/>
          <w:bCs/>
          <w:kern w:val="2"/>
          <w:sz w:val="28"/>
          <w:szCs w:val="32"/>
          <w:lang w:val="en-US" w:eastAsia="zh-CN" w:bidi="ar-SA"/>
        </w:rPr>
        <w:t>5.1重点监测单元识别</w:t>
      </w:r>
      <w:bookmarkEnd w:id="158"/>
      <w:bookmarkEnd w:id="159"/>
      <w:bookmarkEnd w:id="160"/>
      <w:bookmarkEnd w:id="161"/>
    </w:p>
    <w:p>
      <w:pPr>
        <w:spacing w:line="360" w:lineRule="auto"/>
        <w:ind w:firstLine="560" w:firstLineChars="200"/>
        <w:rPr>
          <w:rFonts w:hint="eastAsia" w:ascii="宋体" w:hAnsi="宋体" w:eastAsia="宋体" w:cs="宋体"/>
          <w:snapToGrid/>
          <w:spacing w:val="6"/>
          <w:kern w:val="0"/>
          <w:sz w:val="28"/>
          <w:szCs w:val="24"/>
          <w:highlight w:val="none"/>
          <w:lang w:bidi="ar"/>
        </w:rPr>
      </w:pPr>
      <w:r>
        <w:rPr>
          <w:rFonts w:hint="eastAsia" w:ascii="宋体" w:hAnsi="宋体" w:eastAsia="宋体" w:cs="宋体"/>
          <w:caps w:val="0"/>
          <w:smallCaps w:val="0"/>
          <w:color w:val="auto"/>
          <w:spacing w:val="0"/>
          <w:sz w:val="28"/>
          <w:szCs w:val="28"/>
          <w:highlight w:val="none"/>
          <w:u w:val="none" w:color="auto"/>
          <w:lang w:val="en-US" w:eastAsia="zh-CN"/>
        </w:rPr>
        <w:t>根据企业实际生产情况结合资料搜集、现场踏勘和人员访谈的结果分析，为具有针对性的展开调查工作，以场地主要功能区为基础，将各区域主要特征总结。确定企业内有潜在土壤污染隐患的重点场所及重点设施设备为LNG储罐区及循环水池、消防水池、污水处理站及事故池、厌氧IC塔、综合车间及应急池、4-甲基二苯胺、固废、危废暂存间、1-4酸钠盐、尼文酸车间、1#2#仓库、甲酸乙酯车间、仓库及应急池、乙醇甲酸地埋罐、溴化氢车间（乙酸溶液）、二氯甲烷、双氧水、溴素储罐区、锅炉房缓冲池、冰醋酸储罐、酸碱储罐区、尼文酸应急池、4#仓库（甲苯、氯苯）、固废前处理车间、四溴应急池及缓冲池等为重点区域。具体信息见表5-1。</w:t>
      </w:r>
    </w:p>
    <w:p>
      <w:pPr>
        <w:jc w:val="center"/>
        <w:rPr>
          <w:rFonts w:hint="eastAsia" w:ascii="宋体" w:hAnsi="宋体" w:eastAsia="宋体" w:cs="宋体"/>
          <w:b/>
          <w:bCs/>
          <w:color w:val="auto"/>
          <w:kern w:val="0"/>
          <w:sz w:val="28"/>
          <w:szCs w:val="28"/>
          <w:highlight w:val="none"/>
          <w:lang w:eastAsia="zh-CN" w:bidi="ar"/>
        </w:rPr>
      </w:pPr>
      <w:r>
        <w:rPr>
          <w:rFonts w:hint="eastAsia" w:ascii="宋体" w:hAnsi="宋体" w:eastAsia="宋体" w:cs="宋体"/>
          <w:b/>
          <w:bCs/>
          <w:color w:val="auto"/>
          <w:kern w:val="0"/>
          <w:sz w:val="28"/>
          <w:szCs w:val="28"/>
          <w:highlight w:val="none"/>
          <w:lang w:eastAsia="zh-CN" w:bidi="ar"/>
        </w:rPr>
        <w:t>表5-1重点监测单元及重点区域信息表</w:t>
      </w:r>
    </w:p>
    <w:tbl>
      <w:tblPr>
        <w:tblStyle w:val="22"/>
        <w:tblW w:w="88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09"/>
        <w:gridCol w:w="75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09" w:type="dxa"/>
            <w:vAlign w:val="center"/>
          </w:tcPr>
          <w:p>
            <w:pPr>
              <w:numPr>
                <w:ilvl w:val="0"/>
                <w:numId w:val="0"/>
              </w:numPr>
              <w:jc w:val="center"/>
              <w:rPr>
                <w:rFonts w:hint="eastAsia" w:ascii="宋体" w:hAnsi="宋体" w:eastAsia="宋体" w:cs="宋体"/>
                <w:b/>
                <w:bCs/>
                <w:color w:val="auto"/>
                <w:sz w:val="24"/>
                <w:szCs w:val="32"/>
                <w:highlight w:val="none"/>
                <w:vertAlign w:val="baseline"/>
                <w:lang w:val="en-US" w:eastAsia="zh-CN"/>
              </w:rPr>
            </w:pPr>
            <w:r>
              <w:rPr>
                <w:rFonts w:hint="eastAsia" w:ascii="宋体" w:hAnsi="宋体" w:eastAsia="宋体" w:cs="宋体"/>
                <w:b/>
                <w:bCs/>
                <w:color w:val="auto"/>
                <w:sz w:val="24"/>
                <w:szCs w:val="32"/>
                <w:highlight w:val="none"/>
                <w:vertAlign w:val="baseline"/>
                <w:lang w:val="en-US" w:eastAsia="zh-CN"/>
              </w:rPr>
              <w:t>编号</w:t>
            </w:r>
          </w:p>
        </w:tc>
        <w:tc>
          <w:tcPr>
            <w:tcW w:w="7500" w:type="dxa"/>
            <w:vAlign w:val="center"/>
          </w:tcPr>
          <w:p>
            <w:pPr>
              <w:numPr>
                <w:ilvl w:val="0"/>
                <w:numId w:val="0"/>
              </w:numPr>
              <w:jc w:val="center"/>
              <w:rPr>
                <w:rFonts w:hint="eastAsia" w:ascii="宋体" w:hAnsi="宋体" w:eastAsia="宋体" w:cs="宋体"/>
                <w:b/>
                <w:bCs/>
                <w:color w:val="auto"/>
                <w:sz w:val="24"/>
                <w:szCs w:val="32"/>
                <w:highlight w:val="none"/>
                <w:vertAlign w:val="baseline"/>
                <w:lang w:val="en-US" w:eastAsia="zh-CN"/>
              </w:rPr>
            </w:pPr>
            <w:r>
              <w:rPr>
                <w:rFonts w:hint="eastAsia" w:ascii="宋体" w:hAnsi="宋体" w:eastAsia="宋体" w:cs="宋体"/>
                <w:b/>
                <w:bCs/>
                <w:color w:val="auto"/>
                <w:sz w:val="24"/>
                <w:szCs w:val="32"/>
                <w:highlight w:val="none"/>
                <w:vertAlign w:val="baseline"/>
                <w:lang w:val="en-US" w:eastAsia="zh-CN"/>
              </w:rPr>
              <w:t>点位名称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09" w:type="dxa"/>
            <w:vAlign w:val="center"/>
          </w:tcPr>
          <w:p>
            <w:pPr>
              <w:numPr>
                <w:ilvl w:val="0"/>
                <w:numId w:val="0"/>
              </w:numPr>
              <w:ind w:left="0" w:leftChars="0" w:firstLine="0" w:firstLineChars="0"/>
              <w:jc w:val="center"/>
              <w:rPr>
                <w:rFonts w:hint="eastAsia" w:ascii="宋体" w:hAnsi="宋体" w:eastAsia="宋体" w:cs="宋体"/>
                <w:b w:val="0"/>
                <w:bCs w:val="0"/>
                <w:color w:val="auto"/>
                <w:kern w:val="2"/>
                <w:sz w:val="24"/>
                <w:szCs w:val="32"/>
                <w:highlight w:val="none"/>
                <w:vertAlign w:val="baseline"/>
                <w:lang w:val="en-US" w:eastAsia="zh-CN" w:bidi="ar-SA"/>
              </w:rPr>
            </w:pPr>
            <w:r>
              <w:rPr>
                <w:rFonts w:hint="eastAsia" w:ascii="宋体" w:hAnsi="宋体" w:eastAsia="宋体" w:cs="宋体"/>
                <w:b w:val="0"/>
                <w:bCs w:val="0"/>
                <w:color w:val="auto"/>
                <w:sz w:val="24"/>
                <w:szCs w:val="32"/>
                <w:highlight w:val="none"/>
                <w:vertAlign w:val="baseline"/>
                <w:lang w:val="en-US" w:eastAsia="zh-CN"/>
              </w:rPr>
              <w:t>1#</w:t>
            </w:r>
          </w:p>
        </w:tc>
        <w:tc>
          <w:tcPr>
            <w:tcW w:w="7500" w:type="dxa"/>
            <w:vAlign w:val="center"/>
          </w:tcPr>
          <w:p>
            <w:pPr>
              <w:numPr>
                <w:ilvl w:val="0"/>
                <w:numId w:val="0"/>
              </w:numPr>
              <w:ind w:left="0" w:leftChars="0" w:firstLine="0" w:firstLineChars="0"/>
              <w:jc w:val="center"/>
              <w:rPr>
                <w:rFonts w:hint="eastAsia" w:ascii="宋体" w:hAnsi="宋体" w:eastAsia="宋体" w:cs="宋体"/>
                <w:b w:val="0"/>
                <w:bCs w:val="0"/>
                <w:color w:val="auto"/>
                <w:kern w:val="2"/>
                <w:sz w:val="24"/>
                <w:szCs w:val="32"/>
                <w:highlight w:val="none"/>
                <w:vertAlign w:val="baseline"/>
                <w:lang w:val="en-US" w:eastAsia="zh-CN" w:bidi="ar-SA"/>
              </w:rPr>
            </w:pPr>
            <w:r>
              <w:rPr>
                <w:rFonts w:hint="eastAsia" w:ascii="宋体" w:hAnsi="宋体" w:eastAsia="宋体" w:cs="宋体"/>
                <w:b w:val="0"/>
                <w:bCs w:val="0"/>
                <w:color w:val="auto"/>
                <w:sz w:val="24"/>
                <w:szCs w:val="32"/>
                <w:highlight w:val="none"/>
                <w:lang w:val="en-US" w:eastAsia="zh-CN"/>
              </w:rPr>
              <w:t>LNG储罐区及循环水池、消防水池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09" w:type="dxa"/>
            <w:vAlign w:val="center"/>
          </w:tcPr>
          <w:p>
            <w:pPr>
              <w:numPr>
                <w:ilvl w:val="0"/>
                <w:numId w:val="0"/>
              </w:numPr>
              <w:jc w:val="center"/>
              <w:rPr>
                <w:rFonts w:hint="eastAsia" w:ascii="宋体" w:hAnsi="宋体" w:eastAsia="宋体" w:cs="宋体"/>
                <w:b w:val="0"/>
                <w:bCs w:val="0"/>
                <w:color w:val="auto"/>
                <w:sz w:val="24"/>
                <w:szCs w:val="32"/>
                <w:highlight w:val="none"/>
                <w:vertAlign w:val="baseline"/>
                <w:lang w:val="en-US" w:eastAsia="zh-CN"/>
              </w:rPr>
            </w:pPr>
            <w:r>
              <w:rPr>
                <w:rFonts w:hint="eastAsia" w:ascii="宋体" w:hAnsi="宋体" w:eastAsia="宋体" w:cs="宋体"/>
                <w:b w:val="0"/>
                <w:bCs w:val="0"/>
                <w:color w:val="auto"/>
                <w:sz w:val="24"/>
                <w:szCs w:val="32"/>
                <w:highlight w:val="none"/>
                <w:vertAlign w:val="baseline"/>
                <w:lang w:val="en-US" w:eastAsia="zh-CN"/>
              </w:rPr>
              <w:t>2#</w:t>
            </w:r>
          </w:p>
        </w:tc>
        <w:tc>
          <w:tcPr>
            <w:tcW w:w="7500" w:type="dxa"/>
            <w:vAlign w:val="center"/>
          </w:tcPr>
          <w:p>
            <w:pPr>
              <w:numPr>
                <w:ilvl w:val="0"/>
                <w:numId w:val="0"/>
              </w:numPr>
              <w:jc w:val="center"/>
              <w:rPr>
                <w:rFonts w:hint="eastAsia" w:ascii="宋体" w:hAnsi="宋体" w:eastAsia="宋体" w:cs="宋体"/>
                <w:b w:val="0"/>
                <w:bCs w:val="0"/>
                <w:color w:val="auto"/>
                <w:sz w:val="24"/>
                <w:szCs w:val="32"/>
                <w:highlight w:val="none"/>
                <w:vertAlign w:val="baseline"/>
                <w:lang w:val="en-US" w:eastAsia="zh-CN"/>
              </w:rPr>
            </w:pPr>
            <w:r>
              <w:rPr>
                <w:rFonts w:hint="eastAsia" w:ascii="宋体" w:hAnsi="宋体" w:eastAsia="宋体" w:cs="宋体"/>
                <w:b w:val="0"/>
                <w:bCs w:val="0"/>
                <w:color w:val="auto"/>
                <w:sz w:val="24"/>
                <w:szCs w:val="32"/>
                <w:highlight w:val="none"/>
                <w:lang w:val="en-US" w:eastAsia="zh-CN"/>
              </w:rPr>
              <w:t>污水处理站及事故池、厌氧IC塔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09" w:type="dxa"/>
            <w:vAlign w:val="center"/>
          </w:tcPr>
          <w:p>
            <w:pPr>
              <w:numPr>
                <w:ilvl w:val="0"/>
                <w:numId w:val="0"/>
              </w:numPr>
              <w:jc w:val="center"/>
              <w:rPr>
                <w:rFonts w:hint="eastAsia" w:ascii="宋体" w:hAnsi="宋体" w:eastAsia="宋体" w:cs="宋体"/>
                <w:b w:val="0"/>
                <w:bCs w:val="0"/>
                <w:color w:val="auto"/>
                <w:sz w:val="24"/>
                <w:szCs w:val="32"/>
                <w:highlight w:val="none"/>
                <w:vertAlign w:val="baseline"/>
                <w:lang w:val="en-US" w:eastAsia="zh-CN"/>
              </w:rPr>
            </w:pPr>
            <w:r>
              <w:rPr>
                <w:rFonts w:hint="eastAsia" w:ascii="宋体" w:hAnsi="宋体" w:eastAsia="宋体" w:cs="宋体"/>
                <w:b w:val="0"/>
                <w:bCs w:val="0"/>
                <w:color w:val="auto"/>
                <w:sz w:val="24"/>
                <w:szCs w:val="32"/>
                <w:highlight w:val="none"/>
                <w:vertAlign w:val="baseline"/>
                <w:lang w:val="en-US" w:eastAsia="zh-CN"/>
              </w:rPr>
              <w:t>3#</w:t>
            </w:r>
          </w:p>
        </w:tc>
        <w:tc>
          <w:tcPr>
            <w:tcW w:w="7500" w:type="dxa"/>
            <w:vAlign w:val="center"/>
          </w:tcPr>
          <w:p>
            <w:pPr>
              <w:numPr>
                <w:ilvl w:val="0"/>
                <w:numId w:val="0"/>
              </w:numPr>
              <w:jc w:val="center"/>
              <w:rPr>
                <w:rFonts w:hint="eastAsia" w:ascii="宋体" w:hAnsi="宋体" w:eastAsia="宋体" w:cs="宋体"/>
                <w:b w:val="0"/>
                <w:bCs w:val="0"/>
                <w:color w:val="auto"/>
                <w:sz w:val="24"/>
                <w:szCs w:val="32"/>
                <w:highlight w:val="none"/>
                <w:vertAlign w:val="baseline"/>
                <w:lang w:val="en-US" w:eastAsia="zh-CN"/>
              </w:rPr>
            </w:pPr>
            <w:r>
              <w:rPr>
                <w:rFonts w:hint="eastAsia" w:ascii="宋体" w:hAnsi="宋体" w:eastAsia="宋体" w:cs="宋体"/>
                <w:b w:val="0"/>
                <w:bCs w:val="0"/>
                <w:color w:val="auto"/>
                <w:sz w:val="24"/>
                <w:szCs w:val="32"/>
                <w:highlight w:val="none"/>
                <w:lang w:val="en-US" w:eastAsia="zh-CN"/>
              </w:rPr>
              <w:t>综合车间及应急池、4-甲基二苯胺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09" w:type="dxa"/>
            <w:vAlign w:val="center"/>
          </w:tcPr>
          <w:p>
            <w:pPr>
              <w:numPr>
                <w:ilvl w:val="0"/>
                <w:numId w:val="0"/>
              </w:numPr>
              <w:jc w:val="center"/>
              <w:rPr>
                <w:rFonts w:hint="eastAsia" w:ascii="宋体" w:hAnsi="宋体" w:eastAsia="宋体" w:cs="宋体"/>
                <w:b w:val="0"/>
                <w:bCs w:val="0"/>
                <w:color w:val="auto"/>
                <w:sz w:val="24"/>
                <w:szCs w:val="32"/>
                <w:highlight w:val="none"/>
                <w:vertAlign w:val="baseline"/>
                <w:lang w:val="en-US" w:eastAsia="zh-CN"/>
              </w:rPr>
            </w:pPr>
            <w:r>
              <w:rPr>
                <w:rFonts w:hint="eastAsia" w:ascii="宋体" w:hAnsi="宋体" w:eastAsia="宋体" w:cs="宋体"/>
                <w:b w:val="0"/>
                <w:bCs w:val="0"/>
                <w:color w:val="auto"/>
                <w:sz w:val="24"/>
                <w:szCs w:val="32"/>
                <w:highlight w:val="none"/>
                <w:vertAlign w:val="baseline"/>
                <w:lang w:val="en-US" w:eastAsia="zh-CN"/>
              </w:rPr>
              <w:t>4#</w:t>
            </w:r>
          </w:p>
        </w:tc>
        <w:tc>
          <w:tcPr>
            <w:tcW w:w="7500" w:type="dxa"/>
            <w:vAlign w:val="center"/>
          </w:tcPr>
          <w:p>
            <w:pPr>
              <w:numPr>
                <w:ilvl w:val="0"/>
                <w:numId w:val="0"/>
              </w:numPr>
              <w:jc w:val="center"/>
              <w:rPr>
                <w:rFonts w:hint="eastAsia" w:ascii="宋体" w:hAnsi="宋体" w:eastAsia="宋体" w:cs="宋体"/>
                <w:b w:val="0"/>
                <w:bCs w:val="0"/>
                <w:color w:val="auto"/>
                <w:sz w:val="24"/>
                <w:szCs w:val="32"/>
                <w:highlight w:val="none"/>
                <w:vertAlign w:val="baseline"/>
                <w:lang w:val="en-US" w:eastAsia="zh-CN"/>
              </w:rPr>
            </w:pPr>
            <w:r>
              <w:rPr>
                <w:rFonts w:hint="eastAsia" w:ascii="宋体" w:hAnsi="宋体" w:eastAsia="宋体" w:cs="宋体"/>
                <w:b w:val="0"/>
                <w:bCs w:val="0"/>
                <w:color w:val="auto"/>
                <w:sz w:val="24"/>
                <w:szCs w:val="32"/>
                <w:highlight w:val="none"/>
                <w:lang w:val="en-US" w:eastAsia="zh-CN"/>
              </w:rPr>
              <w:t>固废、危废暂存间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09" w:type="dxa"/>
            <w:vAlign w:val="center"/>
          </w:tcPr>
          <w:p>
            <w:pPr>
              <w:numPr>
                <w:ilvl w:val="0"/>
                <w:numId w:val="0"/>
              </w:numPr>
              <w:jc w:val="center"/>
              <w:rPr>
                <w:rFonts w:hint="eastAsia" w:ascii="宋体" w:hAnsi="宋体" w:eastAsia="宋体" w:cs="宋体"/>
                <w:b w:val="0"/>
                <w:bCs w:val="0"/>
                <w:color w:val="auto"/>
                <w:sz w:val="24"/>
                <w:szCs w:val="32"/>
                <w:highlight w:val="none"/>
                <w:vertAlign w:val="baseline"/>
                <w:lang w:val="en-US" w:eastAsia="zh-CN"/>
              </w:rPr>
            </w:pPr>
            <w:r>
              <w:rPr>
                <w:rFonts w:hint="eastAsia" w:ascii="宋体" w:hAnsi="宋体" w:eastAsia="宋体" w:cs="宋体"/>
                <w:b w:val="0"/>
                <w:bCs w:val="0"/>
                <w:color w:val="auto"/>
                <w:sz w:val="24"/>
                <w:szCs w:val="32"/>
                <w:highlight w:val="none"/>
                <w:vertAlign w:val="baseline"/>
                <w:lang w:val="en-US" w:eastAsia="zh-CN"/>
              </w:rPr>
              <w:t>5#</w:t>
            </w:r>
          </w:p>
        </w:tc>
        <w:tc>
          <w:tcPr>
            <w:tcW w:w="7500" w:type="dxa"/>
            <w:vAlign w:val="center"/>
          </w:tcPr>
          <w:p>
            <w:pPr>
              <w:numPr>
                <w:ilvl w:val="0"/>
                <w:numId w:val="0"/>
              </w:numPr>
              <w:jc w:val="center"/>
              <w:rPr>
                <w:rFonts w:hint="eastAsia" w:ascii="宋体" w:hAnsi="宋体" w:eastAsia="宋体" w:cs="宋体"/>
                <w:b w:val="0"/>
                <w:bCs w:val="0"/>
                <w:color w:val="auto"/>
                <w:sz w:val="24"/>
                <w:szCs w:val="32"/>
                <w:highlight w:val="none"/>
                <w:vertAlign w:val="baseline"/>
                <w:lang w:val="en-US" w:eastAsia="zh-CN"/>
              </w:rPr>
            </w:pPr>
            <w:r>
              <w:rPr>
                <w:rFonts w:hint="eastAsia" w:ascii="宋体" w:hAnsi="宋体" w:eastAsia="宋体" w:cs="宋体"/>
                <w:b w:val="0"/>
                <w:bCs w:val="0"/>
                <w:color w:val="auto"/>
                <w:sz w:val="24"/>
                <w:szCs w:val="32"/>
                <w:highlight w:val="none"/>
                <w:lang w:val="en-US" w:eastAsia="zh-CN"/>
              </w:rPr>
              <w:t>1-4酸钠盐、尼文酸车间、1#2#仓库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09" w:type="dxa"/>
            <w:vAlign w:val="center"/>
          </w:tcPr>
          <w:p>
            <w:pPr>
              <w:numPr>
                <w:ilvl w:val="0"/>
                <w:numId w:val="0"/>
              </w:numPr>
              <w:jc w:val="center"/>
              <w:rPr>
                <w:rFonts w:hint="eastAsia" w:ascii="宋体" w:hAnsi="宋体" w:eastAsia="宋体" w:cs="宋体"/>
                <w:b w:val="0"/>
                <w:bCs w:val="0"/>
                <w:color w:val="auto"/>
                <w:sz w:val="24"/>
                <w:szCs w:val="32"/>
                <w:highlight w:val="none"/>
                <w:vertAlign w:val="baseline"/>
                <w:lang w:val="en-US" w:eastAsia="zh-CN"/>
              </w:rPr>
            </w:pPr>
            <w:r>
              <w:rPr>
                <w:rFonts w:hint="eastAsia" w:ascii="宋体" w:hAnsi="宋体" w:eastAsia="宋体" w:cs="宋体"/>
                <w:b w:val="0"/>
                <w:bCs w:val="0"/>
                <w:color w:val="auto"/>
                <w:sz w:val="24"/>
                <w:szCs w:val="32"/>
                <w:highlight w:val="none"/>
                <w:vertAlign w:val="baseline"/>
                <w:lang w:val="en-US" w:eastAsia="zh-CN"/>
              </w:rPr>
              <w:t>6#</w:t>
            </w:r>
          </w:p>
        </w:tc>
        <w:tc>
          <w:tcPr>
            <w:tcW w:w="7500" w:type="dxa"/>
            <w:vAlign w:val="center"/>
          </w:tcPr>
          <w:p>
            <w:pPr>
              <w:numPr>
                <w:ilvl w:val="0"/>
                <w:numId w:val="0"/>
              </w:numPr>
              <w:jc w:val="center"/>
              <w:rPr>
                <w:rFonts w:hint="eastAsia" w:ascii="宋体" w:hAnsi="宋体" w:eastAsia="宋体" w:cs="宋体"/>
                <w:b w:val="0"/>
                <w:bCs w:val="0"/>
                <w:color w:val="auto"/>
                <w:sz w:val="24"/>
                <w:szCs w:val="32"/>
                <w:highlight w:val="none"/>
                <w:vertAlign w:val="baseline"/>
                <w:lang w:val="en-US" w:eastAsia="zh-CN"/>
              </w:rPr>
            </w:pPr>
            <w:r>
              <w:rPr>
                <w:rFonts w:hint="eastAsia" w:ascii="宋体" w:hAnsi="宋体" w:eastAsia="宋体" w:cs="宋体"/>
                <w:b w:val="0"/>
                <w:bCs w:val="0"/>
                <w:color w:val="auto"/>
                <w:sz w:val="24"/>
                <w:szCs w:val="32"/>
                <w:highlight w:val="none"/>
                <w:lang w:val="en-US" w:eastAsia="zh-CN"/>
              </w:rPr>
              <w:t>甲酸乙酯车间、仓库及应急池、乙醇甲酸地埋罐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09" w:type="dxa"/>
            <w:vAlign w:val="center"/>
          </w:tcPr>
          <w:p>
            <w:pPr>
              <w:numPr>
                <w:ilvl w:val="0"/>
                <w:numId w:val="0"/>
              </w:numPr>
              <w:jc w:val="center"/>
              <w:rPr>
                <w:rFonts w:hint="eastAsia" w:ascii="宋体" w:hAnsi="宋体" w:eastAsia="宋体" w:cs="宋体"/>
                <w:b w:val="0"/>
                <w:bCs w:val="0"/>
                <w:color w:val="auto"/>
                <w:sz w:val="24"/>
                <w:szCs w:val="32"/>
                <w:highlight w:val="none"/>
                <w:vertAlign w:val="baseline"/>
                <w:lang w:val="en-US" w:eastAsia="zh-CN"/>
              </w:rPr>
            </w:pPr>
            <w:r>
              <w:rPr>
                <w:rFonts w:hint="eastAsia" w:ascii="宋体" w:hAnsi="宋体" w:eastAsia="宋体" w:cs="宋体"/>
                <w:b w:val="0"/>
                <w:bCs w:val="0"/>
                <w:color w:val="auto"/>
                <w:sz w:val="24"/>
                <w:szCs w:val="32"/>
                <w:highlight w:val="none"/>
                <w:vertAlign w:val="baseline"/>
                <w:lang w:val="en-US" w:eastAsia="zh-CN"/>
              </w:rPr>
              <w:t>7#</w:t>
            </w:r>
          </w:p>
        </w:tc>
        <w:tc>
          <w:tcPr>
            <w:tcW w:w="7500" w:type="dxa"/>
            <w:vAlign w:val="center"/>
          </w:tcPr>
          <w:p>
            <w:pPr>
              <w:numPr>
                <w:ilvl w:val="0"/>
                <w:numId w:val="0"/>
              </w:numPr>
              <w:jc w:val="center"/>
              <w:rPr>
                <w:rFonts w:hint="eastAsia" w:ascii="宋体" w:hAnsi="宋体" w:eastAsia="宋体" w:cs="宋体"/>
                <w:b w:val="0"/>
                <w:bCs w:val="0"/>
                <w:color w:val="auto"/>
                <w:sz w:val="24"/>
                <w:szCs w:val="32"/>
                <w:highlight w:val="none"/>
                <w:vertAlign w:val="baseline"/>
                <w:lang w:val="en-US" w:eastAsia="zh-CN"/>
              </w:rPr>
            </w:pPr>
            <w:r>
              <w:rPr>
                <w:rFonts w:hint="eastAsia" w:ascii="宋体" w:hAnsi="宋体" w:eastAsia="宋体" w:cs="宋体"/>
                <w:b w:val="0"/>
                <w:bCs w:val="0"/>
                <w:color w:val="auto"/>
                <w:sz w:val="24"/>
                <w:szCs w:val="32"/>
                <w:highlight w:val="none"/>
                <w:lang w:val="en-US" w:eastAsia="zh-CN"/>
              </w:rPr>
              <w:t>溴化氢车间（乙酸溶液）、二氯甲烷、双氧水、溴素储罐区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09" w:type="dxa"/>
            <w:vAlign w:val="center"/>
          </w:tcPr>
          <w:p>
            <w:pPr>
              <w:numPr>
                <w:ilvl w:val="0"/>
                <w:numId w:val="0"/>
              </w:numPr>
              <w:jc w:val="center"/>
              <w:rPr>
                <w:rFonts w:hint="eastAsia" w:ascii="宋体" w:hAnsi="宋体" w:eastAsia="宋体" w:cs="宋体"/>
                <w:b w:val="0"/>
                <w:bCs w:val="0"/>
                <w:color w:val="auto"/>
                <w:sz w:val="24"/>
                <w:szCs w:val="32"/>
                <w:highlight w:val="none"/>
                <w:vertAlign w:val="baseline"/>
                <w:lang w:val="en-US" w:eastAsia="zh-CN"/>
              </w:rPr>
            </w:pPr>
            <w:r>
              <w:rPr>
                <w:rFonts w:hint="eastAsia" w:ascii="宋体" w:hAnsi="宋体" w:eastAsia="宋体" w:cs="宋体"/>
                <w:b w:val="0"/>
                <w:bCs w:val="0"/>
                <w:color w:val="auto"/>
                <w:sz w:val="24"/>
                <w:szCs w:val="32"/>
                <w:highlight w:val="none"/>
                <w:vertAlign w:val="baseline"/>
                <w:lang w:val="en-US" w:eastAsia="zh-CN"/>
              </w:rPr>
              <w:t>8#</w:t>
            </w:r>
          </w:p>
        </w:tc>
        <w:tc>
          <w:tcPr>
            <w:tcW w:w="7500" w:type="dxa"/>
            <w:vAlign w:val="center"/>
          </w:tcPr>
          <w:p>
            <w:pPr>
              <w:numPr>
                <w:ilvl w:val="0"/>
                <w:numId w:val="0"/>
              </w:numPr>
              <w:jc w:val="center"/>
              <w:rPr>
                <w:rFonts w:hint="eastAsia" w:ascii="宋体" w:hAnsi="宋体" w:eastAsia="宋体" w:cs="宋体"/>
                <w:b w:val="0"/>
                <w:bCs w:val="0"/>
                <w:color w:val="auto"/>
                <w:sz w:val="24"/>
                <w:szCs w:val="32"/>
                <w:highlight w:val="none"/>
                <w:lang w:val="en-US" w:eastAsia="zh-CN"/>
              </w:rPr>
            </w:pPr>
            <w:r>
              <w:rPr>
                <w:rFonts w:hint="eastAsia" w:ascii="宋体" w:hAnsi="宋体" w:eastAsia="宋体" w:cs="宋体"/>
                <w:b w:val="0"/>
                <w:bCs w:val="0"/>
                <w:color w:val="auto"/>
                <w:sz w:val="24"/>
                <w:szCs w:val="32"/>
                <w:highlight w:val="none"/>
                <w:lang w:val="en-US" w:eastAsia="zh-CN"/>
              </w:rPr>
              <w:t>锅炉房缓冲池、冰醋酸储罐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09" w:type="dxa"/>
            <w:vAlign w:val="center"/>
          </w:tcPr>
          <w:p>
            <w:pPr>
              <w:numPr>
                <w:ilvl w:val="0"/>
                <w:numId w:val="0"/>
              </w:numPr>
              <w:jc w:val="center"/>
              <w:rPr>
                <w:rFonts w:hint="eastAsia" w:ascii="宋体" w:hAnsi="宋体" w:eastAsia="宋体" w:cs="宋体"/>
                <w:b w:val="0"/>
                <w:bCs w:val="0"/>
                <w:color w:val="auto"/>
                <w:sz w:val="24"/>
                <w:szCs w:val="32"/>
                <w:highlight w:val="none"/>
                <w:vertAlign w:val="baseline"/>
                <w:lang w:val="en-US" w:eastAsia="zh-CN"/>
              </w:rPr>
            </w:pPr>
            <w:r>
              <w:rPr>
                <w:rFonts w:hint="eastAsia" w:ascii="宋体" w:hAnsi="宋体" w:eastAsia="宋体" w:cs="宋体"/>
                <w:b w:val="0"/>
                <w:bCs w:val="0"/>
                <w:color w:val="auto"/>
                <w:sz w:val="24"/>
                <w:szCs w:val="32"/>
                <w:highlight w:val="none"/>
                <w:vertAlign w:val="baseline"/>
                <w:lang w:val="en-US" w:eastAsia="zh-CN"/>
              </w:rPr>
              <w:t>9#</w:t>
            </w:r>
          </w:p>
        </w:tc>
        <w:tc>
          <w:tcPr>
            <w:tcW w:w="7500" w:type="dxa"/>
            <w:vAlign w:val="center"/>
          </w:tcPr>
          <w:p>
            <w:pPr>
              <w:numPr>
                <w:ilvl w:val="0"/>
                <w:numId w:val="0"/>
              </w:numPr>
              <w:jc w:val="center"/>
              <w:rPr>
                <w:rFonts w:hint="eastAsia" w:ascii="宋体" w:hAnsi="宋体" w:eastAsia="宋体" w:cs="宋体"/>
                <w:b w:val="0"/>
                <w:bCs w:val="0"/>
                <w:color w:val="auto"/>
                <w:sz w:val="24"/>
                <w:szCs w:val="32"/>
                <w:highlight w:val="none"/>
                <w:lang w:val="en-US" w:eastAsia="zh-CN"/>
              </w:rPr>
            </w:pPr>
            <w:r>
              <w:rPr>
                <w:rFonts w:hint="eastAsia" w:ascii="宋体" w:hAnsi="宋体" w:eastAsia="宋体" w:cs="宋体"/>
                <w:b w:val="0"/>
                <w:bCs w:val="0"/>
                <w:color w:val="auto"/>
                <w:sz w:val="24"/>
                <w:szCs w:val="32"/>
                <w:highlight w:val="none"/>
                <w:lang w:val="en-US" w:eastAsia="zh-CN"/>
              </w:rPr>
              <w:t>酸碱储罐区、尼文酸应急池、4#仓库（甲苯、氯苯）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09" w:type="dxa"/>
            <w:vAlign w:val="center"/>
          </w:tcPr>
          <w:p>
            <w:pPr>
              <w:numPr>
                <w:ilvl w:val="0"/>
                <w:numId w:val="0"/>
              </w:numPr>
              <w:jc w:val="center"/>
              <w:rPr>
                <w:rFonts w:hint="eastAsia" w:ascii="宋体" w:hAnsi="宋体" w:eastAsia="宋体" w:cs="宋体"/>
                <w:b w:val="0"/>
                <w:bCs w:val="0"/>
                <w:color w:val="auto"/>
                <w:sz w:val="24"/>
                <w:szCs w:val="32"/>
                <w:highlight w:val="none"/>
                <w:vertAlign w:val="baseline"/>
                <w:lang w:val="en-US" w:eastAsia="zh-CN"/>
              </w:rPr>
            </w:pPr>
            <w:r>
              <w:rPr>
                <w:rFonts w:hint="eastAsia" w:ascii="宋体" w:hAnsi="宋体" w:eastAsia="宋体" w:cs="宋体"/>
                <w:b w:val="0"/>
                <w:bCs w:val="0"/>
                <w:color w:val="auto"/>
                <w:sz w:val="24"/>
                <w:szCs w:val="32"/>
                <w:highlight w:val="none"/>
                <w:vertAlign w:val="baseline"/>
                <w:lang w:val="en-US" w:eastAsia="zh-CN"/>
              </w:rPr>
              <w:t>10#</w:t>
            </w:r>
          </w:p>
        </w:tc>
        <w:tc>
          <w:tcPr>
            <w:tcW w:w="7500" w:type="dxa"/>
            <w:vAlign w:val="center"/>
          </w:tcPr>
          <w:p>
            <w:pPr>
              <w:numPr>
                <w:ilvl w:val="0"/>
                <w:numId w:val="0"/>
              </w:numPr>
              <w:jc w:val="center"/>
              <w:rPr>
                <w:rFonts w:hint="eastAsia" w:ascii="宋体" w:hAnsi="宋体" w:eastAsia="宋体" w:cs="宋体"/>
                <w:b w:val="0"/>
                <w:bCs w:val="0"/>
                <w:color w:val="auto"/>
                <w:sz w:val="24"/>
                <w:szCs w:val="32"/>
                <w:highlight w:val="none"/>
                <w:lang w:val="en-US" w:eastAsia="zh-CN"/>
              </w:rPr>
            </w:pPr>
            <w:r>
              <w:rPr>
                <w:rFonts w:hint="eastAsia" w:ascii="宋体" w:hAnsi="宋体" w:eastAsia="宋体" w:cs="宋体"/>
                <w:b w:val="0"/>
                <w:bCs w:val="0"/>
                <w:color w:val="auto"/>
                <w:sz w:val="24"/>
                <w:szCs w:val="32"/>
                <w:highlight w:val="none"/>
                <w:lang w:val="en-US" w:eastAsia="zh-CN"/>
              </w:rPr>
              <w:t>固废前处理车间、四溴应急池及缓冲池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09" w:type="dxa"/>
            <w:vAlign w:val="center"/>
          </w:tcPr>
          <w:p>
            <w:pPr>
              <w:numPr>
                <w:ilvl w:val="0"/>
                <w:numId w:val="0"/>
              </w:numPr>
              <w:jc w:val="center"/>
              <w:rPr>
                <w:rFonts w:hint="eastAsia" w:ascii="宋体" w:hAnsi="宋体" w:eastAsia="宋体" w:cs="宋体"/>
                <w:b w:val="0"/>
                <w:bCs w:val="0"/>
                <w:color w:val="auto"/>
                <w:sz w:val="24"/>
                <w:szCs w:val="32"/>
                <w:highlight w:val="none"/>
                <w:vertAlign w:val="baseline"/>
                <w:lang w:val="en-US" w:eastAsia="zh-CN"/>
              </w:rPr>
            </w:pPr>
            <w:r>
              <w:rPr>
                <w:rFonts w:hint="eastAsia" w:ascii="宋体" w:hAnsi="宋体" w:eastAsia="宋体" w:cs="宋体"/>
                <w:b w:val="0"/>
                <w:bCs w:val="0"/>
                <w:color w:val="auto"/>
                <w:sz w:val="24"/>
                <w:szCs w:val="32"/>
                <w:highlight w:val="none"/>
                <w:vertAlign w:val="baseline"/>
                <w:lang w:val="en-US" w:eastAsia="zh-CN"/>
              </w:rPr>
              <w:t>11#</w:t>
            </w:r>
          </w:p>
        </w:tc>
        <w:tc>
          <w:tcPr>
            <w:tcW w:w="7500" w:type="dxa"/>
            <w:vAlign w:val="center"/>
          </w:tcPr>
          <w:p>
            <w:pPr>
              <w:numPr>
                <w:ilvl w:val="0"/>
                <w:numId w:val="0"/>
              </w:numPr>
              <w:jc w:val="center"/>
              <w:rPr>
                <w:rFonts w:hint="eastAsia" w:ascii="宋体" w:hAnsi="宋体" w:eastAsia="宋体" w:cs="宋体"/>
                <w:b w:val="0"/>
                <w:bCs w:val="0"/>
                <w:color w:val="auto"/>
                <w:sz w:val="24"/>
                <w:szCs w:val="32"/>
                <w:highlight w:val="none"/>
                <w:vertAlign w:val="baseline"/>
                <w:lang w:val="en-US" w:eastAsia="zh-CN"/>
              </w:rPr>
            </w:pPr>
            <w:r>
              <w:rPr>
                <w:rFonts w:hint="eastAsia" w:ascii="宋体" w:hAnsi="宋体" w:eastAsia="宋体" w:cs="宋体"/>
                <w:b w:val="0"/>
                <w:bCs w:val="0"/>
                <w:color w:val="auto"/>
                <w:sz w:val="24"/>
                <w:szCs w:val="24"/>
                <w:highlight w:val="none"/>
                <w:u w:val="none"/>
              </w:rPr>
              <w:t>土壤背景监测点</w:t>
            </w:r>
          </w:p>
        </w:tc>
      </w:tr>
    </w:tbl>
    <w:p>
      <w:pPr>
        <w:spacing w:line="360" w:lineRule="auto"/>
        <w:ind w:firstLine="560" w:firstLineChars="200"/>
        <w:rPr>
          <w:rFonts w:hint="eastAsia" w:ascii="宋体" w:hAnsi="宋体" w:eastAsia="宋体" w:cs="宋体"/>
          <w:caps w:val="0"/>
          <w:smallCaps w:val="0"/>
          <w:color w:val="auto"/>
          <w:spacing w:val="0"/>
          <w:sz w:val="28"/>
          <w:szCs w:val="28"/>
          <w:highlight w:val="none"/>
          <w:u w:val="none" w:color="auto"/>
          <w:lang w:val="en-US" w:eastAsia="zh-CN"/>
        </w:rPr>
      </w:pPr>
      <w:r>
        <w:rPr>
          <w:rFonts w:hint="eastAsia" w:ascii="宋体" w:hAnsi="宋体" w:eastAsia="宋体" w:cs="宋体"/>
          <w:caps w:val="0"/>
          <w:smallCaps w:val="0"/>
          <w:color w:val="auto"/>
          <w:spacing w:val="0"/>
          <w:sz w:val="28"/>
          <w:szCs w:val="28"/>
          <w:highlight w:val="none"/>
          <w:u w:val="none" w:color="auto"/>
          <w:lang w:val="en-US" w:eastAsia="zh-CN"/>
        </w:rPr>
        <w:t>企业土壤检测因子：砷、镉、六价铬、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α]蒽、苯并[α]芘、苯并[b]荧蒽、苯并[k]荧蒽、䓛、二苯并[α、h]蒽、茚并[1,2,3-cd]芘、萘45项；特征污染物：pH、二氯甲烷。</w:t>
      </w:r>
    </w:p>
    <w:p>
      <w:pPr>
        <w:pStyle w:val="29"/>
        <w:pageBreakBefore w:val="0"/>
        <w:numPr>
          <w:ilvl w:val="0"/>
          <w:numId w:val="0"/>
        </w:numPr>
        <w:kinsoku/>
        <w:wordWrap/>
        <w:overflowPunct/>
        <w:topLinePunct w:val="0"/>
        <w:autoSpaceDE/>
        <w:autoSpaceDN/>
        <w:bidi w:val="0"/>
        <w:spacing w:line="360" w:lineRule="auto"/>
        <w:jc w:val="center"/>
        <w:textAlignment w:val="auto"/>
        <w:outlineLvl w:val="9"/>
        <w:rPr>
          <w:rFonts w:hint="eastAsia" w:ascii="宋体" w:hAnsi="宋体" w:eastAsia="宋体" w:cs="宋体"/>
          <w:b/>
          <w:bCs/>
          <w:color w:val="auto"/>
          <w:sz w:val="28"/>
          <w:szCs w:val="28"/>
          <w:highlight w:val="none"/>
          <w:u w:val="none"/>
          <w:lang w:val="en-US" w:eastAsia="zh-CN"/>
        </w:rPr>
      </w:pPr>
      <w:r>
        <w:rPr>
          <w:rFonts w:hint="eastAsia" w:ascii="宋体" w:hAnsi="宋体" w:eastAsia="宋体" w:cs="宋体"/>
          <w:b/>
          <w:bCs/>
          <w:color w:val="auto"/>
          <w:sz w:val="28"/>
          <w:szCs w:val="28"/>
          <w:highlight w:val="none"/>
          <w:u w:val="none"/>
          <w:lang w:val="en-US" w:eastAsia="zh-CN"/>
        </w:rPr>
        <w:t>表5-2 地下水监测点位</w:t>
      </w:r>
    </w:p>
    <w:tbl>
      <w:tblPr>
        <w:tblStyle w:val="22"/>
        <w:tblW w:w="880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09"/>
        <w:gridCol w:w="75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9" w:type="dxa"/>
            <w:vAlign w:val="center"/>
          </w:tcPr>
          <w:p>
            <w:pPr>
              <w:numPr>
                <w:ilvl w:val="0"/>
                <w:numId w:val="0"/>
              </w:numPr>
              <w:jc w:val="center"/>
              <w:outlineLvl w:val="9"/>
              <w:rPr>
                <w:rFonts w:hint="eastAsia" w:ascii="宋体" w:hAnsi="宋体" w:eastAsia="宋体" w:cs="宋体"/>
                <w:b/>
                <w:bCs/>
                <w:color w:val="auto"/>
                <w:sz w:val="24"/>
                <w:szCs w:val="32"/>
                <w:vertAlign w:val="baseline"/>
                <w:lang w:val="en-US" w:eastAsia="zh-CN"/>
              </w:rPr>
            </w:pPr>
            <w:r>
              <w:rPr>
                <w:rFonts w:hint="eastAsia" w:ascii="宋体" w:hAnsi="宋体" w:eastAsia="宋体" w:cs="宋体"/>
                <w:b/>
                <w:bCs/>
                <w:color w:val="auto"/>
                <w:sz w:val="24"/>
                <w:szCs w:val="32"/>
                <w:vertAlign w:val="baseline"/>
                <w:lang w:val="en-US" w:eastAsia="zh-CN"/>
              </w:rPr>
              <w:t>编号</w:t>
            </w:r>
          </w:p>
        </w:tc>
        <w:tc>
          <w:tcPr>
            <w:tcW w:w="7500" w:type="dxa"/>
            <w:vAlign w:val="center"/>
          </w:tcPr>
          <w:p>
            <w:pPr>
              <w:numPr>
                <w:ilvl w:val="0"/>
                <w:numId w:val="0"/>
              </w:numPr>
              <w:jc w:val="center"/>
              <w:outlineLvl w:val="9"/>
              <w:rPr>
                <w:rFonts w:hint="eastAsia" w:ascii="宋体" w:hAnsi="宋体" w:eastAsia="宋体" w:cs="宋体"/>
                <w:b/>
                <w:bCs/>
                <w:color w:val="auto"/>
                <w:sz w:val="24"/>
                <w:szCs w:val="32"/>
                <w:vertAlign w:val="baseline"/>
                <w:lang w:val="en-US" w:eastAsia="zh-CN"/>
              </w:rPr>
            </w:pPr>
            <w:r>
              <w:rPr>
                <w:rFonts w:hint="eastAsia" w:ascii="宋体" w:hAnsi="宋体" w:eastAsia="宋体" w:cs="宋体"/>
                <w:b/>
                <w:bCs/>
                <w:color w:val="auto"/>
                <w:sz w:val="24"/>
                <w:szCs w:val="32"/>
                <w:vertAlign w:val="baseline"/>
                <w:lang w:val="en-US" w:eastAsia="zh-CN"/>
              </w:rPr>
              <w:t>点位名称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9" w:type="dxa"/>
            <w:vAlign w:val="center"/>
          </w:tcPr>
          <w:p>
            <w:pPr>
              <w:numPr>
                <w:ilvl w:val="0"/>
                <w:numId w:val="0"/>
              </w:numPr>
              <w:ind w:left="0" w:leftChars="0" w:firstLine="0" w:firstLineChars="0"/>
              <w:jc w:val="center"/>
              <w:outlineLvl w:val="9"/>
              <w:rPr>
                <w:rFonts w:hint="eastAsia" w:ascii="宋体" w:hAnsi="宋体" w:eastAsia="宋体" w:cs="宋体"/>
                <w:b w:val="0"/>
                <w:bCs w:val="0"/>
                <w:color w:val="auto"/>
                <w:kern w:val="2"/>
                <w:sz w:val="24"/>
                <w:szCs w:val="32"/>
                <w:vertAlign w:val="baseline"/>
                <w:lang w:val="en-US" w:eastAsia="zh-CN" w:bidi="ar-SA"/>
              </w:rPr>
            </w:pPr>
            <w:r>
              <w:rPr>
                <w:rFonts w:hint="eastAsia" w:ascii="宋体" w:hAnsi="宋体" w:eastAsia="宋体" w:cs="宋体"/>
                <w:b w:val="0"/>
                <w:bCs w:val="0"/>
                <w:color w:val="auto"/>
                <w:sz w:val="24"/>
                <w:szCs w:val="32"/>
                <w:vertAlign w:val="baseline"/>
                <w:lang w:val="en-US" w:eastAsia="zh-CN"/>
              </w:rPr>
              <w:t>1#</w:t>
            </w:r>
          </w:p>
        </w:tc>
        <w:tc>
          <w:tcPr>
            <w:tcW w:w="7500" w:type="dxa"/>
            <w:vAlign w:val="center"/>
          </w:tcPr>
          <w:p>
            <w:pPr>
              <w:numPr>
                <w:ilvl w:val="0"/>
                <w:numId w:val="0"/>
              </w:numPr>
              <w:ind w:left="0" w:leftChars="0" w:firstLine="0" w:firstLineChars="0"/>
              <w:jc w:val="center"/>
              <w:outlineLvl w:val="9"/>
              <w:rPr>
                <w:rFonts w:hint="eastAsia" w:ascii="宋体" w:hAnsi="宋体" w:eastAsia="宋体" w:cs="宋体"/>
                <w:b w:val="0"/>
                <w:bCs w:val="0"/>
                <w:color w:val="auto"/>
                <w:kern w:val="2"/>
                <w:sz w:val="24"/>
                <w:szCs w:val="32"/>
                <w:vertAlign w:val="baseline"/>
                <w:lang w:val="en-US" w:eastAsia="zh-CN" w:bidi="ar-SA"/>
              </w:rPr>
            </w:pPr>
            <w:r>
              <w:rPr>
                <w:rFonts w:hint="eastAsia" w:ascii="宋体" w:hAnsi="宋体" w:eastAsia="宋体" w:cs="宋体"/>
                <w:color w:val="auto"/>
                <w:sz w:val="24"/>
                <w:szCs w:val="24"/>
                <w:u w:val="none"/>
                <w:lang w:val="en-US" w:eastAsia="zh-CN"/>
              </w:rPr>
              <w:t>厂区地下水点位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9" w:type="dxa"/>
            <w:vAlign w:val="center"/>
          </w:tcPr>
          <w:p>
            <w:pPr>
              <w:numPr>
                <w:ilvl w:val="0"/>
                <w:numId w:val="0"/>
              </w:numPr>
              <w:ind w:left="0" w:leftChars="0" w:firstLine="0" w:firstLineChars="0"/>
              <w:jc w:val="center"/>
              <w:rPr>
                <w:rFonts w:hint="eastAsia" w:ascii="宋体" w:hAnsi="宋体" w:eastAsia="宋体" w:cs="宋体"/>
                <w:b w:val="0"/>
                <w:bCs w:val="0"/>
                <w:color w:val="auto"/>
                <w:sz w:val="24"/>
                <w:szCs w:val="32"/>
                <w:vertAlign w:val="baseline"/>
                <w:lang w:val="en-US" w:eastAsia="zh-CN"/>
              </w:rPr>
            </w:pPr>
            <w:r>
              <w:rPr>
                <w:rFonts w:hint="eastAsia" w:ascii="宋体" w:hAnsi="宋体" w:eastAsia="宋体" w:cs="宋体"/>
                <w:b w:val="0"/>
                <w:bCs w:val="0"/>
                <w:color w:val="auto"/>
                <w:sz w:val="24"/>
                <w:szCs w:val="32"/>
                <w:vertAlign w:val="baseline"/>
                <w:lang w:val="en-US" w:eastAsia="zh-CN"/>
              </w:rPr>
              <w:t>2#</w:t>
            </w:r>
          </w:p>
        </w:tc>
        <w:tc>
          <w:tcPr>
            <w:tcW w:w="7500" w:type="dxa"/>
            <w:vAlign w:val="center"/>
          </w:tcPr>
          <w:p>
            <w:pPr>
              <w:numPr>
                <w:ilvl w:val="0"/>
                <w:numId w:val="0"/>
              </w:numPr>
              <w:ind w:left="0" w:leftChars="0" w:firstLine="0" w:firstLineChars="0"/>
              <w:jc w:val="center"/>
              <w:rPr>
                <w:rFonts w:hint="eastAsia" w:ascii="宋体" w:hAnsi="宋体" w:eastAsia="宋体" w:cs="宋体"/>
                <w:color w:val="auto"/>
                <w:sz w:val="24"/>
                <w:szCs w:val="24"/>
                <w:u w:val="none"/>
                <w:lang w:val="en-US" w:eastAsia="zh-CN"/>
              </w:rPr>
            </w:pPr>
            <w:r>
              <w:rPr>
                <w:rFonts w:hint="eastAsia" w:ascii="宋体" w:hAnsi="宋体" w:eastAsia="宋体" w:cs="宋体"/>
                <w:color w:val="auto"/>
                <w:sz w:val="24"/>
                <w:szCs w:val="24"/>
                <w:u w:val="none"/>
                <w:lang w:val="en-US" w:eastAsia="zh-CN"/>
              </w:rPr>
              <w:t>园区地下水点位</w:t>
            </w:r>
          </w:p>
        </w:tc>
      </w:tr>
    </w:tbl>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color w:val="auto"/>
          <w:sz w:val="28"/>
          <w:szCs w:val="28"/>
          <w:highlight w:val="none"/>
          <w:u w:val="none"/>
          <w:lang w:val="en-US" w:eastAsia="zh-CN"/>
        </w:rPr>
      </w:pPr>
      <w:r>
        <w:rPr>
          <w:rFonts w:hint="eastAsia" w:ascii="宋体" w:hAnsi="宋体" w:eastAsia="宋体" w:cs="宋体"/>
          <w:color w:val="auto"/>
          <w:sz w:val="28"/>
          <w:szCs w:val="28"/>
          <w:highlight w:val="none"/>
          <w:u w:val="none"/>
        </w:rPr>
        <w:t>依据国家相关政策、标准、导则等要求，结合该企业性质确定地下水监测因子:</w:t>
      </w:r>
      <w:bookmarkStart w:id="162" w:name="_Toc31099"/>
      <w:bookmarkStart w:id="163" w:name="_Toc3020"/>
      <w:bookmarkStart w:id="164" w:name="_Toc107924578"/>
      <w:bookmarkStart w:id="165" w:name="_Toc857_WPSOffice_Level2"/>
      <w:bookmarkStart w:id="166" w:name="_Toc15018"/>
      <w:bookmarkStart w:id="167" w:name="_Toc6025_WPSOffice_Level2"/>
      <w:bookmarkStart w:id="168" w:name="_Toc12836"/>
      <w:bookmarkStart w:id="169" w:name="_Toc13293_WPSOffice_Level1"/>
      <w:r>
        <w:rPr>
          <w:rFonts w:hint="eastAsia" w:ascii="宋体" w:hAnsi="宋体" w:eastAsia="宋体" w:cs="宋体"/>
          <w:color w:val="auto"/>
          <w:sz w:val="28"/>
          <w:szCs w:val="28"/>
          <w:highlight w:val="none"/>
          <w:u w:val="none"/>
          <w:lang w:val="en-US" w:eastAsia="zh-CN"/>
        </w:rPr>
        <w:t>企业地下水监测因子：pH值、氨氮、钾、钠、钙、镁、砷、汞、铅、六价铬、镉、锌、锰、耗氧量、碳酸盐碱度、重碳酸盐碱度、硝酸盐氮、亚硝酸盐、挥发性酚类、氰化物、总硬度、溶解性总固体、硫酸盐、氯化物、氟化物、总大肠菌群、细菌总数。</w:t>
      </w:r>
    </w:p>
    <w:p>
      <w:pPr>
        <w:pStyle w:val="5"/>
        <w:ind w:left="0" w:leftChars="0" w:firstLine="0" w:firstLineChars="0"/>
        <w:outlineLvl w:val="1"/>
        <w:rPr>
          <w:rFonts w:hint="eastAsia" w:ascii="宋体" w:hAnsi="宋体" w:eastAsia="宋体" w:cs="宋体"/>
          <w:b/>
          <w:bCs/>
          <w:kern w:val="2"/>
          <w:sz w:val="28"/>
          <w:szCs w:val="32"/>
          <w:lang w:val="en-US" w:eastAsia="zh-CN" w:bidi="ar-SA"/>
        </w:rPr>
      </w:pPr>
      <w:bookmarkStart w:id="170" w:name="_Toc23432"/>
      <w:r>
        <w:rPr>
          <w:rFonts w:hint="eastAsia" w:ascii="宋体" w:hAnsi="宋体" w:eastAsia="宋体" w:cs="宋体"/>
          <w:b/>
          <w:bCs/>
          <w:kern w:val="2"/>
          <w:sz w:val="28"/>
          <w:szCs w:val="32"/>
          <w:lang w:val="en-US" w:eastAsia="zh-CN" w:bidi="ar-SA"/>
        </w:rPr>
        <w:t>5.2识别/分类结果及原因</w:t>
      </w:r>
      <w:bookmarkEnd w:id="162"/>
      <w:bookmarkEnd w:id="163"/>
      <w:bookmarkEnd w:id="164"/>
      <w:bookmarkEnd w:id="170"/>
    </w:p>
    <w:p>
      <w:pPr>
        <w:bidi w:val="0"/>
        <w:spacing w:line="520" w:lineRule="exact"/>
        <w:jc w:val="left"/>
        <w:outlineLvl w:val="2"/>
        <w:rPr>
          <w:rFonts w:hint="eastAsia" w:ascii="宋体" w:hAnsi="宋体" w:eastAsia="宋体" w:cs="宋体"/>
          <w:b/>
          <w:color w:val="auto"/>
          <w:kern w:val="2"/>
          <w:sz w:val="28"/>
          <w:szCs w:val="28"/>
          <w:highlight w:val="none"/>
          <w:lang w:val="en-US" w:eastAsia="zh-CN" w:bidi="ar-SA"/>
        </w:rPr>
      </w:pPr>
      <w:bookmarkStart w:id="171" w:name="_Toc107924579"/>
      <w:bookmarkStart w:id="172" w:name="_Toc7870"/>
      <w:bookmarkStart w:id="173" w:name="_Toc23988"/>
      <w:r>
        <w:rPr>
          <w:rFonts w:hint="eastAsia" w:ascii="宋体" w:hAnsi="宋体" w:eastAsia="宋体" w:cs="宋体"/>
          <w:b/>
          <w:color w:val="auto"/>
          <w:kern w:val="2"/>
          <w:sz w:val="28"/>
          <w:szCs w:val="28"/>
          <w:highlight w:val="none"/>
          <w:lang w:val="en-US" w:eastAsia="zh-CN" w:bidi="ar-SA"/>
        </w:rPr>
        <w:t>5.2.1识别原因</w:t>
      </w:r>
      <w:bookmarkEnd w:id="171"/>
      <w:bookmarkEnd w:id="172"/>
      <w:bookmarkEnd w:id="173"/>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color w:val="auto"/>
          <w:sz w:val="28"/>
          <w:szCs w:val="28"/>
          <w:highlight w:val="none"/>
          <w:u w:val="none"/>
          <w:lang w:val="en-US" w:eastAsia="zh-CN"/>
        </w:rPr>
      </w:pPr>
      <w:r>
        <w:rPr>
          <w:rFonts w:hint="eastAsia" w:ascii="宋体" w:hAnsi="宋体" w:eastAsia="宋体" w:cs="宋体"/>
          <w:color w:val="auto"/>
          <w:sz w:val="28"/>
          <w:szCs w:val="28"/>
          <w:highlight w:val="none"/>
          <w:u w:val="none"/>
          <w:lang w:val="en-US" w:eastAsia="zh-CN"/>
        </w:rPr>
        <w:t>按照《在产企业土壤及地下水自行监测技术指南》（HJ1209-2021）的相关规定，本次地下水自行监测对重点设施及重点区域的划分将遵循以下几个方面开展：</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color w:val="auto"/>
          <w:sz w:val="28"/>
          <w:szCs w:val="28"/>
          <w:highlight w:val="none"/>
          <w:u w:val="none"/>
          <w:lang w:val="en-US" w:eastAsia="zh-CN"/>
        </w:rPr>
      </w:pPr>
      <w:r>
        <w:rPr>
          <w:rFonts w:hint="eastAsia" w:ascii="宋体" w:hAnsi="宋体" w:eastAsia="宋体" w:cs="宋体"/>
          <w:color w:val="auto"/>
          <w:sz w:val="28"/>
          <w:szCs w:val="28"/>
          <w:highlight w:val="none"/>
          <w:u w:val="none"/>
          <w:lang w:val="en-US" w:eastAsia="zh-CN"/>
        </w:rPr>
        <w:t>（1）重点设施（一般包括但不仅限于）</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color w:val="auto"/>
          <w:sz w:val="28"/>
          <w:szCs w:val="28"/>
          <w:highlight w:val="none"/>
          <w:u w:val="none"/>
          <w:lang w:val="en-US" w:eastAsia="zh-CN"/>
        </w:rPr>
      </w:pPr>
      <w:r>
        <w:rPr>
          <w:rFonts w:hint="eastAsia" w:ascii="宋体" w:hAnsi="宋体" w:eastAsia="宋体" w:cs="宋体"/>
          <w:color w:val="auto"/>
          <w:sz w:val="28"/>
          <w:szCs w:val="28"/>
          <w:highlight w:val="none"/>
          <w:u w:val="none"/>
          <w:lang w:val="en-US" w:eastAsia="zh-CN"/>
        </w:rPr>
        <w:t>a）涉及有毒有害物质的生产区或生产设施；</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color w:val="auto"/>
          <w:sz w:val="28"/>
          <w:szCs w:val="28"/>
          <w:highlight w:val="none"/>
          <w:u w:val="none"/>
          <w:lang w:val="en-US" w:eastAsia="zh-CN"/>
        </w:rPr>
      </w:pPr>
      <w:r>
        <w:rPr>
          <w:rFonts w:hint="eastAsia" w:ascii="宋体" w:hAnsi="宋体" w:eastAsia="宋体" w:cs="宋体"/>
          <w:color w:val="auto"/>
          <w:sz w:val="28"/>
          <w:szCs w:val="28"/>
          <w:highlight w:val="none"/>
          <w:u w:val="none"/>
          <w:lang w:val="en-US" w:eastAsia="zh-CN"/>
        </w:rPr>
        <w:t>b）涉及有毒有害物质的原辅材料、产品、固体废物等的贮存或堆放区；</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color w:val="auto"/>
          <w:sz w:val="28"/>
          <w:szCs w:val="28"/>
          <w:highlight w:val="none"/>
          <w:u w:val="none"/>
          <w:lang w:val="en-US" w:eastAsia="zh-CN"/>
        </w:rPr>
      </w:pPr>
      <w:r>
        <w:rPr>
          <w:rFonts w:hint="eastAsia" w:ascii="宋体" w:hAnsi="宋体" w:eastAsia="宋体" w:cs="宋体"/>
          <w:color w:val="auto"/>
          <w:sz w:val="28"/>
          <w:szCs w:val="28"/>
          <w:highlight w:val="none"/>
          <w:u w:val="none"/>
          <w:lang w:val="en-US" w:eastAsia="zh-CN"/>
        </w:rPr>
        <w:t>c）涉及有毒有害物质的原辅材料、产品、固体废物等的转运、传送或装卸区；</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color w:val="auto"/>
          <w:sz w:val="28"/>
          <w:szCs w:val="28"/>
          <w:highlight w:val="none"/>
          <w:u w:val="none"/>
          <w:lang w:val="en-US" w:eastAsia="zh-CN"/>
        </w:rPr>
      </w:pPr>
      <w:r>
        <w:rPr>
          <w:rFonts w:hint="eastAsia" w:ascii="宋体" w:hAnsi="宋体" w:eastAsia="宋体" w:cs="宋体"/>
          <w:color w:val="auto"/>
          <w:sz w:val="28"/>
          <w:szCs w:val="28"/>
          <w:highlight w:val="none"/>
          <w:u w:val="none"/>
          <w:lang w:val="en-US" w:eastAsia="zh-CN"/>
        </w:rPr>
        <w:t>d）贮存或运输有毒有害物质的各类罐槽或管线；</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color w:val="auto"/>
          <w:sz w:val="28"/>
          <w:szCs w:val="28"/>
          <w:highlight w:val="none"/>
          <w:u w:val="none"/>
          <w:lang w:val="en-US" w:eastAsia="zh-CN"/>
        </w:rPr>
      </w:pPr>
      <w:r>
        <w:rPr>
          <w:rFonts w:hint="eastAsia" w:ascii="宋体" w:hAnsi="宋体" w:eastAsia="宋体" w:cs="宋体"/>
          <w:color w:val="auto"/>
          <w:sz w:val="28"/>
          <w:szCs w:val="28"/>
          <w:highlight w:val="none"/>
          <w:u w:val="none"/>
          <w:lang w:val="en-US" w:eastAsia="zh-CN"/>
        </w:rPr>
        <w:t>e）三废（废气、废水、固体废物）处理处置或排放区。</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color w:val="auto"/>
          <w:sz w:val="28"/>
          <w:szCs w:val="28"/>
          <w:highlight w:val="none"/>
          <w:u w:val="none"/>
          <w:lang w:val="en-US" w:eastAsia="zh-CN"/>
        </w:rPr>
      </w:pPr>
      <w:r>
        <w:rPr>
          <w:rFonts w:hint="eastAsia" w:ascii="宋体" w:hAnsi="宋体" w:eastAsia="宋体" w:cs="宋体"/>
          <w:color w:val="auto"/>
          <w:sz w:val="28"/>
          <w:szCs w:val="28"/>
          <w:highlight w:val="none"/>
          <w:u w:val="none"/>
          <w:lang w:val="en-US" w:eastAsia="zh-CN"/>
        </w:rPr>
        <w:t>（2）重点区域：重点设施分布较为密集的区域</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color w:val="auto"/>
          <w:sz w:val="28"/>
          <w:szCs w:val="28"/>
          <w:highlight w:val="none"/>
          <w:u w:val="none"/>
          <w:lang w:val="en-US" w:eastAsia="zh-CN"/>
        </w:rPr>
      </w:pPr>
      <w:r>
        <w:rPr>
          <w:rFonts w:hint="eastAsia" w:ascii="宋体" w:hAnsi="宋体" w:eastAsia="宋体" w:cs="宋体"/>
          <w:color w:val="auto"/>
          <w:sz w:val="28"/>
          <w:szCs w:val="28"/>
          <w:highlight w:val="none"/>
          <w:u w:val="none"/>
          <w:lang w:val="en-US" w:eastAsia="zh-CN"/>
        </w:rPr>
        <w:t>依据《在产企业土壤及地下水自行监测技术指南》（HJ1209-2021）、《建设用地土壤污染状况调查技术导则》（HJ25.1-2019）、《建设用地土壤环境调查评估技术指南》等要求，结合土壤及地下水隐患排查结果、现场踏勘和人员访谈，采用专业判断法进行土壤监测点布设，每个重点设施周边布设1-2个土壤监测点，每个重点监测单元布设最少1个土壤监测点，具体数量可根据设施大小或区域内设施数量等实际情况进行适当调整。</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color w:val="auto"/>
          <w:sz w:val="28"/>
          <w:szCs w:val="28"/>
          <w:highlight w:val="none"/>
          <w:u w:val="none"/>
          <w:lang w:val="en-US" w:eastAsia="zh-CN"/>
        </w:rPr>
      </w:pPr>
      <w:r>
        <w:rPr>
          <w:rFonts w:hint="eastAsia" w:ascii="宋体" w:hAnsi="宋体" w:eastAsia="宋体" w:cs="宋体"/>
          <w:color w:val="auto"/>
          <w:sz w:val="28"/>
          <w:szCs w:val="28"/>
          <w:highlight w:val="none"/>
          <w:u w:val="none"/>
          <w:lang w:val="en-US" w:eastAsia="zh-CN"/>
        </w:rPr>
        <w:t>由于企业生产性质，为防止造成二次污染，本次布点均在厂区靠近重点区域绿化带无硬化地面。</w:t>
      </w:r>
    </w:p>
    <w:p>
      <w:pPr>
        <w:keepNext/>
        <w:keepLines/>
        <w:widowControl w:val="0"/>
        <w:spacing w:line="520" w:lineRule="exact"/>
        <w:ind w:firstLine="562" w:firstLineChars="200"/>
        <w:jc w:val="both"/>
        <w:outlineLvl w:val="2"/>
        <w:rPr>
          <w:rFonts w:hint="eastAsia" w:ascii="宋体" w:hAnsi="宋体" w:eastAsia="宋体" w:cs="宋体"/>
          <w:b/>
          <w:color w:val="auto"/>
          <w:kern w:val="2"/>
          <w:sz w:val="28"/>
          <w:szCs w:val="28"/>
          <w:highlight w:val="none"/>
          <w:lang w:val="en-US" w:eastAsia="zh-CN" w:bidi="ar-SA"/>
        </w:rPr>
      </w:pPr>
      <w:bookmarkStart w:id="174" w:name="_Toc24841"/>
      <w:bookmarkStart w:id="175" w:name="_Toc107924580"/>
      <w:bookmarkStart w:id="176" w:name="_Toc12031"/>
      <w:r>
        <w:rPr>
          <w:rFonts w:hint="eastAsia" w:ascii="宋体" w:hAnsi="宋体" w:eastAsia="宋体" w:cs="宋体"/>
          <w:b/>
          <w:color w:val="auto"/>
          <w:kern w:val="2"/>
          <w:sz w:val="28"/>
          <w:szCs w:val="28"/>
          <w:highlight w:val="none"/>
          <w:lang w:val="en-US" w:eastAsia="zh-CN" w:bidi="ar-SA"/>
        </w:rPr>
        <w:t>5.2.2污染物潜在迁移途径</w:t>
      </w:r>
      <w:bookmarkEnd w:id="174"/>
      <w:bookmarkEnd w:id="175"/>
      <w:bookmarkEnd w:id="176"/>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color w:val="auto"/>
          <w:sz w:val="28"/>
          <w:szCs w:val="28"/>
          <w:highlight w:val="none"/>
          <w:u w:val="none"/>
          <w:lang w:val="en-US" w:eastAsia="zh-CN"/>
        </w:rPr>
      </w:pPr>
      <w:r>
        <w:rPr>
          <w:rFonts w:hint="eastAsia" w:ascii="宋体" w:hAnsi="宋体" w:eastAsia="宋体" w:cs="宋体"/>
          <w:color w:val="auto"/>
          <w:sz w:val="28"/>
          <w:szCs w:val="28"/>
          <w:highlight w:val="none"/>
          <w:u w:val="none"/>
          <w:lang w:val="en-US" w:eastAsia="zh-CN"/>
        </w:rPr>
        <w:t>根据水文地质资料和现场踏勘等工作分析，本场地土壤若存在污染物，其污染扩散途径包括为：</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color w:val="auto"/>
          <w:sz w:val="28"/>
          <w:szCs w:val="28"/>
          <w:highlight w:val="none"/>
          <w:u w:val="none"/>
          <w:lang w:val="en-US" w:eastAsia="zh-CN"/>
        </w:rPr>
      </w:pPr>
      <w:r>
        <w:rPr>
          <w:rFonts w:hint="eastAsia" w:ascii="宋体" w:hAnsi="宋体" w:eastAsia="宋体" w:cs="宋体"/>
          <w:color w:val="auto"/>
          <w:sz w:val="28"/>
          <w:szCs w:val="28"/>
          <w:highlight w:val="none"/>
          <w:u w:val="none"/>
          <w:lang w:val="en-US" w:eastAsia="zh-CN"/>
        </w:rPr>
        <w:t>（1）污染物垂直向下迁移：落地的污染物在外部降雨或自身重力垂直向下迁移，在迁移过程中吸附在土壤介质表面或溶解于降水进而影响土壤。</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color w:val="auto"/>
          <w:sz w:val="28"/>
          <w:szCs w:val="28"/>
          <w:highlight w:val="none"/>
          <w:u w:val="none"/>
          <w:lang w:val="en-US" w:eastAsia="zh-CN"/>
        </w:rPr>
      </w:pPr>
      <w:r>
        <w:rPr>
          <w:rFonts w:hint="eastAsia" w:ascii="宋体" w:hAnsi="宋体" w:eastAsia="宋体" w:cs="宋体"/>
          <w:color w:val="auto"/>
          <w:sz w:val="28"/>
          <w:szCs w:val="28"/>
          <w:highlight w:val="none"/>
          <w:u w:val="none"/>
          <w:lang w:val="en-US" w:eastAsia="zh-CN"/>
        </w:rPr>
        <w:t>（2）污染物水平迁移：落地污染物随雨水、风力等的水平迁移扩散。随雨水等地表径流扩散主要和场地地形有关，从场地地势高部分向地势低处扩散。</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color w:val="auto"/>
          <w:sz w:val="28"/>
          <w:szCs w:val="28"/>
          <w:highlight w:val="none"/>
          <w:u w:val="none"/>
          <w:lang w:val="en-US" w:eastAsia="zh-CN"/>
        </w:rPr>
      </w:pPr>
      <w:r>
        <w:rPr>
          <w:rFonts w:hint="eastAsia" w:ascii="宋体" w:hAnsi="宋体" w:eastAsia="宋体" w:cs="宋体"/>
          <w:color w:val="auto"/>
          <w:sz w:val="28"/>
          <w:szCs w:val="28"/>
          <w:highlight w:val="none"/>
          <w:u w:val="none"/>
          <w:lang w:val="en-US" w:eastAsia="zh-CN"/>
        </w:rPr>
        <w:t>（3）污染物地下迁移：污染物渗透进入地下，随地下水径流向下游迁移，影响土壤。</w:t>
      </w:r>
    </w:p>
    <w:p>
      <w:pPr>
        <w:keepNext/>
        <w:keepLines/>
        <w:widowControl w:val="0"/>
        <w:spacing w:line="520" w:lineRule="exact"/>
        <w:jc w:val="both"/>
        <w:outlineLvl w:val="2"/>
        <w:rPr>
          <w:rFonts w:hint="eastAsia" w:ascii="宋体" w:hAnsi="宋体" w:eastAsia="宋体" w:cs="宋体"/>
          <w:b/>
          <w:color w:val="auto"/>
          <w:kern w:val="2"/>
          <w:sz w:val="28"/>
          <w:szCs w:val="28"/>
          <w:highlight w:val="none"/>
          <w:lang w:val="en-US" w:eastAsia="zh-CN" w:bidi="ar-SA"/>
        </w:rPr>
      </w:pPr>
      <w:bookmarkStart w:id="177" w:name="_Toc11150"/>
      <w:bookmarkStart w:id="178" w:name="_Toc2810"/>
      <w:bookmarkStart w:id="179" w:name="_Toc107924581"/>
      <w:r>
        <w:rPr>
          <w:rFonts w:hint="eastAsia" w:ascii="宋体" w:hAnsi="宋体" w:eastAsia="宋体" w:cs="宋体"/>
          <w:b/>
          <w:color w:val="auto"/>
          <w:kern w:val="2"/>
          <w:sz w:val="28"/>
          <w:szCs w:val="28"/>
          <w:highlight w:val="none"/>
          <w:lang w:val="en-US" w:eastAsia="zh-CN" w:bidi="ar-SA"/>
        </w:rPr>
        <w:t>5.2.3重点监测单元分类结果</w:t>
      </w:r>
      <w:bookmarkEnd w:id="177"/>
      <w:bookmarkEnd w:id="178"/>
      <w:bookmarkEnd w:id="179"/>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color w:val="auto"/>
          <w:sz w:val="28"/>
          <w:szCs w:val="28"/>
          <w:highlight w:val="none"/>
          <w:u w:val="none"/>
          <w:lang w:val="en-US" w:eastAsia="zh-CN"/>
        </w:rPr>
      </w:pPr>
      <w:r>
        <w:rPr>
          <w:rFonts w:hint="eastAsia" w:ascii="宋体" w:hAnsi="宋体" w:eastAsia="宋体" w:cs="宋体"/>
          <w:color w:val="auto"/>
          <w:sz w:val="28"/>
          <w:szCs w:val="28"/>
          <w:highlight w:val="none"/>
          <w:u w:val="none"/>
          <w:lang w:val="en-US" w:eastAsia="zh-CN"/>
        </w:rPr>
        <w:t>根据本项目土壤隐患排查结果，参照《工业企业土壤和地下水自行监测技术指南（试行）》HJ1209-2021，该项目确实具有土壤污染隐患的重点场所或重点设施设备，应进行重点监测单元开展土壤和地下水监测工作，根据“5.1重点单元情况”可知，确定厂区LNG储罐区及循环水池、消防水池、污水处理站及事故池、厌氧IC塔、综合车间及应急池、4-甲基二苯胺、固废、危废暂存间、1-4酸钠盐、尼文酸车间、1#2#仓库、甲酸乙酯车间、仓库及应急池、乙醇甲酸地埋罐、溴化氢车间（乙酸溶液）、二氯甲烷、双氧水、溴素储罐区、锅炉房缓冲池、冰醋酸储罐、酸碱储罐区、尼文酸应急池、4#仓库（甲苯、氯苯）、固废前处理车间、四溴应急池及缓冲池等重点区域为本次的重点监测单元。</w:t>
      </w:r>
    </w:p>
    <w:p>
      <w:pPr>
        <w:keepNext/>
        <w:keepLines/>
        <w:widowControl w:val="0"/>
        <w:numPr>
          <w:ilvl w:val="1"/>
          <w:numId w:val="1"/>
        </w:numPr>
        <w:bidi w:val="0"/>
        <w:spacing w:line="520" w:lineRule="exact"/>
        <w:ind w:firstLine="0" w:firstLineChars="0"/>
        <w:jc w:val="left"/>
        <w:outlineLvl w:val="1"/>
        <w:rPr>
          <w:rFonts w:hint="eastAsia" w:ascii="宋体" w:hAnsi="宋体" w:eastAsia="宋体" w:cs="宋体"/>
          <w:b/>
          <w:bCs/>
          <w:kern w:val="2"/>
          <w:sz w:val="28"/>
          <w:szCs w:val="32"/>
          <w:lang w:val="en-US" w:eastAsia="zh-CN" w:bidi="ar-SA"/>
        </w:rPr>
      </w:pPr>
      <w:bookmarkStart w:id="180" w:name="_Toc1154"/>
      <w:bookmarkStart w:id="181" w:name="_Toc107924582"/>
      <w:bookmarkStart w:id="182" w:name="_Toc25993"/>
      <w:bookmarkStart w:id="183" w:name="_Toc32455"/>
      <w:r>
        <w:rPr>
          <w:rFonts w:hint="eastAsia" w:ascii="宋体" w:hAnsi="宋体" w:eastAsia="宋体" w:cs="宋体"/>
          <w:b/>
          <w:bCs/>
          <w:kern w:val="2"/>
          <w:sz w:val="28"/>
          <w:szCs w:val="32"/>
          <w:lang w:val="en-US" w:eastAsia="zh-CN" w:bidi="ar-SA"/>
        </w:rPr>
        <w:t>5.3关注污染物</w:t>
      </w:r>
      <w:bookmarkEnd w:id="180"/>
      <w:bookmarkEnd w:id="181"/>
      <w:bookmarkEnd w:id="182"/>
      <w:bookmarkEnd w:id="183"/>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color w:val="auto"/>
          <w:sz w:val="28"/>
          <w:szCs w:val="28"/>
          <w:highlight w:val="none"/>
          <w:u w:val="none"/>
          <w:lang w:val="en-US" w:eastAsia="zh-CN"/>
        </w:rPr>
      </w:pPr>
      <w:r>
        <w:rPr>
          <w:rFonts w:hint="eastAsia" w:ascii="宋体" w:hAnsi="宋体" w:eastAsia="宋体" w:cs="宋体"/>
          <w:color w:val="auto"/>
          <w:sz w:val="28"/>
          <w:szCs w:val="28"/>
          <w:highlight w:val="none"/>
          <w:u w:val="none"/>
          <w:lang w:val="en-US" w:eastAsia="zh-CN"/>
        </w:rPr>
        <w:t>重点监测单元及关注污染物见表5-3。</w:t>
      </w:r>
    </w:p>
    <w:p>
      <w:pPr>
        <w:bidi w:val="0"/>
        <w:spacing w:line="520" w:lineRule="exact"/>
        <w:ind w:firstLine="562" w:firstLineChars="200"/>
        <w:jc w:val="center"/>
        <w:rPr>
          <w:rFonts w:hint="eastAsia" w:ascii="宋体" w:hAnsi="宋体" w:eastAsia="宋体" w:cs="宋体"/>
          <w:b/>
          <w:bCs/>
          <w:color w:val="auto"/>
          <w:sz w:val="28"/>
          <w:highlight w:val="none"/>
          <w:lang w:val="en-US" w:eastAsia="zh-CN"/>
        </w:rPr>
      </w:pPr>
      <w:r>
        <w:rPr>
          <w:rFonts w:hint="eastAsia" w:ascii="宋体" w:hAnsi="宋体" w:eastAsia="宋体" w:cs="宋体"/>
          <w:b/>
          <w:bCs/>
          <w:color w:val="auto"/>
          <w:sz w:val="28"/>
          <w:highlight w:val="none"/>
          <w:lang w:val="en-US" w:eastAsia="zh-CN"/>
        </w:rPr>
        <w:t>表5-3 重点监测单元及关注污染物</w:t>
      </w:r>
    </w:p>
    <w:tbl>
      <w:tblPr>
        <w:tblStyle w:val="21"/>
        <w:tblW w:w="510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82"/>
        <w:gridCol w:w="2061"/>
        <w:gridCol w:w="1710"/>
        <w:gridCol w:w="32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8" w:hRule="atLeast"/>
          <w:jc w:val="center"/>
        </w:trPr>
        <w:tc>
          <w:tcPr>
            <w:tcW w:w="1309" w:type="pct"/>
            <w:vAlign w:val="center"/>
          </w:tcPr>
          <w:p>
            <w:pPr>
              <w:spacing w:line="240" w:lineRule="auto"/>
              <w:jc w:val="center"/>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潜在污染物区域名称</w:t>
            </w:r>
          </w:p>
        </w:tc>
        <w:tc>
          <w:tcPr>
            <w:tcW w:w="1087" w:type="pct"/>
            <w:vAlign w:val="center"/>
          </w:tcPr>
          <w:p>
            <w:pPr>
              <w:spacing w:line="240" w:lineRule="auto"/>
              <w:jc w:val="center"/>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污染源</w:t>
            </w:r>
          </w:p>
        </w:tc>
        <w:tc>
          <w:tcPr>
            <w:tcW w:w="902" w:type="pct"/>
            <w:vAlign w:val="center"/>
          </w:tcPr>
          <w:p>
            <w:pPr>
              <w:spacing w:line="240" w:lineRule="auto"/>
              <w:jc w:val="center"/>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可能造成的污染</w:t>
            </w:r>
          </w:p>
        </w:tc>
        <w:tc>
          <w:tcPr>
            <w:tcW w:w="1699" w:type="pct"/>
            <w:vAlign w:val="center"/>
          </w:tcPr>
          <w:p>
            <w:pPr>
              <w:spacing w:line="240" w:lineRule="auto"/>
              <w:jc w:val="center"/>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可能会对土壤造成风险的污染物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atLeast"/>
          <w:jc w:val="center"/>
        </w:trPr>
        <w:tc>
          <w:tcPr>
            <w:tcW w:w="1309" w:type="pct"/>
            <w:vAlign w:val="center"/>
          </w:tcPr>
          <w:p>
            <w:pPr>
              <w:keepNext w:val="0"/>
              <w:keepLines w:val="0"/>
              <w:pageBreakBefore w:val="0"/>
              <w:widowControl w:val="0"/>
              <w:numPr>
                <w:ilvl w:val="0"/>
                <w:numId w:val="0"/>
              </w:numPr>
              <w:kinsoku/>
              <w:wordWrap/>
              <w:overflowPunct/>
              <w:topLinePunct w:val="0"/>
              <w:autoSpaceDE/>
              <w:autoSpaceDN/>
              <w:bidi w:val="0"/>
              <w:spacing w:line="240" w:lineRule="exact"/>
              <w:ind w:left="0" w:leftChars="0" w:firstLine="0" w:firstLineChars="0"/>
              <w:jc w:val="center"/>
              <w:textAlignment w:val="auto"/>
              <w:rPr>
                <w:rFonts w:hint="eastAsia" w:ascii="宋体" w:hAnsi="宋体" w:eastAsia="宋体" w:cs="宋体"/>
                <w:b w:val="0"/>
                <w:bCs w:val="0"/>
                <w:color w:val="auto"/>
                <w:kern w:val="2"/>
                <w:sz w:val="21"/>
                <w:szCs w:val="21"/>
                <w:highlight w:val="none"/>
                <w:vertAlign w:val="baseline"/>
                <w:lang w:val="en-US" w:eastAsia="zh-CN" w:bidi="ar-SA"/>
              </w:rPr>
            </w:pPr>
            <w:r>
              <w:rPr>
                <w:rFonts w:hint="eastAsia" w:ascii="宋体" w:hAnsi="宋体" w:eastAsia="宋体" w:cs="宋体"/>
                <w:b w:val="0"/>
                <w:bCs w:val="0"/>
                <w:color w:val="auto"/>
                <w:sz w:val="21"/>
                <w:szCs w:val="21"/>
                <w:highlight w:val="none"/>
                <w:lang w:val="en-US" w:eastAsia="zh-CN"/>
              </w:rPr>
              <w:t>LNG储罐区及循环水池、消防水池</w:t>
            </w:r>
          </w:p>
        </w:tc>
        <w:tc>
          <w:tcPr>
            <w:tcW w:w="1087" w:type="pct"/>
            <w:vAlign w:val="center"/>
          </w:tcPr>
          <w:p>
            <w:pPr>
              <w:keepNext w:val="0"/>
              <w:keepLines w:val="0"/>
              <w:pageBreakBefore w:val="0"/>
              <w:widowControl w:val="0"/>
              <w:numPr>
                <w:ilvl w:val="0"/>
                <w:numId w:val="0"/>
              </w:numPr>
              <w:kinsoku/>
              <w:wordWrap/>
              <w:overflowPunct/>
              <w:topLinePunct w:val="0"/>
              <w:autoSpaceDE/>
              <w:autoSpaceDN/>
              <w:bidi w:val="0"/>
              <w:spacing w:line="240" w:lineRule="exact"/>
              <w:ind w:left="0" w:leftChars="0" w:firstLine="0" w:firstLineChars="0"/>
              <w:jc w:val="center"/>
              <w:textAlignment w:val="auto"/>
              <w:rPr>
                <w:rFonts w:hint="eastAsia" w:ascii="宋体" w:hAnsi="宋体" w:eastAsia="宋体" w:cs="宋体"/>
                <w:b w:val="0"/>
                <w:bCs w:val="0"/>
                <w:color w:val="auto"/>
                <w:kern w:val="2"/>
                <w:sz w:val="21"/>
                <w:szCs w:val="21"/>
                <w:highlight w:val="none"/>
                <w:vertAlign w:val="baseline"/>
                <w:lang w:val="en-US" w:eastAsia="zh-CN" w:bidi="ar-SA"/>
              </w:rPr>
            </w:pPr>
            <w:r>
              <w:rPr>
                <w:rFonts w:hint="eastAsia" w:ascii="宋体" w:hAnsi="宋体" w:eastAsia="宋体" w:cs="宋体"/>
                <w:b w:val="0"/>
                <w:bCs w:val="0"/>
                <w:color w:val="auto"/>
                <w:sz w:val="21"/>
                <w:szCs w:val="21"/>
                <w:highlight w:val="none"/>
                <w:lang w:val="en-US" w:eastAsia="zh-CN"/>
              </w:rPr>
              <w:t>LNG储罐区及循环水池、消防水池</w:t>
            </w:r>
          </w:p>
        </w:tc>
        <w:tc>
          <w:tcPr>
            <w:tcW w:w="902" w:type="pct"/>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渗透、沉降</w:t>
            </w:r>
          </w:p>
        </w:tc>
        <w:tc>
          <w:tcPr>
            <w:tcW w:w="1699" w:type="pct"/>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eastAsia" w:ascii="宋体" w:hAnsi="宋体" w:eastAsia="宋体" w:cs="宋体"/>
                <w:color w:val="auto"/>
                <w:kern w:val="2"/>
                <w:sz w:val="21"/>
                <w:szCs w:val="21"/>
                <w:highlight w:val="none"/>
                <w:u w:val="none"/>
                <w:lang w:val="en-US" w:eastAsia="zh-CN" w:bidi="ar-SA"/>
              </w:rPr>
            </w:pPr>
            <w:r>
              <w:rPr>
                <w:rFonts w:hint="eastAsia" w:ascii="宋体" w:hAnsi="宋体" w:eastAsia="宋体" w:cs="宋体"/>
                <w:color w:val="auto"/>
                <w:sz w:val="21"/>
                <w:szCs w:val="21"/>
                <w:highlight w:val="none"/>
                <w:u w:val="none"/>
                <w:lang w:val="en-US" w:eastAsia="zh-CN"/>
              </w:rPr>
              <w:t>氯化氢、溴离子、非甲烷总烃、硫酸雾、储罐呼吸废气等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5" w:hRule="atLeast"/>
          <w:jc w:val="center"/>
        </w:trPr>
        <w:tc>
          <w:tcPr>
            <w:tcW w:w="1309" w:type="pct"/>
            <w:vAlign w:val="center"/>
          </w:tcPr>
          <w:p>
            <w:pPr>
              <w:keepNext w:val="0"/>
              <w:keepLines w:val="0"/>
              <w:pageBreakBefore w:val="0"/>
              <w:widowControl w:val="0"/>
              <w:numPr>
                <w:ilvl w:val="0"/>
                <w:numId w:val="0"/>
              </w:numPr>
              <w:kinsoku/>
              <w:wordWrap/>
              <w:overflowPunct/>
              <w:topLinePunct w:val="0"/>
              <w:autoSpaceDE/>
              <w:autoSpaceDN/>
              <w:bidi w:val="0"/>
              <w:spacing w:line="240" w:lineRule="exact"/>
              <w:ind w:left="0" w:leftChars="0" w:firstLine="0" w:firstLineChars="0"/>
              <w:jc w:val="center"/>
              <w:textAlignment w:val="auto"/>
              <w:rPr>
                <w:rFonts w:hint="eastAsia" w:ascii="宋体" w:hAnsi="宋体" w:eastAsia="宋体" w:cs="宋体"/>
                <w:b w:val="0"/>
                <w:bCs w:val="0"/>
                <w:color w:val="auto"/>
                <w:kern w:val="2"/>
                <w:sz w:val="21"/>
                <w:szCs w:val="21"/>
                <w:highlight w:val="none"/>
                <w:vertAlign w:val="baseline"/>
                <w:lang w:val="en-US" w:eastAsia="zh-CN" w:bidi="ar-SA"/>
              </w:rPr>
            </w:pPr>
            <w:r>
              <w:rPr>
                <w:rFonts w:hint="eastAsia" w:ascii="宋体" w:hAnsi="宋体" w:eastAsia="宋体" w:cs="宋体"/>
                <w:b w:val="0"/>
                <w:bCs w:val="0"/>
                <w:color w:val="auto"/>
                <w:sz w:val="21"/>
                <w:szCs w:val="21"/>
                <w:highlight w:val="none"/>
                <w:lang w:val="en-US" w:eastAsia="zh-CN"/>
              </w:rPr>
              <w:t>污水处理站及事故池、厌氧IC塔</w:t>
            </w:r>
          </w:p>
        </w:tc>
        <w:tc>
          <w:tcPr>
            <w:tcW w:w="1087" w:type="pct"/>
            <w:vAlign w:val="center"/>
          </w:tcPr>
          <w:p>
            <w:pPr>
              <w:keepNext w:val="0"/>
              <w:keepLines w:val="0"/>
              <w:pageBreakBefore w:val="0"/>
              <w:widowControl w:val="0"/>
              <w:numPr>
                <w:ilvl w:val="0"/>
                <w:numId w:val="0"/>
              </w:numPr>
              <w:kinsoku/>
              <w:wordWrap/>
              <w:overflowPunct/>
              <w:topLinePunct w:val="0"/>
              <w:autoSpaceDE/>
              <w:autoSpaceDN/>
              <w:bidi w:val="0"/>
              <w:spacing w:line="240" w:lineRule="exact"/>
              <w:ind w:left="0" w:leftChars="0" w:firstLine="0" w:firstLineChars="0"/>
              <w:jc w:val="center"/>
              <w:textAlignment w:val="auto"/>
              <w:rPr>
                <w:rFonts w:hint="eastAsia" w:ascii="宋体" w:hAnsi="宋体" w:eastAsia="宋体" w:cs="宋体"/>
                <w:b w:val="0"/>
                <w:bCs w:val="0"/>
                <w:color w:val="auto"/>
                <w:kern w:val="2"/>
                <w:sz w:val="21"/>
                <w:szCs w:val="21"/>
                <w:highlight w:val="none"/>
                <w:vertAlign w:val="baseline"/>
                <w:lang w:val="en-US" w:eastAsia="zh-CN" w:bidi="ar-SA"/>
              </w:rPr>
            </w:pPr>
            <w:r>
              <w:rPr>
                <w:rFonts w:hint="eastAsia" w:ascii="宋体" w:hAnsi="宋体" w:eastAsia="宋体" w:cs="宋体"/>
                <w:b w:val="0"/>
                <w:bCs w:val="0"/>
                <w:color w:val="auto"/>
                <w:sz w:val="21"/>
                <w:szCs w:val="21"/>
                <w:highlight w:val="none"/>
                <w:lang w:val="en-US" w:eastAsia="zh-CN"/>
              </w:rPr>
              <w:t>污水处理站及事故池、厌氧IC塔</w:t>
            </w:r>
          </w:p>
        </w:tc>
        <w:tc>
          <w:tcPr>
            <w:tcW w:w="902" w:type="pct"/>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渗透、沉降</w:t>
            </w:r>
          </w:p>
        </w:tc>
        <w:tc>
          <w:tcPr>
            <w:tcW w:w="1699"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kern w:val="0"/>
                <w:sz w:val="21"/>
                <w:szCs w:val="21"/>
                <w:highlight w:val="none"/>
                <w:lang w:val="en-US" w:eastAsia="zh-CN" w:bidi="ar"/>
              </w:rPr>
              <w:t>化学需氧量,氨氮、总氮、总磷、</w:t>
            </w:r>
          </w:p>
          <w:p>
            <w:pPr>
              <w:keepNext w:val="0"/>
              <w:keepLines w:val="0"/>
              <w:pageBreakBefore w:val="0"/>
              <w:widowControl/>
              <w:suppressLineNumbers w:val="0"/>
              <w:kinsoku/>
              <w:wordWrap/>
              <w:overflowPunct/>
              <w:topLinePunct w:val="0"/>
              <w:autoSpaceDE/>
              <w:autoSpaceDN/>
              <w:bidi w:val="0"/>
              <w:adjustRightInd w:val="0"/>
              <w:snapToGrid w:val="0"/>
              <w:spacing w:line="240" w:lineRule="exact"/>
              <w:ind w:firstLine="0" w:firstLineChars="0"/>
              <w:jc w:val="left"/>
              <w:textAlignment w:val="auto"/>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
              </w:rPr>
              <w:t>pH值、色度、五日生化需氧量、悬浮物、总有机碳、石油类、硫化物、氟化物、挥发酚、可吸附有机卤化物、溶解性总固体（全盐类）等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5" w:hRule="atLeast"/>
          <w:jc w:val="center"/>
        </w:trPr>
        <w:tc>
          <w:tcPr>
            <w:tcW w:w="1309" w:type="pct"/>
            <w:vAlign w:val="center"/>
          </w:tcPr>
          <w:p>
            <w:pPr>
              <w:keepNext w:val="0"/>
              <w:keepLines w:val="0"/>
              <w:pageBreakBefore w:val="0"/>
              <w:widowControl w:val="0"/>
              <w:numPr>
                <w:ilvl w:val="0"/>
                <w:numId w:val="0"/>
              </w:numPr>
              <w:kinsoku/>
              <w:wordWrap/>
              <w:overflowPunct/>
              <w:topLinePunct w:val="0"/>
              <w:autoSpaceDE/>
              <w:autoSpaceDN/>
              <w:bidi w:val="0"/>
              <w:spacing w:line="240" w:lineRule="exact"/>
              <w:ind w:left="0" w:leftChars="0" w:firstLine="0" w:firstLineChars="0"/>
              <w:jc w:val="center"/>
              <w:textAlignment w:val="auto"/>
              <w:rPr>
                <w:rFonts w:hint="eastAsia" w:ascii="宋体" w:hAnsi="宋体" w:eastAsia="宋体" w:cs="宋体"/>
                <w:b w:val="0"/>
                <w:bCs w:val="0"/>
                <w:color w:val="auto"/>
                <w:kern w:val="2"/>
                <w:sz w:val="21"/>
                <w:szCs w:val="21"/>
                <w:highlight w:val="none"/>
                <w:vertAlign w:val="baseline"/>
                <w:lang w:val="en-US" w:eastAsia="zh-CN" w:bidi="ar-SA"/>
              </w:rPr>
            </w:pPr>
            <w:r>
              <w:rPr>
                <w:rFonts w:hint="eastAsia" w:ascii="宋体" w:hAnsi="宋体" w:eastAsia="宋体" w:cs="宋体"/>
                <w:b w:val="0"/>
                <w:bCs w:val="0"/>
                <w:color w:val="auto"/>
                <w:sz w:val="21"/>
                <w:szCs w:val="21"/>
                <w:highlight w:val="none"/>
                <w:lang w:val="en-US" w:eastAsia="zh-CN"/>
              </w:rPr>
              <w:t>综合车间及应急池、4-甲基二苯胺</w:t>
            </w:r>
          </w:p>
        </w:tc>
        <w:tc>
          <w:tcPr>
            <w:tcW w:w="1087" w:type="pct"/>
            <w:vAlign w:val="center"/>
          </w:tcPr>
          <w:p>
            <w:pPr>
              <w:keepNext w:val="0"/>
              <w:keepLines w:val="0"/>
              <w:pageBreakBefore w:val="0"/>
              <w:widowControl w:val="0"/>
              <w:numPr>
                <w:ilvl w:val="0"/>
                <w:numId w:val="0"/>
              </w:numPr>
              <w:kinsoku/>
              <w:wordWrap/>
              <w:overflowPunct/>
              <w:topLinePunct w:val="0"/>
              <w:autoSpaceDE/>
              <w:autoSpaceDN/>
              <w:bidi w:val="0"/>
              <w:spacing w:line="240" w:lineRule="exact"/>
              <w:ind w:left="0" w:leftChars="0" w:firstLine="0" w:firstLineChars="0"/>
              <w:jc w:val="center"/>
              <w:textAlignment w:val="auto"/>
              <w:rPr>
                <w:rFonts w:hint="eastAsia" w:ascii="宋体" w:hAnsi="宋体" w:eastAsia="宋体" w:cs="宋体"/>
                <w:b w:val="0"/>
                <w:bCs w:val="0"/>
                <w:color w:val="auto"/>
                <w:kern w:val="2"/>
                <w:sz w:val="21"/>
                <w:szCs w:val="21"/>
                <w:highlight w:val="none"/>
                <w:vertAlign w:val="baseline"/>
                <w:lang w:val="en-US" w:eastAsia="zh-CN" w:bidi="ar-SA"/>
              </w:rPr>
            </w:pPr>
            <w:r>
              <w:rPr>
                <w:rFonts w:hint="eastAsia" w:ascii="宋体" w:hAnsi="宋体" w:eastAsia="宋体" w:cs="宋体"/>
                <w:b w:val="0"/>
                <w:bCs w:val="0"/>
                <w:color w:val="auto"/>
                <w:sz w:val="21"/>
                <w:szCs w:val="21"/>
                <w:highlight w:val="none"/>
                <w:lang w:val="en-US" w:eastAsia="zh-CN"/>
              </w:rPr>
              <w:t>综合车间及应急池、4-甲基二苯胺</w:t>
            </w:r>
          </w:p>
        </w:tc>
        <w:tc>
          <w:tcPr>
            <w:tcW w:w="902" w:type="pct"/>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渗透、沉降</w:t>
            </w:r>
          </w:p>
        </w:tc>
        <w:tc>
          <w:tcPr>
            <w:tcW w:w="1699"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firstLine="0" w:firstLineChars="0"/>
              <w:jc w:val="center"/>
              <w:textAlignment w:val="auto"/>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
              </w:rPr>
              <w:t>溴化氢,非甲烷总烃等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5" w:hRule="atLeast"/>
          <w:jc w:val="center"/>
        </w:trPr>
        <w:tc>
          <w:tcPr>
            <w:tcW w:w="1309" w:type="pct"/>
            <w:vAlign w:val="center"/>
          </w:tcPr>
          <w:p>
            <w:pPr>
              <w:keepNext w:val="0"/>
              <w:keepLines w:val="0"/>
              <w:pageBreakBefore w:val="0"/>
              <w:widowControl w:val="0"/>
              <w:numPr>
                <w:ilvl w:val="0"/>
                <w:numId w:val="0"/>
              </w:numPr>
              <w:kinsoku/>
              <w:wordWrap/>
              <w:overflowPunct/>
              <w:topLinePunct w:val="0"/>
              <w:autoSpaceDE/>
              <w:autoSpaceDN/>
              <w:bidi w:val="0"/>
              <w:spacing w:line="240" w:lineRule="exact"/>
              <w:ind w:left="0" w:leftChars="0" w:firstLine="0" w:firstLineChars="0"/>
              <w:jc w:val="center"/>
              <w:textAlignment w:val="auto"/>
              <w:rPr>
                <w:rFonts w:hint="eastAsia" w:ascii="宋体" w:hAnsi="宋体" w:eastAsia="宋体" w:cs="宋体"/>
                <w:b w:val="0"/>
                <w:bCs w:val="0"/>
                <w:color w:val="auto"/>
                <w:kern w:val="2"/>
                <w:sz w:val="21"/>
                <w:szCs w:val="21"/>
                <w:highlight w:val="none"/>
                <w:vertAlign w:val="baseline"/>
                <w:lang w:val="en-US" w:eastAsia="zh-CN" w:bidi="ar-SA"/>
              </w:rPr>
            </w:pPr>
            <w:r>
              <w:rPr>
                <w:rFonts w:hint="eastAsia" w:ascii="宋体" w:hAnsi="宋体" w:eastAsia="宋体" w:cs="宋体"/>
                <w:b w:val="0"/>
                <w:bCs w:val="0"/>
                <w:color w:val="auto"/>
                <w:sz w:val="21"/>
                <w:szCs w:val="21"/>
                <w:highlight w:val="none"/>
                <w:lang w:val="en-US" w:eastAsia="zh-CN"/>
              </w:rPr>
              <w:t>固废、危废暂存间</w:t>
            </w:r>
          </w:p>
        </w:tc>
        <w:tc>
          <w:tcPr>
            <w:tcW w:w="1087" w:type="pct"/>
            <w:vAlign w:val="center"/>
          </w:tcPr>
          <w:p>
            <w:pPr>
              <w:keepNext w:val="0"/>
              <w:keepLines w:val="0"/>
              <w:pageBreakBefore w:val="0"/>
              <w:widowControl w:val="0"/>
              <w:numPr>
                <w:ilvl w:val="0"/>
                <w:numId w:val="0"/>
              </w:numPr>
              <w:kinsoku/>
              <w:wordWrap/>
              <w:overflowPunct/>
              <w:topLinePunct w:val="0"/>
              <w:autoSpaceDE/>
              <w:autoSpaceDN/>
              <w:bidi w:val="0"/>
              <w:spacing w:line="240" w:lineRule="exact"/>
              <w:ind w:left="0" w:leftChars="0" w:firstLine="0" w:firstLineChars="0"/>
              <w:jc w:val="center"/>
              <w:textAlignment w:val="auto"/>
              <w:rPr>
                <w:rFonts w:hint="eastAsia" w:ascii="宋体" w:hAnsi="宋体" w:eastAsia="宋体" w:cs="宋体"/>
                <w:b w:val="0"/>
                <w:bCs w:val="0"/>
                <w:color w:val="auto"/>
                <w:kern w:val="2"/>
                <w:sz w:val="21"/>
                <w:szCs w:val="21"/>
                <w:highlight w:val="none"/>
                <w:vertAlign w:val="baseline"/>
                <w:lang w:val="en-US" w:eastAsia="zh-CN" w:bidi="ar-SA"/>
              </w:rPr>
            </w:pPr>
            <w:r>
              <w:rPr>
                <w:rFonts w:hint="eastAsia" w:ascii="宋体" w:hAnsi="宋体" w:eastAsia="宋体" w:cs="宋体"/>
                <w:b w:val="0"/>
                <w:bCs w:val="0"/>
                <w:color w:val="auto"/>
                <w:sz w:val="21"/>
                <w:szCs w:val="21"/>
                <w:highlight w:val="none"/>
                <w:lang w:val="en-US" w:eastAsia="zh-CN"/>
              </w:rPr>
              <w:t>固废、危废暂存间</w:t>
            </w:r>
          </w:p>
        </w:tc>
        <w:tc>
          <w:tcPr>
            <w:tcW w:w="902" w:type="pct"/>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渗透、沉降</w:t>
            </w:r>
          </w:p>
        </w:tc>
        <w:tc>
          <w:tcPr>
            <w:tcW w:w="1699"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
              </w:rPr>
              <w:t>非甲烷总烃等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atLeast"/>
          <w:jc w:val="center"/>
        </w:trPr>
        <w:tc>
          <w:tcPr>
            <w:tcW w:w="1309" w:type="pct"/>
            <w:vAlign w:val="center"/>
          </w:tcPr>
          <w:p>
            <w:pPr>
              <w:keepNext w:val="0"/>
              <w:keepLines w:val="0"/>
              <w:pageBreakBefore w:val="0"/>
              <w:widowControl w:val="0"/>
              <w:numPr>
                <w:ilvl w:val="0"/>
                <w:numId w:val="0"/>
              </w:numPr>
              <w:kinsoku/>
              <w:wordWrap/>
              <w:overflowPunct/>
              <w:topLinePunct w:val="0"/>
              <w:autoSpaceDE/>
              <w:autoSpaceDN/>
              <w:bidi w:val="0"/>
              <w:spacing w:line="240" w:lineRule="exact"/>
              <w:ind w:left="0" w:leftChars="0" w:firstLine="0" w:firstLineChars="0"/>
              <w:jc w:val="center"/>
              <w:textAlignment w:val="auto"/>
              <w:rPr>
                <w:rFonts w:hint="eastAsia" w:ascii="宋体" w:hAnsi="宋体" w:eastAsia="宋体" w:cs="宋体"/>
                <w:b w:val="0"/>
                <w:bCs w:val="0"/>
                <w:color w:val="auto"/>
                <w:kern w:val="2"/>
                <w:sz w:val="21"/>
                <w:szCs w:val="21"/>
                <w:highlight w:val="none"/>
                <w:vertAlign w:val="baseline"/>
                <w:lang w:val="en-US" w:eastAsia="zh-CN" w:bidi="ar-SA"/>
              </w:rPr>
            </w:pPr>
            <w:r>
              <w:rPr>
                <w:rFonts w:hint="eastAsia" w:ascii="宋体" w:hAnsi="宋体" w:eastAsia="宋体" w:cs="宋体"/>
                <w:b w:val="0"/>
                <w:bCs w:val="0"/>
                <w:color w:val="auto"/>
                <w:sz w:val="21"/>
                <w:szCs w:val="21"/>
                <w:highlight w:val="none"/>
                <w:lang w:val="en-US" w:eastAsia="zh-CN"/>
              </w:rPr>
              <w:t>1-4酸钠盐、尼文酸车间、1#2#仓库</w:t>
            </w:r>
          </w:p>
        </w:tc>
        <w:tc>
          <w:tcPr>
            <w:tcW w:w="1087" w:type="pct"/>
            <w:vAlign w:val="center"/>
          </w:tcPr>
          <w:p>
            <w:pPr>
              <w:keepNext w:val="0"/>
              <w:keepLines w:val="0"/>
              <w:pageBreakBefore w:val="0"/>
              <w:widowControl w:val="0"/>
              <w:numPr>
                <w:ilvl w:val="0"/>
                <w:numId w:val="0"/>
              </w:numPr>
              <w:kinsoku/>
              <w:wordWrap/>
              <w:overflowPunct/>
              <w:topLinePunct w:val="0"/>
              <w:autoSpaceDE/>
              <w:autoSpaceDN/>
              <w:bidi w:val="0"/>
              <w:spacing w:line="240" w:lineRule="exact"/>
              <w:ind w:left="0" w:leftChars="0" w:firstLine="0" w:firstLineChars="0"/>
              <w:jc w:val="center"/>
              <w:textAlignment w:val="auto"/>
              <w:rPr>
                <w:rFonts w:hint="eastAsia" w:ascii="宋体" w:hAnsi="宋体" w:eastAsia="宋体" w:cs="宋体"/>
                <w:b w:val="0"/>
                <w:bCs w:val="0"/>
                <w:color w:val="auto"/>
                <w:kern w:val="2"/>
                <w:sz w:val="21"/>
                <w:szCs w:val="21"/>
                <w:highlight w:val="none"/>
                <w:vertAlign w:val="baseline"/>
                <w:lang w:val="en-US" w:eastAsia="zh-CN" w:bidi="ar-SA"/>
              </w:rPr>
            </w:pPr>
            <w:r>
              <w:rPr>
                <w:rFonts w:hint="eastAsia" w:ascii="宋体" w:hAnsi="宋体" w:eastAsia="宋体" w:cs="宋体"/>
                <w:b w:val="0"/>
                <w:bCs w:val="0"/>
                <w:color w:val="auto"/>
                <w:sz w:val="21"/>
                <w:szCs w:val="21"/>
                <w:highlight w:val="none"/>
                <w:lang w:val="en-US" w:eastAsia="zh-CN"/>
              </w:rPr>
              <w:t>1-4酸钠盐、尼文酸车间、1#2#仓库</w:t>
            </w:r>
          </w:p>
        </w:tc>
        <w:tc>
          <w:tcPr>
            <w:tcW w:w="902" w:type="pct"/>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渗透、沉降</w:t>
            </w:r>
          </w:p>
        </w:tc>
        <w:tc>
          <w:tcPr>
            <w:tcW w:w="1699" w:type="pct"/>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eastAsia" w:ascii="宋体" w:hAnsi="宋体" w:eastAsia="宋体" w:cs="宋体"/>
                <w:color w:val="auto"/>
                <w:kern w:val="2"/>
                <w:sz w:val="21"/>
                <w:szCs w:val="21"/>
                <w:highlight w:val="none"/>
                <w:u w:val="none"/>
                <w:lang w:val="en-US" w:eastAsia="zh-CN" w:bidi="ar-SA"/>
              </w:rPr>
            </w:pPr>
            <w:r>
              <w:rPr>
                <w:rFonts w:hint="eastAsia" w:ascii="宋体" w:hAnsi="宋体" w:eastAsia="宋体" w:cs="宋体"/>
                <w:color w:val="auto"/>
                <w:sz w:val="21"/>
                <w:szCs w:val="21"/>
                <w:highlight w:val="none"/>
                <w:u w:val="none"/>
                <w:lang w:val="en-US" w:eastAsia="zh-CN"/>
              </w:rPr>
              <w:t>1，2 - 二氯苯、氯化氢、溴离子、氨气、硫酸雾、非甲烷总烃</w:t>
            </w:r>
            <w:r>
              <w:rPr>
                <w:rFonts w:hint="eastAsia" w:ascii="宋体" w:hAnsi="宋体" w:eastAsia="宋体" w:cs="宋体"/>
                <w:color w:val="auto"/>
                <w:kern w:val="0"/>
                <w:sz w:val="21"/>
                <w:szCs w:val="21"/>
                <w:highlight w:val="none"/>
                <w:lang w:val="en-US" w:eastAsia="zh-CN" w:bidi="ar"/>
              </w:rPr>
              <w:t>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atLeast"/>
          <w:jc w:val="center"/>
        </w:trPr>
        <w:tc>
          <w:tcPr>
            <w:tcW w:w="1309" w:type="pct"/>
            <w:vAlign w:val="center"/>
          </w:tcPr>
          <w:p>
            <w:pPr>
              <w:keepNext w:val="0"/>
              <w:keepLines w:val="0"/>
              <w:pageBreakBefore w:val="0"/>
              <w:widowControl w:val="0"/>
              <w:numPr>
                <w:ilvl w:val="0"/>
                <w:numId w:val="0"/>
              </w:numPr>
              <w:kinsoku/>
              <w:wordWrap/>
              <w:overflowPunct/>
              <w:topLinePunct w:val="0"/>
              <w:autoSpaceDE/>
              <w:autoSpaceDN/>
              <w:bidi w:val="0"/>
              <w:spacing w:line="240" w:lineRule="exact"/>
              <w:ind w:left="0" w:leftChars="0" w:firstLine="0" w:firstLineChars="0"/>
              <w:jc w:val="center"/>
              <w:textAlignment w:val="auto"/>
              <w:rPr>
                <w:rFonts w:hint="eastAsia" w:ascii="宋体" w:hAnsi="宋体" w:eastAsia="宋体" w:cs="宋体"/>
                <w:b w:val="0"/>
                <w:bCs w:val="0"/>
                <w:color w:val="auto"/>
                <w:kern w:val="2"/>
                <w:sz w:val="21"/>
                <w:szCs w:val="21"/>
                <w:highlight w:val="none"/>
                <w:vertAlign w:val="baseline"/>
                <w:lang w:val="en-US" w:eastAsia="zh-CN" w:bidi="ar-SA"/>
              </w:rPr>
            </w:pPr>
            <w:r>
              <w:rPr>
                <w:rFonts w:hint="eastAsia" w:ascii="宋体" w:hAnsi="宋体" w:eastAsia="宋体" w:cs="宋体"/>
                <w:b w:val="0"/>
                <w:bCs w:val="0"/>
                <w:color w:val="auto"/>
                <w:sz w:val="21"/>
                <w:szCs w:val="21"/>
                <w:highlight w:val="none"/>
                <w:lang w:val="en-US" w:eastAsia="zh-CN"/>
              </w:rPr>
              <w:t>甲酸乙酯车间、仓库及应急池、乙醇甲酸地埋罐</w:t>
            </w:r>
          </w:p>
        </w:tc>
        <w:tc>
          <w:tcPr>
            <w:tcW w:w="1087" w:type="pct"/>
            <w:vAlign w:val="center"/>
          </w:tcPr>
          <w:p>
            <w:pPr>
              <w:keepNext w:val="0"/>
              <w:keepLines w:val="0"/>
              <w:pageBreakBefore w:val="0"/>
              <w:widowControl w:val="0"/>
              <w:numPr>
                <w:ilvl w:val="0"/>
                <w:numId w:val="0"/>
              </w:numPr>
              <w:kinsoku/>
              <w:wordWrap/>
              <w:overflowPunct/>
              <w:topLinePunct w:val="0"/>
              <w:autoSpaceDE/>
              <w:autoSpaceDN/>
              <w:bidi w:val="0"/>
              <w:spacing w:line="240" w:lineRule="exact"/>
              <w:ind w:left="0" w:leftChars="0" w:firstLine="0" w:firstLineChars="0"/>
              <w:jc w:val="center"/>
              <w:textAlignment w:val="auto"/>
              <w:rPr>
                <w:rFonts w:hint="eastAsia" w:ascii="宋体" w:hAnsi="宋体" w:eastAsia="宋体" w:cs="宋体"/>
                <w:b w:val="0"/>
                <w:bCs w:val="0"/>
                <w:color w:val="auto"/>
                <w:kern w:val="2"/>
                <w:sz w:val="21"/>
                <w:szCs w:val="21"/>
                <w:highlight w:val="none"/>
                <w:vertAlign w:val="baseline"/>
                <w:lang w:val="en-US" w:eastAsia="zh-CN" w:bidi="ar-SA"/>
              </w:rPr>
            </w:pPr>
            <w:r>
              <w:rPr>
                <w:rFonts w:hint="eastAsia" w:ascii="宋体" w:hAnsi="宋体" w:eastAsia="宋体" w:cs="宋体"/>
                <w:b w:val="0"/>
                <w:bCs w:val="0"/>
                <w:color w:val="auto"/>
                <w:sz w:val="21"/>
                <w:szCs w:val="21"/>
                <w:highlight w:val="none"/>
                <w:lang w:val="en-US" w:eastAsia="zh-CN"/>
              </w:rPr>
              <w:t>甲酸乙酯车间、仓库及应急池、乙醇甲酸地埋罐</w:t>
            </w:r>
          </w:p>
        </w:tc>
        <w:tc>
          <w:tcPr>
            <w:tcW w:w="902" w:type="pct"/>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渗透、沉降</w:t>
            </w:r>
          </w:p>
        </w:tc>
        <w:tc>
          <w:tcPr>
            <w:tcW w:w="1699" w:type="pct"/>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sz w:val="21"/>
                <w:szCs w:val="21"/>
                <w:highlight w:val="none"/>
                <w:u w:val="none"/>
                <w:lang w:val="en-US" w:eastAsia="zh-CN"/>
              </w:rPr>
              <w:t>甲醇、乙醇、氯化氢、溴离子、硫酸雾、非甲烷总烃</w:t>
            </w:r>
            <w:r>
              <w:rPr>
                <w:rFonts w:hint="eastAsia" w:ascii="宋体" w:hAnsi="宋体" w:eastAsia="宋体" w:cs="宋体"/>
                <w:color w:val="auto"/>
                <w:kern w:val="0"/>
                <w:sz w:val="21"/>
                <w:szCs w:val="21"/>
                <w:highlight w:val="none"/>
                <w:lang w:val="en-US" w:eastAsia="zh-CN" w:bidi="ar"/>
              </w:rPr>
              <w:t>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1" w:hRule="atLeast"/>
          <w:jc w:val="center"/>
        </w:trPr>
        <w:tc>
          <w:tcPr>
            <w:tcW w:w="0" w:type="auto"/>
            <w:vAlign w:val="center"/>
          </w:tcPr>
          <w:p>
            <w:pPr>
              <w:keepNext w:val="0"/>
              <w:keepLines w:val="0"/>
              <w:pageBreakBefore w:val="0"/>
              <w:widowControl w:val="0"/>
              <w:numPr>
                <w:ilvl w:val="0"/>
                <w:numId w:val="0"/>
              </w:numPr>
              <w:kinsoku/>
              <w:wordWrap/>
              <w:overflowPunct/>
              <w:topLinePunct w:val="0"/>
              <w:autoSpaceDE/>
              <w:autoSpaceDN/>
              <w:bidi w:val="0"/>
              <w:spacing w:line="240" w:lineRule="exact"/>
              <w:ind w:left="0" w:leftChars="0" w:firstLine="0" w:firstLineChars="0"/>
              <w:jc w:val="center"/>
              <w:textAlignment w:val="auto"/>
              <w:rPr>
                <w:rFonts w:hint="eastAsia" w:ascii="宋体" w:hAnsi="宋体" w:eastAsia="宋体" w:cs="宋体"/>
                <w:b w:val="0"/>
                <w:bCs w:val="0"/>
                <w:color w:val="auto"/>
                <w:kern w:val="2"/>
                <w:sz w:val="21"/>
                <w:szCs w:val="21"/>
                <w:highlight w:val="none"/>
                <w:vertAlign w:val="baseline"/>
                <w:lang w:val="en-US" w:eastAsia="zh-CN" w:bidi="ar-SA"/>
              </w:rPr>
            </w:pPr>
            <w:bookmarkStart w:id="184" w:name="_Toc17328"/>
            <w:bookmarkStart w:id="185" w:name="_Toc12326"/>
            <w:bookmarkStart w:id="186" w:name="_Toc107924583"/>
            <w:r>
              <w:rPr>
                <w:rFonts w:hint="eastAsia" w:ascii="宋体" w:hAnsi="宋体" w:eastAsia="宋体" w:cs="宋体"/>
                <w:b w:val="0"/>
                <w:bCs w:val="0"/>
                <w:color w:val="auto"/>
                <w:sz w:val="21"/>
                <w:szCs w:val="21"/>
                <w:highlight w:val="none"/>
                <w:lang w:val="en-US" w:eastAsia="zh-CN"/>
              </w:rPr>
              <w:t>溴化氢车间（乙酸溶液）、二氯甲烷、双氧水、溴素储罐区</w:t>
            </w:r>
          </w:p>
        </w:tc>
        <w:tc>
          <w:tcPr>
            <w:tcW w:w="1087" w:type="pct"/>
            <w:vAlign w:val="center"/>
          </w:tcPr>
          <w:p>
            <w:pPr>
              <w:keepNext w:val="0"/>
              <w:keepLines w:val="0"/>
              <w:pageBreakBefore w:val="0"/>
              <w:widowControl w:val="0"/>
              <w:numPr>
                <w:ilvl w:val="0"/>
                <w:numId w:val="0"/>
              </w:numPr>
              <w:kinsoku/>
              <w:wordWrap/>
              <w:overflowPunct/>
              <w:topLinePunct w:val="0"/>
              <w:autoSpaceDE/>
              <w:autoSpaceDN/>
              <w:bidi w:val="0"/>
              <w:spacing w:line="240" w:lineRule="exact"/>
              <w:ind w:left="0" w:leftChars="0" w:firstLine="0" w:firstLineChars="0"/>
              <w:jc w:val="center"/>
              <w:textAlignment w:val="auto"/>
              <w:rPr>
                <w:rFonts w:hint="eastAsia" w:ascii="宋体" w:hAnsi="宋体" w:eastAsia="宋体" w:cs="宋体"/>
                <w:b w:val="0"/>
                <w:bCs w:val="0"/>
                <w:color w:val="auto"/>
                <w:kern w:val="2"/>
                <w:sz w:val="21"/>
                <w:szCs w:val="21"/>
                <w:highlight w:val="none"/>
                <w:vertAlign w:val="baseline"/>
                <w:lang w:val="en-US" w:eastAsia="zh-CN" w:bidi="ar-SA"/>
              </w:rPr>
            </w:pPr>
            <w:r>
              <w:rPr>
                <w:rFonts w:hint="eastAsia" w:ascii="宋体" w:hAnsi="宋体" w:eastAsia="宋体" w:cs="宋体"/>
                <w:b w:val="0"/>
                <w:bCs w:val="0"/>
                <w:color w:val="auto"/>
                <w:sz w:val="21"/>
                <w:szCs w:val="21"/>
                <w:highlight w:val="none"/>
                <w:lang w:val="en-US" w:eastAsia="zh-CN"/>
              </w:rPr>
              <w:t>溴化氢车间（乙酸溶液）、二氯甲烷、双氧水、溴素储罐区</w:t>
            </w:r>
          </w:p>
        </w:tc>
        <w:tc>
          <w:tcPr>
            <w:tcW w:w="902" w:type="pct"/>
            <w:vAlign w:val="center"/>
          </w:tcPr>
          <w:p>
            <w:pPr>
              <w:spacing w:line="240" w:lineRule="auto"/>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rPr>
              <w:t>渗透、沉降</w:t>
            </w:r>
          </w:p>
        </w:tc>
        <w:tc>
          <w:tcPr>
            <w:tcW w:w="1699" w:type="pct"/>
            <w:vAlign w:val="center"/>
          </w:tcPr>
          <w:p>
            <w:pPr>
              <w:keepNext w:val="0"/>
              <w:keepLines w:val="0"/>
              <w:pageBreakBefore w:val="0"/>
              <w:widowControl/>
              <w:suppressLineNumbers w:val="0"/>
              <w:kinsoku/>
              <w:wordWrap/>
              <w:overflowPunct/>
              <w:topLinePunct w:val="0"/>
              <w:autoSpaceDE/>
              <w:autoSpaceDN/>
              <w:bidi w:val="0"/>
              <w:spacing w:line="240" w:lineRule="exact"/>
              <w:ind w:left="0" w:leftChars="0" w:firstLine="0" w:firstLineChars="0"/>
              <w:jc w:val="center"/>
              <w:textAlignment w:val="auto"/>
              <w:rPr>
                <w:rFonts w:hint="eastAsia" w:ascii="宋体" w:hAnsi="宋体" w:eastAsia="宋体" w:cs="宋体"/>
                <w:color w:val="auto"/>
                <w:kern w:val="2"/>
                <w:sz w:val="21"/>
                <w:szCs w:val="21"/>
                <w:highlight w:val="none"/>
                <w:u w:val="none"/>
                <w:lang w:val="en-US" w:eastAsia="zh-CN" w:bidi="ar-SA"/>
              </w:rPr>
            </w:pPr>
            <w:r>
              <w:rPr>
                <w:rFonts w:hint="eastAsia" w:ascii="宋体" w:hAnsi="宋体" w:eastAsia="宋体" w:cs="宋体"/>
                <w:color w:val="auto"/>
                <w:sz w:val="21"/>
                <w:szCs w:val="21"/>
                <w:highlight w:val="none"/>
                <w:u w:val="none"/>
                <w:lang w:val="en-US" w:eastAsia="zh-CN"/>
              </w:rPr>
              <w:t>氯化氢、溴离子、硫酸雾、</w:t>
            </w:r>
            <w:r>
              <w:rPr>
                <w:rFonts w:hint="eastAsia" w:ascii="宋体" w:hAnsi="宋体" w:eastAsia="宋体" w:cs="宋体"/>
                <w:color w:val="auto"/>
                <w:kern w:val="0"/>
                <w:sz w:val="21"/>
                <w:szCs w:val="21"/>
                <w:highlight w:val="none"/>
                <w:lang w:val="en-US" w:eastAsia="zh-CN" w:bidi="ar"/>
              </w:rPr>
              <w:t>非甲烷总烃等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atLeast"/>
          <w:jc w:val="center"/>
        </w:trPr>
        <w:tc>
          <w:tcPr>
            <w:tcW w:w="0" w:type="auto"/>
            <w:vAlign w:val="center"/>
          </w:tcPr>
          <w:p>
            <w:pPr>
              <w:keepNext w:val="0"/>
              <w:keepLines w:val="0"/>
              <w:pageBreakBefore w:val="0"/>
              <w:widowControl w:val="0"/>
              <w:numPr>
                <w:ilvl w:val="0"/>
                <w:numId w:val="0"/>
              </w:numPr>
              <w:kinsoku/>
              <w:wordWrap/>
              <w:overflowPunct/>
              <w:topLinePunct w:val="0"/>
              <w:autoSpaceDE/>
              <w:autoSpaceDN/>
              <w:bidi w:val="0"/>
              <w:spacing w:line="240" w:lineRule="exact"/>
              <w:ind w:left="0" w:leftChars="0" w:firstLine="0" w:firstLineChars="0"/>
              <w:jc w:val="center"/>
              <w:textAlignment w:val="auto"/>
              <w:rPr>
                <w:rFonts w:hint="eastAsia" w:ascii="宋体" w:hAnsi="宋体" w:eastAsia="宋体" w:cs="宋体"/>
                <w:b w:val="0"/>
                <w:bCs w:val="0"/>
                <w:color w:val="auto"/>
                <w:kern w:val="2"/>
                <w:sz w:val="21"/>
                <w:szCs w:val="21"/>
                <w:highlight w:val="none"/>
                <w:lang w:val="en-US" w:eastAsia="zh-CN" w:bidi="ar-SA"/>
              </w:rPr>
            </w:pPr>
            <w:r>
              <w:rPr>
                <w:rFonts w:hint="eastAsia" w:ascii="宋体" w:hAnsi="宋体" w:eastAsia="宋体" w:cs="宋体"/>
                <w:b w:val="0"/>
                <w:bCs w:val="0"/>
                <w:color w:val="auto"/>
                <w:sz w:val="21"/>
                <w:szCs w:val="21"/>
                <w:highlight w:val="none"/>
                <w:lang w:val="en-US" w:eastAsia="zh-CN"/>
              </w:rPr>
              <w:t>锅炉房缓冲池、冰醋酸储罐</w:t>
            </w:r>
          </w:p>
        </w:tc>
        <w:tc>
          <w:tcPr>
            <w:tcW w:w="1087" w:type="pct"/>
            <w:vAlign w:val="center"/>
          </w:tcPr>
          <w:p>
            <w:pPr>
              <w:keepNext w:val="0"/>
              <w:keepLines w:val="0"/>
              <w:pageBreakBefore w:val="0"/>
              <w:widowControl w:val="0"/>
              <w:numPr>
                <w:ilvl w:val="0"/>
                <w:numId w:val="0"/>
              </w:numPr>
              <w:kinsoku/>
              <w:wordWrap/>
              <w:overflowPunct/>
              <w:topLinePunct w:val="0"/>
              <w:autoSpaceDE/>
              <w:autoSpaceDN/>
              <w:bidi w:val="0"/>
              <w:spacing w:line="240" w:lineRule="exact"/>
              <w:ind w:left="0" w:leftChars="0" w:firstLine="0" w:firstLineChars="0"/>
              <w:jc w:val="center"/>
              <w:textAlignment w:val="auto"/>
              <w:rPr>
                <w:rFonts w:hint="eastAsia" w:ascii="宋体" w:hAnsi="宋体" w:eastAsia="宋体" w:cs="宋体"/>
                <w:b w:val="0"/>
                <w:bCs w:val="0"/>
                <w:color w:val="auto"/>
                <w:kern w:val="2"/>
                <w:sz w:val="21"/>
                <w:szCs w:val="21"/>
                <w:highlight w:val="none"/>
                <w:lang w:val="en-US" w:eastAsia="zh-CN" w:bidi="ar-SA"/>
              </w:rPr>
            </w:pPr>
            <w:r>
              <w:rPr>
                <w:rFonts w:hint="eastAsia" w:ascii="宋体" w:hAnsi="宋体" w:eastAsia="宋体" w:cs="宋体"/>
                <w:b w:val="0"/>
                <w:bCs w:val="0"/>
                <w:color w:val="auto"/>
                <w:sz w:val="21"/>
                <w:szCs w:val="21"/>
                <w:highlight w:val="none"/>
                <w:lang w:val="en-US" w:eastAsia="zh-CN"/>
              </w:rPr>
              <w:t>锅炉房缓冲池、冰醋酸储罐</w:t>
            </w:r>
          </w:p>
        </w:tc>
        <w:tc>
          <w:tcPr>
            <w:tcW w:w="902" w:type="pct"/>
            <w:vAlign w:val="center"/>
          </w:tcPr>
          <w:p>
            <w:pPr>
              <w:spacing w:line="240" w:lineRule="auto"/>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rPr>
              <w:t>渗透、沉降</w:t>
            </w:r>
          </w:p>
        </w:tc>
        <w:tc>
          <w:tcPr>
            <w:tcW w:w="1699" w:type="pct"/>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eastAsia" w:ascii="宋体" w:hAnsi="宋体" w:eastAsia="宋体" w:cs="宋体"/>
                <w:color w:val="auto"/>
                <w:kern w:val="2"/>
                <w:sz w:val="21"/>
                <w:szCs w:val="21"/>
                <w:highlight w:val="none"/>
                <w:u w:val="none"/>
                <w:lang w:val="en-US" w:eastAsia="zh-CN" w:bidi="ar-SA"/>
              </w:rPr>
            </w:pPr>
            <w:r>
              <w:rPr>
                <w:rFonts w:hint="eastAsia" w:ascii="宋体" w:hAnsi="宋体" w:eastAsia="宋体" w:cs="宋体"/>
                <w:color w:val="auto"/>
                <w:sz w:val="21"/>
                <w:szCs w:val="21"/>
                <w:highlight w:val="none"/>
                <w:u w:val="none"/>
                <w:lang w:val="en-US" w:eastAsia="zh-CN"/>
              </w:rPr>
              <w:t>颗粒物、二氧化硫、氮氧化物、废水污染因子</w:t>
            </w:r>
            <w:r>
              <w:rPr>
                <w:rFonts w:hint="eastAsia" w:ascii="宋体" w:hAnsi="宋体" w:eastAsia="宋体" w:cs="宋体"/>
                <w:color w:val="auto"/>
                <w:kern w:val="0"/>
                <w:sz w:val="21"/>
                <w:szCs w:val="21"/>
                <w:highlight w:val="none"/>
                <w:lang w:val="en-US" w:eastAsia="zh-CN" w:bidi="ar"/>
              </w:rPr>
              <w:t>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jc w:val="center"/>
        </w:trPr>
        <w:tc>
          <w:tcPr>
            <w:tcW w:w="0" w:type="auto"/>
            <w:vAlign w:val="center"/>
          </w:tcPr>
          <w:p>
            <w:pPr>
              <w:keepNext w:val="0"/>
              <w:keepLines w:val="0"/>
              <w:pageBreakBefore w:val="0"/>
              <w:widowControl w:val="0"/>
              <w:numPr>
                <w:ilvl w:val="0"/>
                <w:numId w:val="0"/>
              </w:numPr>
              <w:kinsoku/>
              <w:wordWrap/>
              <w:overflowPunct/>
              <w:topLinePunct w:val="0"/>
              <w:autoSpaceDE/>
              <w:autoSpaceDN/>
              <w:bidi w:val="0"/>
              <w:spacing w:line="240" w:lineRule="exact"/>
              <w:ind w:left="0" w:leftChars="0" w:firstLine="0" w:firstLineChars="0"/>
              <w:jc w:val="center"/>
              <w:textAlignment w:val="auto"/>
              <w:rPr>
                <w:rFonts w:hint="eastAsia" w:ascii="宋体" w:hAnsi="宋体" w:eastAsia="宋体" w:cs="宋体"/>
                <w:b w:val="0"/>
                <w:bCs w:val="0"/>
                <w:color w:val="auto"/>
                <w:kern w:val="2"/>
                <w:sz w:val="21"/>
                <w:szCs w:val="21"/>
                <w:highlight w:val="none"/>
                <w:lang w:val="en-US" w:eastAsia="zh-CN" w:bidi="ar-SA"/>
              </w:rPr>
            </w:pPr>
            <w:r>
              <w:rPr>
                <w:rFonts w:hint="eastAsia" w:ascii="宋体" w:hAnsi="宋体" w:eastAsia="宋体" w:cs="宋体"/>
                <w:b w:val="0"/>
                <w:bCs w:val="0"/>
                <w:color w:val="auto"/>
                <w:sz w:val="21"/>
                <w:szCs w:val="21"/>
                <w:highlight w:val="none"/>
                <w:lang w:val="en-US" w:eastAsia="zh-CN"/>
              </w:rPr>
              <w:t>酸碱储罐区、尼文酸应急池、4#仓库（甲苯、氯苯）</w:t>
            </w:r>
          </w:p>
        </w:tc>
        <w:tc>
          <w:tcPr>
            <w:tcW w:w="1087" w:type="pct"/>
            <w:vAlign w:val="center"/>
          </w:tcPr>
          <w:p>
            <w:pPr>
              <w:keepNext w:val="0"/>
              <w:keepLines w:val="0"/>
              <w:pageBreakBefore w:val="0"/>
              <w:widowControl w:val="0"/>
              <w:numPr>
                <w:ilvl w:val="0"/>
                <w:numId w:val="0"/>
              </w:numPr>
              <w:kinsoku/>
              <w:wordWrap/>
              <w:overflowPunct/>
              <w:topLinePunct w:val="0"/>
              <w:autoSpaceDE/>
              <w:autoSpaceDN/>
              <w:bidi w:val="0"/>
              <w:spacing w:line="240" w:lineRule="exact"/>
              <w:ind w:left="0" w:leftChars="0" w:firstLine="0" w:firstLineChars="0"/>
              <w:jc w:val="center"/>
              <w:textAlignment w:val="auto"/>
              <w:rPr>
                <w:rFonts w:hint="eastAsia" w:ascii="宋体" w:hAnsi="宋体" w:eastAsia="宋体" w:cs="宋体"/>
                <w:b w:val="0"/>
                <w:bCs w:val="0"/>
                <w:color w:val="auto"/>
                <w:kern w:val="2"/>
                <w:sz w:val="21"/>
                <w:szCs w:val="21"/>
                <w:highlight w:val="none"/>
                <w:lang w:val="en-US" w:eastAsia="zh-CN" w:bidi="ar-SA"/>
              </w:rPr>
            </w:pPr>
            <w:r>
              <w:rPr>
                <w:rFonts w:hint="eastAsia" w:ascii="宋体" w:hAnsi="宋体" w:eastAsia="宋体" w:cs="宋体"/>
                <w:b w:val="0"/>
                <w:bCs w:val="0"/>
                <w:color w:val="auto"/>
                <w:sz w:val="21"/>
                <w:szCs w:val="21"/>
                <w:highlight w:val="none"/>
                <w:lang w:val="en-US" w:eastAsia="zh-CN"/>
              </w:rPr>
              <w:t>酸碱储罐区、尼文酸应急池、4#仓库（甲苯、氯苯）</w:t>
            </w:r>
          </w:p>
        </w:tc>
        <w:tc>
          <w:tcPr>
            <w:tcW w:w="902" w:type="pct"/>
            <w:vAlign w:val="center"/>
          </w:tcPr>
          <w:p>
            <w:pPr>
              <w:spacing w:line="240" w:lineRule="auto"/>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rPr>
              <w:t>渗透、沉降</w:t>
            </w:r>
          </w:p>
        </w:tc>
        <w:tc>
          <w:tcPr>
            <w:tcW w:w="1699" w:type="pct"/>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eastAsia" w:ascii="宋体" w:hAnsi="宋体" w:eastAsia="宋体" w:cs="宋体"/>
                <w:color w:val="auto"/>
                <w:kern w:val="2"/>
                <w:sz w:val="21"/>
                <w:szCs w:val="21"/>
                <w:highlight w:val="none"/>
                <w:u w:val="none"/>
                <w:lang w:val="en-US" w:eastAsia="zh-CN" w:bidi="ar-SA"/>
              </w:rPr>
            </w:pPr>
            <w:r>
              <w:rPr>
                <w:rFonts w:hint="eastAsia" w:ascii="宋体" w:hAnsi="宋体" w:eastAsia="宋体" w:cs="宋体"/>
                <w:b w:val="0"/>
                <w:bCs w:val="0"/>
                <w:color w:val="auto"/>
                <w:sz w:val="21"/>
                <w:szCs w:val="21"/>
                <w:highlight w:val="none"/>
                <w:lang w:val="en-US" w:eastAsia="zh-CN"/>
              </w:rPr>
              <w:t>甲苯、氯苯、</w:t>
            </w:r>
            <w:r>
              <w:rPr>
                <w:rFonts w:hint="eastAsia" w:ascii="宋体" w:hAnsi="宋体" w:eastAsia="宋体" w:cs="宋体"/>
                <w:color w:val="auto"/>
                <w:sz w:val="21"/>
                <w:szCs w:val="21"/>
                <w:highlight w:val="none"/>
                <w:u w:val="none"/>
                <w:lang w:val="en-US" w:eastAsia="zh-CN"/>
              </w:rPr>
              <w:t>硫酸雾、</w:t>
            </w:r>
            <w:r>
              <w:rPr>
                <w:rFonts w:hint="eastAsia" w:ascii="宋体" w:hAnsi="宋体" w:eastAsia="宋体" w:cs="宋体"/>
                <w:color w:val="auto"/>
                <w:kern w:val="0"/>
                <w:sz w:val="21"/>
                <w:szCs w:val="21"/>
                <w:highlight w:val="none"/>
                <w:lang w:val="en-US" w:eastAsia="zh-CN" w:bidi="ar"/>
              </w:rPr>
              <w:t>非甲烷总烃等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jc w:val="center"/>
        </w:trPr>
        <w:tc>
          <w:tcPr>
            <w:tcW w:w="0" w:type="auto"/>
            <w:vAlign w:val="center"/>
          </w:tcPr>
          <w:p>
            <w:pPr>
              <w:keepNext w:val="0"/>
              <w:keepLines w:val="0"/>
              <w:pageBreakBefore w:val="0"/>
              <w:widowControl w:val="0"/>
              <w:numPr>
                <w:ilvl w:val="0"/>
                <w:numId w:val="0"/>
              </w:numPr>
              <w:kinsoku/>
              <w:wordWrap/>
              <w:overflowPunct/>
              <w:topLinePunct w:val="0"/>
              <w:autoSpaceDE/>
              <w:autoSpaceDN/>
              <w:bidi w:val="0"/>
              <w:spacing w:line="240" w:lineRule="exact"/>
              <w:ind w:left="0" w:leftChars="0" w:firstLine="0" w:firstLineChars="0"/>
              <w:jc w:val="center"/>
              <w:textAlignment w:val="auto"/>
              <w:rPr>
                <w:rFonts w:hint="eastAsia" w:ascii="宋体" w:hAnsi="宋体" w:eastAsia="宋体" w:cs="宋体"/>
                <w:b w:val="0"/>
                <w:bCs w:val="0"/>
                <w:color w:val="auto"/>
                <w:kern w:val="2"/>
                <w:sz w:val="21"/>
                <w:szCs w:val="21"/>
                <w:highlight w:val="none"/>
                <w:lang w:val="en-US" w:eastAsia="zh-CN" w:bidi="ar-SA"/>
              </w:rPr>
            </w:pPr>
            <w:r>
              <w:rPr>
                <w:rFonts w:hint="eastAsia" w:ascii="宋体" w:hAnsi="宋体" w:eastAsia="宋体" w:cs="宋体"/>
                <w:b w:val="0"/>
                <w:bCs w:val="0"/>
                <w:color w:val="auto"/>
                <w:sz w:val="21"/>
                <w:szCs w:val="21"/>
                <w:highlight w:val="none"/>
                <w:lang w:val="en-US" w:eastAsia="zh-CN"/>
              </w:rPr>
              <w:t>固废前处理车间、四溴应急池及缓冲池</w:t>
            </w:r>
          </w:p>
        </w:tc>
        <w:tc>
          <w:tcPr>
            <w:tcW w:w="1087" w:type="pct"/>
            <w:vAlign w:val="center"/>
          </w:tcPr>
          <w:p>
            <w:pPr>
              <w:keepNext w:val="0"/>
              <w:keepLines w:val="0"/>
              <w:pageBreakBefore w:val="0"/>
              <w:widowControl w:val="0"/>
              <w:numPr>
                <w:ilvl w:val="0"/>
                <w:numId w:val="0"/>
              </w:numPr>
              <w:kinsoku/>
              <w:wordWrap/>
              <w:overflowPunct/>
              <w:topLinePunct w:val="0"/>
              <w:autoSpaceDE/>
              <w:autoSpaceDN/>
              <w:bidi w:val="0"/>
              <w:spacing w:line="240" w:lineRule="exact"/>
              <w:ind w:left="0" w:leftChars="0" w:firstLine="0" w:firstLineChars="0"/>
              <w:jc w:val="center"/>
              <w:textAlignment w:val="auto"/>
              <w:rPr>
                <w:rFonts w:hint="eastAsia" w:ascii="宋体" w:hAnsi="宋体" w:eastAsia="宋体" w:cs="宋体"/>
                <w:b w:val="0"/>
                <w:bCs w:val="0"/>
                <w:color w:val="auto"/>
                <w:kern w:val="2"/>
                <w:sz w:val="21"/>
                <w:szCs w:val="21"/>
                <w:highlight w:val="none"/>
                <w:lang w:val="en-US" w:eastAsia="zh-CN" w:bidi="ar-SA"/>
              </w:rPr>
            </w:pPr>
            <w:r>
              <w:rPr>
                <w:rFonts w:hint="eastAsia" w:ascii="宋体" w:hAnsi="宋体" w:eastAsia="宋体" w:cs="宋体"/>
                <w:b w:val="0"/>
                <w:bCs w:val="0"/>
                <w:color w:val="auto"/>
                <w:sz w:val="21"/>
                <w:szCs w:val="21"/>
                <w:highlight w:val="none"/>
                <w:lang w:val="en-US" w:eastAsia="zh-CN"/>
              </w:rPr>
              <w:t>固废前处理车间、四溴应急池及缓冲池</w:t>
            </w:r>
          </w:p>
        </w:tc>
        <w:tc>
          <w:tcPr>
            <w:tcW w:w="902" w:type="pct"/>
            <w:vAlign w:val="center"/>
          </w:tcPr>
          <w:p>
            <w:pPr>
              <w:spacing w:line="240" w:lineRule="auto"/>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rPr>
              <w:t>渗透、沉降</w:t>
            </w:r>
          </w:p>
        </w:tc>
        <w:tc>
          <w:tcPr>
            <w:tcW w:w="1699" w:type="pct"/>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eastAsia" w:ascii="宋体" w:hAnsi="宋体" w:eastAsia="宋体" w:cs="宋体"/>
                <w:color w:val="auto"/>
                <w:kern w:val="2"/>
                <w:sz w:val="21"/>
                <w:szCs w:val="21"/>
                <w:highlight w:val="none"/>
                <w:u w:val="none"/>
                <w:lang w:val="en-US" w:eastAsia="zh-CN" w:bidi="ar-SA"/>
              </w:rPr>
            </w:pPr>
            <w:r>
              <w:rPr>
                <w:rFonts w:hint="eastAsia" w:ascii="宋体" w:hAnsi="宋体" w:eastAsia="宋体" w:cs="宋体"/>
                <w:color w:val="auto"/>
                <w:kern w:val="0"/>
                <w:sz w:val="21"/>
                <w:szCs w:val="21"/>
                <w:highlight w:val="none"/>
                <w:lang w:val="en-US" w:eastAsia="zh-CN" w:bidi="ar"/>
              </w:rPr>
              <w:t>非甲烷总烃等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jc w:val="center"/>
        </w:trPr>
        <w:tc>
          <w:tcPr>
            <w:tcW w:w="0" w:type="auto"/>
            <w:vAlign w:val="center"/>
          </w:tcPr>
          <w:p>
            <w:pPr>
              <w:keepNext w:val="0"/>
              <w:keepLines w:val="0"/>
              <w:pageBreakBefore w:val="0"/>
              <w:widowControl w:val="0"/>
              <w:numPr>
                <w:ilvl w:val="0"/>
                <w:numId w:val="0"/>
              </w:numPr>
              <w:kinsoku/>
              <w:wordWrap/>
              <w:overflowPunct/>
              <w:topLinePunct w:val="0"/>
              <w:autoSpaceDE/>
              <w:autoSpaceDN/>
              <w:bidi w:val="0"/>
              <w:spacing w:line="240" w:lineRule="exact"/>
              <w:ind w:left="0" w:leftChars="0" w:firstLine="0" w:firstLineChars="0"/>
              <w:jc w:val="center"/>
              <w:textAlignment w:val="auto"/>
              <w:rPr>
                <w:rFonts w:hint="eastAsia" w:ascii="宋体" w:hAnsi="宋体" w:eastAsia="宋体" w:cs="宋体"/>
                <w:b w:val="0"/>
                <w:bCs w:val="0"/>
                <w:color w:val="auto"/>
                <w:kern w:val="2"/>
                <w:sz w:val="21"/>
                <w:szCs w:val="21"/>
                <w:highlight w:val="none"/>
                <w:vertAlign w:val="baseline"/>
                <w:lang w:val="en-US" w:eastAsia="zh-CN" w:bidi="ar-SA"/>
              </w:rPr>
            </w:pPr>
            <w:r>
              <w:rPr>
                <w:rFonts w:hint="eastAsia" w:ascii="宋体" w:hAnsi="宋体" w:eastAsia="宋体" w:cs="宋体"/>
                <w:b w:val="0"/>
                <w:bCs w:val="0"/>
                <w:color w:val="auto"/>
                <w:sz w:val="21"/>
                <w:szCs w:val="21"/>
                <w:highlight w:val="none"/>
                <w:u w:val="none"/>
              </w:rPr>
              <w:t>土壤背景监测点</w:t>
            </w:r>
          </w:p>
        </w:tc>
        <w:tc>
          <w:tcPr>
            <w:tcW w:w="1087" w:type="pct"/>
            <w:vAlign w:val="center"/>
          </w:tcPr>
          <w:p>
            <w:pPr>
              <w:keepNext w:val="0"/>
              <w:keepLines w:val="0"/>
              <w:pageBreakBefore w:val="0"/>
              <w:widowControl w:val="0"/>
              <w:numPr>
                <w:ilvl w:val="0"/>
                <w:numId w:val="0"/>
              </w:numPr>
              <w:kinsoku/>
              <w:wordWrap/>
              <w:overflowPunct/>
              <w:topLinePunct w:val="0"/>
              <w:autoSpaceDE/>
              <w:autoSpaceDN/>
              <w:bidi w:val="0"/>
              <w:spacing w:line="240" w:lineRule="exact"/>
              <w:ind w:left="0" w:leftChars="0" w:firstLine="0" w:firstLineChars="0"/>
              <w:jc w:val="center"/>
              <w:textAlignment w:val="auto"/>
              <w:rPr>
                <w:rFonts w:hint="eastAsia" w:ascii="宋体" w:hAnsi="宋体" w:eastAsia="宋体" w:cs="宋体"/>
                <w:b w:val="0"/>
                <w:bCs w:val="0"/>
                <w:color w:val="auto"/>
                <w:kern w:val="2"/>
                <w:sz w:val="21"/>
                <w:szCs w:val="21"/>
                <w:highlight w:val="none"/>
                <w:vertAlign w:val="baseline"/>
                <w:lang w:val="en-US" w:eastAsia="zh-CN" w:bidi="ar-SA"/>
              </w:rPr>
            </w:pPr>
            <w:r>
              <w:rPr>
                <w:rFonts w:hint="eastAsia" w:ascii="宋体" w:hAnsi="宋体" w:eastAsia="宋体" w:cs="宋体"/>
                <w:b w:val="0"/>
                <w:bCs w:val="0"/>
                <w:color w:val="auto"/>
                <w:sz w:val="21"/>
                <w:szCs w:val="21"/>
                <w:highlight w:val="none"/>
                <w:u w:val="none"/>
              </w:rPr>
              <w:t>土壤背景监测点</w:t>
            </w:r>
          </w:p>
        </w:tc>
        <w:tc>
          <w:tcPr>
            <w:tcW w:w="902" w:type="pct"/>
            <w:vAlign w:val="center"/>
          </w:tcPr>
          <w:p>
            <w:pPr>
              <w:spacing w:line="240" w:lineRule="auto"/>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rPr>
              <w:t>渗透、沉降</w:t>
            </w:r>
          </w:p>
        </w:tc>
        <w:tc>
          <w:tcPr>
            <w:tcW w:w="1699" w:type="pct"/>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eastAsia" w:ascii="宋体" w:hAnsi="宋体" w:eastAsia="宋体" w:cs="宋体"/>
                <w:color w:val="auto"/>
                <w:kern w:val="2"/>
                <w:sz w:val="21"/>
                <w:szCs w:val="21"/>
                <w:highlight w:val="none"/>
                <w:u w:val="none"/>
                <w:lang w:val="en-US" w:eastAsia="zh-CN" w:bidi="ar-SA"/>
              </w:rPr>
            </w:pPr>
            <w:r>
              <w:rPr>
                <w:rFonts w:hint="eastAsia" w:ascii="宋体" w:hAnsi="宋体" w:eastAsia="宋体" w:cs="宋体"/>
                <w:color w:val="auto"/>
                <w:sz w:val="21"/>
                <w:szCs w:val="21"/>
                <w:highlight w:val="none"/>
                <w:u w:val="none"/>
                <w:lang w:val="en-US" w:eastAsia="zh-CN"/>
              </w:rPr>
              <w:t>/</w:t>
            </w:r>
          </w:p>
        </w:tc>
      </w:tr>
    </w:tbl>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bCs/>
          <w:color w:val="auto"/>
          <w:sz w:val="28"/>
          <w:szCs w:val="28"/>
          <w:highlight w:val="none"/>
          <w:u w:val="none"/>
          <w:lang w:val="en-US" w:eastAsia="zh-CN"/>
        </w:rPr>
      </w:pPr>
      <w:bookmarkStart w:id="187" w:name="_Toc20822"/>
      <w:r>
        <w:rPr>
          <w:rFonts w:hint="eastAsia" w:ascii="宋体" w:hAnsi="宋体" w:eastAsia="宋体" w:cs="宋体"/>
          <w:b/>
          <w:bCs/>
          <w:color w:val="auto"/>
          <w:sz w:val="28"/>
          <w:szCs w:val="28"/>
          <w:highlight w:val="none"/>
          <w:u w:val="none"/>
          <w:lang w:val="en-US" w:eastAsia="zh-CN"/>
        </w:rPr>
        <w:t>6监测点位布设方案</w:t>
      </w:r>
      <w:bookmarkEnd w:id="184"/>
      <w:bookmarkEnd w:id="185"/>
      <w:bookmarkEnd w:id="186"/>
      <w:bookmarkEnd w:id="187"/>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bCs/>
          <w:color w:val="auto"/>
          <w:sz w:val="28"/>
          <w:szCs w:val="28"/>
          <w:highlight w:val="none"/>
          <w:u w:val="none"/>
          <w:lang w:val="en-US" w:eastAsia="zh-CN"/>
        </w:rPr>
      </w:pPr>
      <w:bookmarkStart w:id="188" w:name="_Toc1008"/>
      <w:bookmarkStart w:id="189" w:name="_Toc22305"/>
      <w:bookmarkStart w:id="190" w:name="_Toc107924584"/>
      <w:bookmarkStart w:id="191" w:name="_Toc19684"/>
      <w:r>
        <w:rPr>
          <w:rFonts w:hint="eastAsia" w:ascii="宋体" w:hAnsi="宋体" w:eastAsia="宋体" w:cs="宋体"/>
          <w:b/>
          <w:bCs/>
          <w:color w:val="auto"/>
          <w:sz w:val="28"/>
          <w:szCs w:val="28"/>
          <w:highlight w:val="none"/>
          <w:u w:val="none"/>
          <w:lang w:val="en-US" w:eastAsia="zh-CN"/>
        </w:rPr>
        <w:t>6.1重点单元及相应监测点/监测井的布设位置</w:t>
      </w:r>
      <w:bookmarkEnd w:id="188"/>
      <w:bookmarkEnd w:id="189"/>
      <w:bookmarkEnd w:id="190"/>
      <w:bookmarkEnd w:id="191"/>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bCs/>
          <w:color w:val="auto"/>
          <w:sz w:val="28"/>
          <w:szCs w:val="28"/>
          <w:highlight w:val="none"/>
          <w:u w:val="none"/>
          <w:lang w:val="en-US" w:eastAsia="zh-CN"/>
        </w:rPr>
      </w:pPr>
      <w:bookmarkStart w:id="192" w:name="_Toc107924585"/>
      <w:r>
        <w:rPr>
          <w:rFonts w:hint="eastAsia" w:ascii="宋体" w:hAnsi="宋体" w:eastAsia="宋体" w:cs="宋体"/>
          <w:b/>
          <w:bCs/>
          <w:color w:val="auto"/>
          <w:sz w:val="28"/>
          <w:szCs w:val="28"/>
          <w:highlight w:val="none"/>
          <w:u w:val="none"/>
          <w:lang w:val="en-US" w:eastAsia="zh-CN"/>
        </w:rPr>
        <w:t>6.1.1点位原则</w:t>
      </w:r>
      <w:bookmarkEnd w:id="192"/>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color w:val="auto"/>
          <w:sz w:val="28"/>
          <w:szCs w:val="28"/>
          <w:highlight w:val="none"/>
          <w:u w:val="none"/>
          <w:lang w:val="en-US" w:eastAsia="zh-CN"/>
        </w:rPr>
      </w:pPr>
      <w:r>
        <w:rPr>
          <w:rFonts w:hint="eastAsia" w:ascii="宋体" w:hAnsi="宋体" w:eastAsia="宋体" w:cs="宋体"/>
          <w:color w:val="auto"/>
          <w:sz w:val="28"/>
          <w:szCs w:val="28"/>
          <w:highlight w:val="none"/>
          <w:u w:val="none"/>
          <w:lang w:val="en-US" w:eastAsia="zh-CN"/>
        </w:rPr>
        <w:t>监测点位应布设在重点单元周边并尽量接近重点单元。统筹规划重点区域内部监测点位的布设时，布设位置应尽量接近重点区域内污染隐患较大的重点单元。监测点位的布设应遵循不影响企业正常生产且不造成安全隐患与二次污染的原则。</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color w:val="auto"/>
          <w:sz w:val="28"/>
          <w:szCs w:val="28"/>
          <w:highlight w:val="none"/>
          <w:u w:val="none"/>
          <w:lang w:val="en-US" w:eastAsia="zh-CN"/>
        </w:rPr>
      </w:pPr>
      <w:r>
        <w:rPr>
          <w:rFonts w:hint="eastAsia" w:ascii="宋体" w:hAnsi="宋体" w:eastAsia="宋体" w:cs="宋体"/>
          <w:color w:val="auto"/>
          <w:sz w:val="28"/>
          <w:szCs w:val="28"/>
          <w:highlight w:val="none"/>
          <w:u w:val="none"/>
          <w:lang w:val="en-US" w:eastAsia="zh-CN"/>
        </w:rPr>
        <w:t>重点单元、重点区域及监测点/监测井的布设位置均应在企业平面布置图中标记，标记图应纳入监测报告。</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color w:val="auto"/>
          <w:sz w:val="28"/>
          <w:szCs w:val="28"/>
          <w:highlight w:val="none"/>
          <w:u w:val="none"/>
          <w:lang w:val="en-US" w:eastAsia="zh-CN"/>
        </w:rPr>
      </w:pPr>
      <w:r>
        <w:rPr>
          <w:rFonts w:hint="eastAsia" w:ascii="宋体" w:hAnsi="宋体" w:eastAsia="宋体" w:cs="宋体"/>
          <w:color w:val="auto"/>
          <w:sz w:val="28"/>
          <w:szCs w:val="28"/>
          <w:highlight w:val="none"/>
          <w:u w:val="none"/>
          <w:lang w:val="en-US" w:eastAsia="zh-CN"/>
        </w:rPr>
        <w:t>除在原有基础上增加监测点位外，监测点位一经确定不宜随意变动，每次采样时土壤监测点距离上次同一点位采样位置原则上不大于1m，地下水监测井应与上次采样井相同。</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color w:val="auto"/>
          <w:sz w:val="28"/>
          <w:szCs w:val="28"/>
          <w:highlight w:val="none"/>
          <w:u w:val="none"/>
          <w:lang w:val="en-US" w:eastAsia="zh-CN"/>
        </w:rPr>
      </w:pPr>
      <w:r>
        <w:rPr>
          <w:rFonts w:hint="eastAsia" w:ascii="宋体" w:hAnsi="宋体" w:eastAsia="宋体" w:cs="宋体"/>
          <w:color w:val="auto"/>
          <w:sz w:val="28"/>
          <w:szCs w:val="28"/>
          <w:highlight w:val="none"/>
          <w:u w:val="none"/>
          <w:lang w:val="en-US" w:eastAsia="zh-CN"/>
        </w:rPr>
        <w:t>根据地勘资料无土壤或地下水可采的区域，可不进行相应监测，但应在监测报告中提供地勘资料并予以说明。</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color w:val="auto"/>
          <w:sz w:val="28"/>
          <w:szCs w:val="28"/>
          <w:highlight w:val="none"/>
          <w:u w:val="none"/>
          <w:lang w:val="en-US" w:eastAsia="zh-CN"/>
        </w:rPr>
      </w:pPr>
      <w:r>
        <w:rPr>
          <w:rFonts w:hint="eastAsia" w:ascii="宋体" w:hAnsi="宋体" w:eastAsia="宋体" w:cs="宋体"/>
          <w:color w:val="auto"/>
          <w:sz w:val="28"/>
          <w:szCs w:val="28"/>
          <w:highlight w:val="none"/>
          <w:u w:val="none"/>
          <w:lang w:val="en-US" w:eastAsia="zh-CN"/>
        </w:rPr>
        <w:t>企业或邻近区域内现有的地下水监测井，如果符合本标准要求，可以作为地下水对照点或污染物监测井。</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bCs/>
          <w:color w:val="auto"/>
          <w:sz w:val="28"/>
          <w:szCs w:val="28"/>
          <w:highlight w:val="none"/>
          <w:u w:val="none"/>
          <w:lang w:val="en-US" w:eastAsia="zh-CN"/>
        </w:rPr>
      </w:pPr>
      <w:bookmarkStart w:id="193" w:name="_Toc107924586"/>
      <w:r>
        <w:rPr>
          <w:rFonts w:hint="eastAsia" w:ascii="宋体" w:hAnsi="宋体" w:eastAsia="宋体" w:cs="宋体"/>
          <w:b/>
          <w:bCs/>
          <w:color w:val="auto"/>
          <w:sz w:val="28"/>
          <w:szCs w:val="28"/>
          <w:highlight w:val="none"/>
          <w:u w:val="none"/>
          <w:lang w:val="en-US" w:eastAsia="zh-CN"/>
        </w:rPr>
        <w:t>6.1.2土壤监测点位</w:t>
      </w:r>
      <w:bookmarkEnd w:id="193"/>
    </w:p>
    <w:p>
      <w:pPr>
        <w:keepNext w:val="0"/>
        <w:keepLines w:val="0"/>
        <w:pageBreakBefore w:val="0"/>
        <w:widowControl w:val="0"/>
        <w:kinsoku/>
        <w:wordWrap/>
        <w:overflowPunct/>
        <w:topLinePunct w:val="0"/>
        <w:autoSpaceDE/>
        <w:autoSpaceDN/>
        <w:bidi w:val="0"/>
        <w:adjustRightInd/>
        <w:snapToGrid/>
        <w:spacing w:line="360" w:lineRule="auto"/>
        <w:ind w:firstLine="562" w:firstLineChars="200"/>
        <w:textAlignment w:val="auto"/>
        <w:rPr>
          <w:rFonts w:hint="eastAsia" w:ascii="宋体" w:hAnsi="宋体" w:eastAsia="宋体" w:cs="宋体"/>
          <w:b/>
          <w:bCs/>
          <w:color w:val="auto"/>
          <w:sz w:val="28"/>
          <w:szCs w:val="28"/>
          <w:highlight w:val="none"/>
          <w:u w:val="none"/>
          <w:lang w:val="en-US" w:eastAsia="zh-CN"/>
        </w:rPr>
      </w:pPr>
      <w:r>
        <w:rPr>
          <w:rFonts w:hint="eastAsia" w:ascii="宋体" w:hAnsi="宋体" w:eastAsia="宋体" w:cs="宋体"/>
          <w:b/>
          <w:bCs/>
          <w:color w:val="auto"/>
          <w:sz w:val="28"/>
          <w:szCs w:val="28"/>
          <w:highlight w:val="none"/>
          <w:u w:val="none"/>
          <w:lang w:val="en-US" w:eastAsia="zh-CN"/>
        </w:rPr>
        <w:t>（1）布点原则：</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color w:val="auto"/>
          <w:sz w:val="28"/>
          <w:szCs w:val="28"/>
          <w:highlight w:val="none"/>
          <w:u w:val="none"/>
          <w:lang w:val="en-US" w:eastAsia="zh-CN"/>
        </w:rPr>
      </w:pPr>
      <w:r>
        <w:rPr>
          <w:rFonts w:hint="eastAsia" w:ascii="宋体" w:hAnsi="宋体" w:eastAsia="宋体" w:cs="宋体"/>
          <w:color w:val="auto"/>
          <w:sz w:val="28"/>
          <w:szCs w:val="28"/>
          <w:highlight w:val="none"/>
          <w:u w:val="none"/>
          <w:lang w:val="en-US" w:eastAsia="zh-CN"/>
        </w:rPr>
        <w:t>1）一类单元</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color w:val="auto"/>
          <w:sz w:val="28"/>
          <w:szCs w:val="28"/>
          <w:highlight w:val="none"/>
          <w:u w:val="none"/>
          <w:lang w:val="en-US" w:eastAsia="zh-CN"/>
        </w:rPr>
      </w:pPr>
      <w:r>
        <w:rPr>
          <w:rFonts w:hint="eastAsia" w:ascii="宋体" w:hAnsi="宋体" w:eastAsia="宋体" w:cs="宋体"/>
          <w:color w:val="auto"/>
          <w:sz w:val="28"/>
          <w:szCs w:val="28"/>
          <w:highlight w:val="none"/>
          <w:u w:val="none"/>
          <w:lang w:val="en-US" w:eastAsia="zh-CN"/>
        </w:rPr>
        <w:t>企业一类单元涉及的每个隐蔽性重点设施设备周边原则上均应布设至少1个深层土壤监测点，单元内部或周边还应布设至少1个表层土壤监测点。</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color w:val="auto"/>
          <w:sz w:val="28"/>
          <w:szCs w:val="28"/>
          <w:highlight w:val="none"/>
          <w:u w:val="none"/>
          <w:lang w:val="en-US" w:eastAsia="zh-CN"/>
        </w:rPr>
      </w:pPr>
      <w:r>
        <w:rPr>
          <w:rFonts w:hint="eastAsia" w:ascii="宋体" w:hAnsi="宋体" w:eastAsia="宋体" w:cs="宋体"/>
          <w:color w:val="auto"/>
          <w:sz w:val="28"/>
          <w:szCs w:val="28"/>
          <w:highlight w:val="none"/>
          <w:u w:val="none"/>
          <w:lang w:val="en-US" w:eastAsia="zh-CN"/>
        </w:rPr>
        <w:t>2）二类单元</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color w:val="auto"/>
          <w:sz w:val="28"/>
          <w:szCs w:val="28"/>
          <w:highlight w:val="none"/>
          <w:u w:val="none"/>
          <w:lang w:val="en-US" w:eastAsia="zh-CN"/>
        </w:rPr>
      </w:pPr>
      <w:r>
        <w:rPr>
          <w:rFonts w:hint="eastAsia" w:ascii="宋体" w:hAnsi="宋体" w:eastAsia="宋体" w:cs="宋体"/>
          <w:color w:val="auto"/>
          <w:sz w:val="28"/>
          <w:szCs w:val="28"/>
          <w:highlight w:val="none"/>
          <w:u w:val="none"/>
          <w:lang w:val="en-US" w:eastAsia="zh-CN"/>
        </w:rPr>
        <w:t>每个二类单元内部或周边原则上均应布设至少1个表层土壤监测点，具体位置及数量可根据单元大小或单元内重点场所或重点设施设备的数量及分布等实际情况适当调整。监测点原则上应布设在土壤裸露处，并兼顾考虑设置在雨水易于汇流和积聚的区域，污染途径包含扬散的单元还应结合污染物主要沉降位置确定点位。</w:t>
      </w:r>
    </w:p>
    <w:p>
      <w:pPr>
        <w:keepNext w:val="0"/>
        <w:keepLines w:val="0"/>
        <w:pageBreakBefore w:val="0"/>
        <w:widowControl w:val="0"/>
        <w:kinsoku/>
        <w:wordWrap/>
        <w:overflowPunct/>
        <w:topLinePunct w:val="0"/>
        <w:autoSpaceDE/>
        <w:autoSpaceDN/>
        <w:bidi w:val="0"/>
        <w:adjustRightInd/>
        <w:snapToGrid/>
        <w:spacing w:line="360" w:lineRule="auto"/>
        <w:ind w:firstLine="562" w:firstLineChars="200"/>
        <w:textAlignment w:val="auto"/>
        <w:rPr>
          <w:rFonts w:hint="eastAsia" w:ascii="宋体" w:hAnsi="宋体" w:eastAsia="宋体" w:cs="宋体"/>
          <w:color w:val="auto"/>
          <w:sz w:val="28"/>
          <w:szCs w:val="28"/>
          <w:highlight w:val="none"/>
          <w:u w:val="none"/>
          <w:lang w:val="en-US" w:eastAsia="zh-CN"/>
        </w:rPr>
      </w:pPr>
      <w:r>
        <w:rPr>
          <w:rFonts w:hint="eastAsia" w:ascii="宋体" w:hAnsi="宋体" w:eastAsia="宋体" w:cs="宋体"/>
          <w:b/>
          <w:bCs/>
          <w:color w:val="auto"/>
          <w:sz w:val="28"/>
          <w:szCs w:val="28"/>
          <w:highlight w:val="none"/>
          <w:u w:val="none"/>
          <w:lang w:val="en-US" w:eastAsia="zh-CN"/>
        </w:rPr>
        <w:t>（2）选点位置：</w:t>
      </w:r>
      <w:r>
        <w:rPr>
          <w:rFonts w:hint="eastAsia" w:ascii="宋体" w:hAnsi="宋体" w:eastAsia="宋体" w:cs="宋体"/>
          <w:color w:val="auto"/>
          <w:sz w:val="28"/>
          <w:szCs w:val="28"/>
          <w:highlight w:val="none"/>
          <w:u w:val="none"/>
          <w:lang w:val="en-US" w:eastAsia="zh-CN"/>
        </w:rPr>
        <w:t>本次土壤共设9个监测点，企业内的车间、道路附近有绿化区，地面全硬化的区域在附近绿化带内取点，监测点选在未硬化或者附近绿化点，采样后做好采样点位的防护工作，方便下次取样。</w:t>
      </w:r>
    </w:p>
    <w:p>
      <w:pPr>
        <w:keepNext w:val="0"/>
        <w:keepLines w:val="0"/>
        <w:pageBreakBefore w:val="0"/>
        <w:widowControl w:val="0"/>
        <w:kinsoku/>
        <w:wordWrap/>
        <w:overflowPunct/>
        <w:topLinePunct w:val="0"/>
        <w:autoSpaceDE/>
        <w:autoSpaceDN/>
        <w:bidi w:val="0"/>
        <w:adjustRightInd/>
        <w:snapToGrid/>
        <w:spacing w:line="360" w:lineRule="auto"/>
        <w:ind w:firstLine="562" w:firstLineChars="200"/>
        <w:textAlignment w:val="auto"/>
        <w:rPr>
          <w:rFonts w:hint="eastAsia" w:ascii="宋体" w:hAnsi="宋体" w:eastAsia="宋体" w:cs="宋体"/>
          <w:color w:val="auto"/>
          <w:sz w:val="28"/>
          <w:szCs w:val="28"/>
          <w:highlight w:val="none"/>
          <w:u w:val="none"/>
          <w:lang w:val="en-US" w:eastAsia="zh-CN"/>
        </w:rPr>
      </w:pPr>
      <w:r>
        <w:rPr>
          <w:rFonts w:hint="eastAsia" w:ascii="宋体" w:hAnsi="宋体" w:eastAsia="宋体" w:cs="宋体"/>
          <w:b/>
          <w:bCs/>
          <w:color w:val="auto"/>
          <w:sz w:val="28"/>
          <w:szCs w:val="28"/>
          <w:highlight w:val="none"/>
          <w:u w:val="none"/>
          <w:lang w:val="en-US" w:eastAsia="zh-CN"/>
        </w:rPr>
        <w:t>（3）采样深度：</w:t>
      </w:r>
      <w:r>
        <w:rPr>
          <w:rFonts w:hint="eastAsia" w:ascii="宋体" w:hAnsi="宋体" w:eastAsia="宋体" w:cs="宋体"/>
          <w:color w:val="auto"/>
          <w:sz w:val="28"/>
          <w:szCs w:val="28"/>
          <w:highlight w:val="none"/>
          <w:u w:val="none"/>
          <w:lang w:val="en-US" w:eastAsia="zh-CN"/>
        </w:rPr>
        <w:t>本次土壤监测以监测区域内表层土壤（0-0.5m处）为重点采样层，开展采样工作。</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bCs/>
          <w:color w:val="auto"/>
          <w:sz w:val="28"/>
          <w:szCs w:val="28"/>
          <w:highlight w:val="none"/>
          <w:u w:val="none"/>
          <w:lang w:val="en-US" w:eastAsia="zh-CN"/>
        </w:rPr>
      </w:pPr>
      <w:bookmarkStart w:id="194" w:name="_Toc107924587"/>
      <w:r>
        <w:rPr>
          <w:rFonts w:hint="eastAsia" w:ascii="宋体" w:hAnsi="宋体" w:eastAsia="宋体" w:cs="宋体"/>
          <w:b/>
          <w:bCs/>
          <w:color w:val="auto"/>
          <w:sz w:val="28"/>
          <w:szCs w:val="28"/>
          <w:highlight w:val="none"/>
          <w:u w:val="none"/>
          <w:lang w:val="en-US" w:eastAsia="zh-CN"/>
        </w:rPr>
        <w:t>6.1.3地下水监测点位</w:t>
      </w:r>
      <w:bookmarkEnd w:id="194"/>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color w:val="auto"/>
          <w:sz w:val="28"/>
          <w:szCs w:val="28"/>
          <w:highlight w:val="none"/>
          <w:u w:val="none"/>
          <w:lang w:val="en-US" w:eastAsia="zh-CN"/>
        </w:rPr>
      </w:pPr>
      <w:r>
        <w:rPr>
          <w:rFonts w:hint="eastAsia" w:ascii="宋体" w:hAnsi="宋体" w:eastAsia="宋体" w:cs="宋体"/>
          <w:color w:val="auto"/>
          <w:sz w:val="28"/>
          <w:szCs w:val="28"/>
          <w:highlight w:val="none"/>
          <w:u w:val="none"/>
          <w:lang w:val="en-US" w:eastAsia="zh-CN"/>
        </w:rPr>
        <w:t>企业原则上应布设至少1个地下水对照点，地下水对照点应布设在企业用地地下水流向上游处，与污染物监测井设置在同一含水层，并应尽量保证不受自行监测企业生产过程影响。</w:t>
      </w:r>
    </w:p>
    <w:p>
      <w:pPr>
        <w:keepNext/>
        <w:keepLines/>
        <w:widowControl w:val="0"/>
        <w:numPr>
          <w:ilvl w:val="0"/>
          <w:numId w:val="0"/>
        </w:numPr>
        <w:bidi w:val="0"/>
        <w:spacing w:line="520" w:lineRule="exact"/>
        <w:ind w:leftChars="0"/>
        <w:jc w:val="left"/>
        <w:outlineLvl w:val="1"/>
        <w:rPr>
          <w:rFonts w:hint="eastAsia" w:ascii="宋体" w:hAnsi="宋体" w:eastAsia="宋体" w:cs="宋体"/>
          <w:b/>
          <w:bCs/>
          <w:kern w:val="2"/>
          <w:sz w:val="28"/>
          <w:szCs w:val="32"/>
          <w:lang w:val="en-US" w:eastAsia="zh-CN" w:bidi="ar-SA"/>
        </w:rPr>
      </w:pPr>
      <w:bookmarkStart w:id="195" w:name="_Toc107924588"/>
      <w:bookmarkStart w:id="196" w:name="_Toc21760"/>
      <w:bookmarkStart w:id="197" w:name="_Toc19623"/>
      <w:bookmarkStart w:id="198" w:name="_Toc4033"/>
    </w:p>
    <w:p>
      <w:pPr>
        <w:keepNext/>
        <w:keepLines/>
        <w:widowControl w:val="0"/>
        <w:numPr>
          <w:ilvl w:val="0"/>
          <w:numId w:val="0"/>
        </w:numPr>
        <w:bidi w:val="0"/>
        <w:spacing w:line="520" w:lineRule="exact"/>
        <w:ind w:leftChars="0"/>
        <w:jc w:val="left"/>
        <w:outlineLvl w:val="1"/>
        <w:rPr>
          <w:rFonts w:hint="eastAsia" w:ascii="宋体" w:hAnsi="宋体" w:eastAsia="宋体" w:cs="宋体"/>
          <w:b/>
          <w:bCs/>
          <w:kern w:val="2"/>
          <w:sz w:val="28"/>
          <w:szCs w:val="32"/>
          <w:lang w:val="en-US" w:eastAsia="zh-CN" w:bidi="ar-SA"/>
        </w:rPr>
      </w:pPr>
      <w:r>
        <w:rPr>
          <w:rFonts w:hint="eastAsia" w:ascii="宋体" w:hAnsi="宋体" w:eastAsia="宋体" w:cs="宋体"/>
          <w:b/>
          <w:bCs/>
          <w:kern w:val="2"/>
          <w:sz w:val="28"/>
          <w:szCs w:val="32"/>
          <w:lang w:val="en-US" w:eastAsia="zh-CN" w:bidi="ar-SA"/>
        </w:rPr>
        <w:t>6.2监测点位布设</w:t>
      </w:r>
      <w:bookmarkEnd w:id="195"/>
      <w:bookmarkEnd w:id="196"/>
      <w:bookmarkEnd w:id="197"/>
      <w:bookmarkEnd w:id="198"/>
    </w:p>
    <w:p>
      <w:pPr>
        <w:jc w:val="center"/>
        <w:outlineLvl w:val="9"/>
        <w:rPr>
          <w:rFonts w:hint="eastAsia" w:ascii="宋体" w:hAnsi="宋体" w:eastAsia="宋体" w:cs="宋体"/>
          <w:b/>
          <w:bCs/>
          <w:sz w:val="28"/>
          <w:highlight w:val="none"/>
          <w:lang w:val="en-US" w:eastAsia="zh-CN"/>
        </w:rPr>
      </w:pPr>
      <w:bookmarkStart w:id="199" w:name="_Toc20353"/>
      <w:bookmarkStart w:id="200" w:name="_Toc28642"/>
      <w:r>
        <w:rPr>
          <w:rFonts w:hint="eastAsia" w:ascii="宋体" w:hAnsi="宋体" w:eastAsia="宋体" w:cs="宋体"/>
          <w:b/>
          <w:bCs/>
          <w:sz w:val="28"/>
          <w:highlight w:val="none"/>
          <w:lang w:val="en-US" w:eastAsia="zh-CN"/>
        </w:rPr>
        <w:t>表6-1土壤检测点位一览表</w:t>
      </w:r>
      <w:bookmarkEnd w:id="199"/>
      <w:bookmarkEnd w:id="200"/>
    </w:p>
    <w:tbl>
      <w:tblPr>
        <w:tblStyle w:val="22"/>
        <w:tblW w:w="88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09"/>
        <w:gridCol w:w="75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09" w:type="dxa"/>
            <w:vAlign w:val="center"/>
          </w:tcPr>
          <w:p>
            <w:pPr>
              <w:numPr>
                <w:ilvl w:val="0"/>
                <w:numId w:val="0"/>
              </w:numPr>
              <w:jc w:val="center"/>
              <w:rPr>
                <w:rFonts w:hint="eastAsia" w:ascii="宋体" w:hAnsi="宋体" w:eastAsia="宋体" w:cs="宋体"/>
                <w:b/>
                <w:bCs/>
                <w:color w:val="auto"/>
                <w:sz w:val="24"/>
                <w:szCs w:val="32"/>
                <w:highlight w:val="none"/>
                <w:vertAlign w:val="baseline"/>
                <w:lang w:val="en-US" w:eastAsia="zh-CN"/>
              </w:rPr>
            </w:pPr>
            <w:r>
              <w:rPr>
                <w:rFonts w:hint="eastAsia" w:ascii="宋体" w:hAnsi="宋体" w:eastAsia="宋体" w:cs="宋体"/>
                <w:b/>
                <w:bCs/>
                <w:color w:val="auto"/>
                <w:sz w:val="24"/>
                <w:szCs w:val="32"/>
                <w:highlight w:val="none"/>
                <w:vertAlign w:val="baseline"/>
                <w:lang w:val="en-US" w:eastAsia="zh-CN"/>
              </w:rPr>
              <w:t>编号</w:t>
            </w:r>
          </w:p>
        </w:tc>
        <w:tc>
          <w:tcPr>
            <w:tcW w:w="7500" w:type="dxa"/>
            <w:vAlign w:val="center"/>
          </w:tcPr>
          <w:p>
            <w:pPr>
              <w:numPr>
                <w:ilvl w:val="0"/>
                <w:numId w:val="0"/>
              </w:numPr>
              <w:jc w:val="center"/>
              <w:rPr>
                <w:rFonts w:hint="eastAsia" w:ascii="宋体" w:hAnsi="宋体" w:eastAsia="宋体" w:cs="宋体"/>
                <w:b/>
                <w:bCs/>
                <w:color w:val="auto"/>
                <w:sz w:val="24"/>
                <w:szCs w:val="32"/>
                <w:highlight w:val="none"/>
                <w:vertAlign w:val="baseline"/>
                <w:lang w:val="en-US" w:eastAsia="zh-CN"/>
              </w:rPr>
            </w:pPr>
            <w:r>
              <w:rPr>
                <w:rFonts w:hint="eastAsia" w:ascii="宋体" w:hAnsi="宋体" w:eastAsia="宋体" w:cs="宋体"/>
                <w:b/>
                <w:bCs/>
                <w:color w:val="auto"/>
                <w:sz w:val="24"/>
                <w:szCs w:val="32"/>
                <w:highlight w:val="none"/>
                <w:vertAlign w:val="baseline"/>
                <w:lang w:val="en-US" w:eastAsia="zh-CN"/>
              </w:rPr>
              <w:t>点位名称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09" w:type="dxa"/>
            <w:vAlign w:val="center"/>
          </w:tcPr>
          <w:p>
            <w:pPr>
              <w:numPr>
                <w:ilvl w:val="0"/>
                <w:numId w:val="0"/>
              </w:numPr>
              <w:ind w:left="0" w:leftChars="0" w:firstLine="0" w:firstLineChars="0"/>
              <w:jc w:val="center"/>
              <w:rPr>
                <w:rFonts w:hint="eastAsia" w:ascii="宋体" w:hAnsi="宋体" w:eastAsia="宋体" w:cs="宋体"/>
                <w:b w:val="0"/>
                <w:bCs w:val="0"/>
                <w:color w:val="auto"/>
                <w:kern w:val="2"/>
                <w:sz w:val="24"/>
                <w:szCs w:val="32"/>
                <w:highlight w:val="none"/>
                <w:vertAlign w:val="baseline"/>
                <w:lang w:val="en-US" w:eastAsia="zh-CN" w:bidi="ar-SA"/>
              </w:rPr>
            </w:pPr>
            <w:r>
              <w:rPr>
                <w:rFonts w:hint="eastAsia" w:ascii="宋体" w:hAnsi="宋体" w:eastAsia="宋体" w:cs="宋体"/>
                <w:b w:val="0"/>
                <w:bCs w:val="0"/>
                <w:color w:val="auto"/>
                <w:sz w:val="24"/>
                <w:szCs w:val="32"/>
                <w:highlight w:val="none"/>
                <w:vertAlign w:val="baseline"/>
                <w:lang w:val="en-US" w:eastAsia="zh-CN"/>
              </w:rPr>
              <w:t>1#</w:t>
            </w:r>
          </w:p>
        </w:tc>
        <w:tc>
          <w:tcPr>
            <w:tcW w:w="7500" w:type="dxa"/>
            <w:vAlign w:val="center"/>
          </w:tcPr>
          <w:p>
            <w:pPr>
              <w:numPr>
                <w:ilvl w:val="0"/>
                <w:numId w:val="0"/>
              </w:numPr>
              <w:ind w:left="0" w:leftChars="0" w:firstLine="0" w:firstLineChars="0"/>
              <w:jc w:val="center"/>
              <w:rPr>
                <w:rFonts w:hint="eastAsia" w:ascii="宋体" w:hAnsi="宋体" w:eastAsia="宋体" w:cs="宋体"/>
                <w:b w:val="0"/>
                <w:bCs w:val="0"/>
                <w:color w:val="auto"/>
                <w:kern w:val="2"/>
                <w:sz w:val="24"/>
                <w:szCs w:val="32"/>
                <w:highlight w:val="none"/>
                <w:vertAlign w:val="baseline"/>
                <w:lang w:val="en-US" w:eastAsia="zh-CN" w:bidi="ar-SA"/>
              </w:rPr>
            </w:pPr>
            <w:r>
              <w:rPr>
                <w:rFonts w:hint="eastAsia" w:ascii="宋体" w:hAnsi="宋体" w:eastAsia="宋体" w:cs="宋体"/>
                <w:b w:val="0"/>
                <w:bCs w:val="0"/>
                <w:color w:val="auto"/>
                <w:sz w:val="24"/>
                <w:szCs w:val="32"/>
                <w:highlight w:val="none"/>
                <w:lang w:val="en-US" w:eastAsia="zh-CN"/>
              </w:rPr>
              <w:t>LNG储罐区及循环水池、消防水池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09" w:type="dxa"/>
            <w:vAlign w:val="center"/>
          </w:tcPr>
          <w:p>
            <w:pPr>
              <w:numPr>
                <w:ilvl w:val="0"/>
                <w:numId w:val="0"/>
              </w:numPr>
              <w:jc w:val="center"/>
              <w:rPr>
                <w:rFonts w:hint="eastAsia" w:ascii="宋体" w:hAnsi="宋体" w:eastAsia="宋体" w:cs="宋体"/>
                <w:b w:val="0"/>
                <w:bCs w:val="0"/>
                <w:color w:val="auto"/>
                <w:sz w:val="24"/>
                <w:szCs w:val="32"/>
                <w:highlight w:val="none"/>
                <w:vertAlign w:val="baseline"/>
                <w:lang w:val="en-US" w:eastAsia="zh-CN"/>
              </w:rPr>
            </w:pPr>
            <w:r>
              <w:rPr>
                <w:rFonts w:hint="eastAsia" w:ascii="宋体" w:hAnsi="宋体" w:eastAsia="宋体" w:cs="宋体"/>
                <w:b w:val="0"/>
                <w:bCs w:val="0"/>
                <w:color w:val="auto"/>
                <w:sz w:val="24"/>
                <w:szCs w:val="32"/>
                <w:highlight w:val="none"/>
                <w:vertAlign w:val="baseline"/>
                <w:lang w:val="en-US" w:eastAsia="zh-CN"/>
              </w:rPr>
              <w:t>2#</w:t>
            </w:r>
          </w:p>
        </w:tc>
        <w:tc>
          <w:tcPr>
            <w:tcW w:w="7500" w:type="dxa"/>
            <w:vAlign w:val="center"/>
          </w:tcPr>
          <w:p>
            <w:pPr>
              <w:numPr>
                <w:ilvl w:val="0"/>
                <w:numId w:val="0"/>
              </w:numPr>
              <w:jc w:val="center"/>
              <w:rPr>
                <w:rFonts w:hint="eastAsia" w:ascii="宋体" w:hAnsi="宋体" w:eastAsia="宋体" w:cs="宋体"/>
                <w:b w:val="0"/>
                <w:bCs w:val="0"/>
                <w:color w:val="auto"/>
                <w:sz w:val="24"/>
                <w:szCs w:val="32"/>
                <w:highlight w:val="none"/>
                <w:vertAlign w:val="baseline"/>
                <w:lang w:val="en-US" w:eastAsia="zh-CN"/>
              </w:rPr>
            </w:pPr>
            <w:r>
              <w:rPr>
                <w:rFonts w:hint="eastAsia" w:ascii="宋体" w:hAnsi="宋体" w:eastAsia="宋体" w:cs="宋体"/>
                <w:b w:val="0"/>
                <w:bCs w:val="0"/>
                <w:color w:val="auto"/>
                <w:sz w:val="24"/>
                <w:szCs w:val="32"/>
                <w:highlight w:val="none"/>
                <w:lang w:val="en-US" w:eastAsia="zh-CN"/>
              </w:rPr>
              <w:t>污水处理站及事故池、厌氧IC塔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09" w:type="dxa"/>
            <w:vAlign w:val="center"/>
          </w:tcPr>
          <w:p>
            <w:pPr>
              <w:numPr>
                <w:ilvl w:val="0"/>
                <w:numId w:val="0"/>
              </w:numPr>
              <w:jc w:val="center"/>
              <w:rPr>
                <w:rFonts w:hint="eastAsia" w:ascii="宋体" w:hAnsi="宋体" w:eastAsia="宋体" w:cs="宋体"/>
                <w:b w:val="0"/>
                <w:bCs w:val="0"/>
                <w:color w:val="auto"/>
                <w:sz w:val="24"/>
                <w:szCs w:val="32"/>
                <w:highlight w:val="none"/>
                <w:vertAlign w:val="baseline"/>
                <w:lang w:val="en-US" w:eastAsia="zh-CN"/>
              </w:rPr>
            </w:pPr>
            <w:r>
              <w:rPr>
                <w:rFonts w:hint="eastAsia" w:ascii="宋体" w:hAnsi="宋体" w:eastAsia="宋体" w:cs="宋体"/>
                <w:b w:val="0"/>
                <w:bCs w:val="0"/>
                <w:color w:val="auto"/>
                <w:sz w:val="24"/>
                <w:szCs w:val="32"/>
                <w:highlight w:val="none"/>
                <w:vertAlign w:val="baseline"/>
                <w:lang w:val="en-US" w:eastAsia="zh-CN"/>
              </w:rPr>
              <w:t>3#</w:t>
            </w:r>
          </w:p>
        </w:tc>
        <w:tc>
          <w:tcPr>
            <w:tcW w:w="7500" w:type="dxa"/>
            <w:vAlign w:val="center"/>
          </w:tcPr>
          <w:p>
            <w:pPr>
              <w:numPr>
                <w:ilvl w:val="0"/>
                <w:numId w:val="0"/>
              </w:numPr>
              <w:jc w:val="center"/>
              <w:rPr>
                <w:rFonts w:hint="eastAsia" w:ascii="宋体" w:hAnsi="宋体" w:eastAsia="宋体" w:cs="宋体"/>
                <w:b w:val="0"/>
                <w:bCs w:val="0"/>
                <w:color w:val="auto"/>
                <w:sz w:val="24"/>
                <w:szCs w:val="32"/>
                <w:highlight w:val="none"/>
                <w:vertAlign w:val="baseline"/>
                <w:lang w:val="en-US" w:eastAsia="zh-CN"/>
              </w:rPr>
            </w:pPr>
            <w:r>
              <w:rPr>
                <w:rFonts w:hint="eastAsia" w:ascii="宋体" w:hAnsi="宋体" w:eastAsia="宋体" w:cs="宋体"/>
                <w:b w:val="0"/>
                <w:bCs w:val="0"/>
                <w:color w:val="auto"/>
                <w:sz w:val="24"/>
                <w:szCs w:val="32"/>
                <w:highlight w:val="none"/>
                <w:lang w:val="en-US" w:eastAsia="zh-CN"/>
              </w:rPr>
              <w:t>综合车间及应急池、4-甲基二苯胺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09" w:type="dxa"/>
            <w:vAlign w:val="center"/>
          </w:tcPr>
          <w:p>
            <w:pPr>
              <w:numPr>
                <w:ilvl w:val="0"/>
                <w:numId w:val="0"/>
              </w:numPr>
              <w:jc w:val="center"/>
              <w:rPr>
                <w:rFonts w:hint="eastAsia" w:ascii="宋体" w:hAnsi="宋体" w:eastAsia="宋体" w:cs="宋体"/>
                <w:b w:val="0"/>
                <w:bCs w:val="0"/>
                <w:color w:val="auto"/>
                <w:sz w:val="24"/>
                <w:szCs w:val="32"/>
                <w:highlight w:val="none"/>
                <w:vertAlign w:val="baseline"/>
                <w:lang w:val="en-US" w:eastAsia="zh-CN"/>
              </w:rPr>
            </w:pPr>
            <w:r>
              <w:rPr>
                <w:rFonts w:hint="eastAsia" w:ascii="宋体" w:hAnsi="宋体" w:eastAsia="宋体" w:cs="宋体"/>
                <w:b w:val="0"/>
                <w:bCs w:val="0"/>
                <w:color w:val="auto"/>
                <w:sz w:val="24"/>
                <w:szCs w:val="32"/>
                <w:highlight w:val="none"/>
                <w:vertAlign w:val="baseline"/>
                <w:lang w:val="en-US" w:eastAsia="zh-CN"/>
              </w:rPr>
              <w:t>4#</w:t>
            </w:r>
          </w:p>
        </w:tc>
        <w:tc>
          <w:tcPr>
            <w:tcW w:w="7500" w:type="dxa"/>
            <w:vAlign w:val="center"/>
          </w:tcPr>
          <w:p>
            <w:pPr>
              <w:numPr>
                <w:ilvl w:val="0"/>
                <w:numId w:val="0"/>
              </w:numPr>
              <w:jc w:val="center"/>
              <w:rPr>
                <w:rFonts w:hint="eastAsia" w:ascii="宋体" w:hAnsi="宋体" w:eastAsia="宋体" w:cs="宋体"/>
                <w:b w:val="0"/>
                <w:bCs w:val="0"/>
                <w:color w:val="auto"/>
                <w:sz w:val="24"/>
                <w:szCs w:val="32"/>
                <w:highlight w:val="none"/>
                <w:vertAlign w:val="baseline"/>
                <w:lang w:val="en-US" w:eastAsia="zh-CN"/>
              </w:rPr>
            </w:pPr>
            <w:r>
              <w:rPr>
                <w:rFonts w:hint="eastAsia" w:ascii="宋体" w:hAnsi="宋体" w:eastAsia="宋体" w:cs="宋体"/>
                <w:b w:val="0"/>
                <w:bCs w:val="0"/>
                <w:color w:val="auto"/>
                <w:sz w:val="24"/>
                <w:szCs w:val="32"/>
                <w:highlight w:val="none"/>
                <w:lang w:val="en-US" w:eastAsia="zh-CN"/>
              </w:rPr>
              <w:t>固废、危废暂存间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09" w:type="dxa"/>
            <w:vAlign w:val="center"/>
          </w:tcPr>
          <w:p>
            <w:pPr>
              <w:numPr>
                <w:ilvl w:val="0"/>
                <w:numId w:val="0"/>
              </w:numPr>
              <w:jc w:val="center"/>
              <w:rPr>
                <w:rFonts w:hint="eastAsia" w:ascii="宋体" w:hAnsi="宋体" w:eastAsia="宋体" w:cs="宋体"/>
                <w:b w:val="0"/>
                <w:bCs w:val="0"/>
                <w:color w:val="auto"/>
                <w:sz w:val="24"/>
                <w:szCs w:val="32"/>
                <w:highlight w:val="none"/>
                <w:vertAlign w:val="baseline"/>
                <w:lang w:val="en-US" w:eastAsia="zh-CN"/>
              </w:rPr>
            </w:pPr>
            <w:r>
              <w:rPr>
                <w:rFonts w:hint="eastAsia" w:ascii="宋体" w:hAnsi="宋体" w:eastAsia="宋体" w:cs="宋体"/>
                <w:b w:val="0"/>
                <w:bCs w:val="0"/>
                <w:color w:val="auto"/>
                <w:sz w:val="24"/>
                <w:szCs w:val="32"/>
                <w:highlight w:val="none"/>
                <w:vertAlign w:val="baseline"/>
                <w:lang w:val="en-US" w:eastAsia="zh-CN"/>
              </w:rPr>
              <w:t>5#</w:t>
            </w:r>
          </w:p>
        </w:tc>
        <w:tc>
          <w:tcPr>
            <w:tcW w:w="7500" w:type="dxa"/>
            <w:vAlign w:val="center"/>
          </w:tcPr>
          <w:p>
            <w:pPr>
              <w:numPr>
                <w:ilvl w:val="0"/>
                <w:numId w:val="0"/>
              </w:numPr>
              <w:jc w:val="center"/>
              <w:rPr>
                <w:rFonts w:hint="eastAsia" w:ascii="宋体" w:hAnsi="宋体" w:eastAsia="宋体" w:cs="宋体"/>
                <w:b w:val="0"/>
                <w:bCs w:val="0"/>
                <w:color w:val="auto"/>
                <w:sz w:val="24"/>
                <w:szCs w:val="32"/>
                <w:highlight w:val="none"/>
                <w:vertAlign w:val="baseline"/>
                <w:lang w:val="en-US" w:eastAsia="zh-CN"/>
              </w:rPr>
            </w:pPr>
            <w:r>
              <w:rPr>
                <w:rFonts w:hint="eastAsia" w:ascii="宋体" w:hAnsi="宋体" w:eastAsia="宋体" w:cs="宋体"/>
                <w:b w:val="0"/>
                <w:bCs w:val="0"/>
                <w:color w:val="auto"/>
                <w:sz w:val="24"/>
                <w:szCs w:val="32"/>
                <w:highlight w:val="none"/>
                <w:lang w:val="en-US" w:eastAsia="zh-CN"/>
              </w:rPr>
              <w:t>1-4酸钠盐、尼文酸车间、1#2#仓库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09" w:type="dxa"/>
            <w:vAlign w:val="center"/>
          </w:tcPr>
          <w:p>
            <w:pPr>
              <w:numPr>
                <w:ilvl w:val="0"/>
                <w:numId w:val="0"/>
              </w:numPr>
              <w:jc w:val="center"/>
              <w:rPr>
                <w:rFonts w:hint="eastAsia" w:ascii="宋体" w:hAnsi="宋体" w:eastAsia="宋体" w:cs="宋体"/>
                <w:b w:val="0"/>
                <w:bCs w:val="0"/>
                <w:color w:val="auto"/>
                <w:sz w:val="24"/>
                <w:szCs w:val="32"/>
                <w:highlight w:val="none"/>
                <w:vertAlign w:val="baseline"/>
                <w:lang w:val="en-US" w:eastAsia="zh-CN"/>
              </w:rPr>
            </w:pPr>
            <w:r>
              <w:rPr>
                <w:rFonts w:hint="eastAsia" w:ascii="宋体" w:hAnsi="宋体" w:eastAsia="宋体" w:cs="宋体"/>
                <w:b w:val="0"/>
                <w:bCs w:val="0"/>
                <w:color w:val="auto"/>
                <w:sz w:val="24"/>
                <w:szCs w:val="32"/>
                <w:highlight w:val="none"/>
                <w:vertAlign w:val="baseline"/>
                <w:lang w:val="en-US" w:eastAsia="zh-CN"/>
              </w:rPr>
              <w:t>6#</w:t>
            </w:r>
          </w:p>
        </w:tc>
        <w:tc>
          <w:tcPr>
            <w:tcW w:w="7500" w:type="dxa"/>
            <w:vAlign w:val="center"/>
          </w:tcPr>
          <w:p>
            <w:pPr>
              <w:numPr>
                <w:ilvl w:val="0"/>
                <w:numId w:val="0"/>
              </w:numPr>
              <w:jc w:val="center"/>
              <w:rPr>
                <w:rFonts w:hint="eastAsia" w:ascii="宋体" w:hAnsi="宋体" w:eastAsia="宋体" w:cs="宋体"/>
                <w:b w:val="0"/>
                <w:bCs w:val="0"/>
                <w:color w:val="auto"/>
                <w:sz w:val="24"/>
                <w:szCs w:val="32"/>
                <w:highlight w:val="none"/>
                <w:vertAlign w:val="baseline"/>
                <w:lang w:val="en-US" w:eastAsia="zh-CN"/>
              </w:rPr>
            </w:pPr>
            <w:r>
              <w:rPr>
                <w:rFonts w:hint="eastAsia" w:ascii="宋体" w:hAnsi="宋体" w:eastAsia="宋体" w:cs="宋体"/>
                <w:b w:val="0"/>
                <w:bCs w:val="0"/>
                <w:color w:val="auto"/>
                <w:sz w:val="24"/>
                <w:szCs w:val="32"/>
                <w:highlight w:val="none"/>
                <w:lang w:val="en-US" w:eastAsia="zh-CN"/>
              </w:rPr>
              <w:t>甲酸乙酯车间、仓库及应急池、乙醇甲酸地埋罐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09" w:type="dxa"/>
            <w:vAlign w:val="center"/>
          </w:tcPr>
          <w:p>
            <w:pPr>
              <w:numPr>
                <w:ilvl w:val="0"/>
                <w:numId w:val="0"/>
              </w:numPr>
              <w:jc w:val="center"/>
              <w:rPr>
                <w:rFonts w:hint="eastAsia" w:ascii="宋体" w:hAnsi="宋体" w:eastAsia="宋体" w:cs="宋体"/>
                <w:b w:val="0"/>
                <w:bCs w:val="0"/>
                <w:color w:val="auto"/>
                <w:sz w:val="24"/>
                <w:szCs w:val="32"/>
                <w:highlight w:val="none"/>
                <w:vertAlign w:val="baseline"/>
                <w:lang w:val="en-US" w:eastAsia="zh-CN"/>
              </w:rPr>
            </w:pPr>
            <w:r>
              <w:rPr>
                <w:rFonts w:hint="eastAsia" w:ascii="宋体" w:hAnsi="宋体" w:eastAsia="宋体" w:cs="宋体"/>
                <w:b w:val="0"/>
                <w:bCs w:val="0"/>
                <w:color w:val="auto"/>
                <w:sz w:val="24"/>
                <w:szCs w:val="32"/>
                <w:highlight w:val="none"/>
                <w:vertAlign w:val="baseline"/>
                <w:lang w:val="en-US" w:eastAsia="zh-CN"/>
              </w:rPr>
              <w:t>7#</w:t>
            </w:r>
          </w:p>
        </w:tc>
        <w:tc>
          <w:tcPr>
            <w:tcW w:w="7500" w:type="dxa"/>
            <w:vAlign w:val="center"/>
          </w:tcPr>
          <w:p>
            <w:pPr>
              <w:numPr>
                <w:ilvl w:val="0"/>
                <w:numId w:val="0"/>
              </w:numPr>
              <w:jc w:val="center"/>
              <w:rPr>
                <w:rFonts w:hint="eastAsia" w:ascii="宋体" w:hAnsi="宋体" w:eastAsia="宋体" w:cs="宋体"/>
                <w:b w:val="0"/>
                <w:bCs w:val="0"/>
                <w:color w:val="auto"/>
                <w:sz w:val="24"/>
                <w:szCs w:val="32"/>
                <w:highlight w:val="none"/>
                <w:vertAlign w:val="baseline"/>
                <w:lang w:val="en-US" w:eastAsia="zh-CN"/>
              </w:rPr>
            </w:pPr>
            <w:r>
              <w:rPr>
                <w:rFonts w:hint="eastAsia" w:ascii="宋体" w:hAnsi="宋体" w:eastAsia="宋体" w:cs="宋体"/>
                <w:b w:val="0"/>
                <w:bCs w:val="0"/>
                <w:color w:val="auto"/>
                <w:sz w:val="24"/>
                <w:szCs w:val="32"/>
                <w:highlight w:val="none"/>
                <w:lang w:val="en-US" w:eastAsia="zh-CN"/>
              </w:rPr>
              <w:t>溴化氢车间（乙酸溶液）、二氯甲烷、双氧水、溴素储罐区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09" w:type="dxa"/>
            <w:vAlign w:val="center"/>
          </w:tcPr>
          <w:p>
            <w:pPr>
              <w:numPr>
                <w:ilvl w:val="0"/>
                <w:numId w:val="0"/>
              </w:numPr>
              <w:jc w:val="center"/>
              <w:rPr>
                <w:rFonts w:hint="eastAsia" w:ascii="宋体" w:hAnsi="宋体" w:eastAsia="宋体" w:cs="宋体"/>
                <w:b w:val="0"/>
                <w:bCs w:val="0"/>
                <w:color w:val="auto"/>
                <w:sz w:val="24"/>
                <w:szCs w:val="32"/>
                <w:highlight w:val="none"/>
                <w:vertAlign w:val="baseline"/>
                <w:lang w:val="en-US" w:eastAsia="zh-CN"/>
              </w:rPr>
            </w:pPr>
            <w:r>
              <w:rPr>
                <w:rFonts w:hint="eastAsia" w:ascii="宋体" w:hAnsi="宋体" w:eastAsia="宋体" w:cs="宋体"/>
                <w:b w:val="0"/>
                <w:bCs w:val="0"/>
                <w:color w:val="auto"/>
                <w:sz w:val="24"/>
                <w:szCs w:val="32"/>
                <w:highlight w:val="none"/>
                <w:vertAlign w:val="baseline"/>
                <w:lang w:val="en-US" w:eastAsia="zh-CN"/>
              </w:rPr>
              <w:t>8#</w:t>
            </w:r>
          </w:p>
        </w:tc>
        <w:tc>
          <w:tcPr>
            <w:tcW w:w="7500" w:type="dxa"/>
            <w:vAlign w:val="center"/>
          </w:tcPr>
          <w:p>
            <w:pPr>
              <w:numPr>
                <w:ilvl w:val="0"/>
                <w:numId w:val="0"/>
              </w:numPr>
              <w:jc w:val="center"/>
              <w:rPr>
                <w:rFonts w:hint="eastAsia" w:ascii="宋体" w:hAnsi="宋体" w:eastAsia="宋体" w:cs="宋体"/>
                <w:b w:val="0"/>
                <w:bCs w:val="0"/>
                <w:color w:val="auto"/>
                <w:sz w:val="24"/>
                <w:szCs w:val="32"/>
                <w:highlight w:val="none"/>
                <w:lang w:val="en-US" w:eastAsia="zh-CN"/>
              </w:rPr>
            </w:pPr>
            <w:r>
              <w:rPr>
                <w:rFonts w:hint="eastAsia" w:ascii="宋体" w:hAnsi="宋体" w:eastAsia="宋体" w:cs="宋体"/>
                <w:b w:val="0"/>
                <w:bCs w:val="0"/>
                <w:color w:val="auto"/>
                <w:sz w:val="24"/>
                <w:szCs w:val="32"/>
                <w:highlight w:val="none"/>
                <w:lang w:val="en-US" w:eastAsia="zh-CN"/>
              </w:rPr>
              <w:t>锅炉房缓冲池、冰醋酸储罐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09" w:type="dxa"/>
            <w:vAlign w:val="center"/>
          </w:tcPr>
          <w:p>
            <w:pPr>
              <w:numPr>
                <w:ilvl w:val="0"/>
                <w:numId w:val="0"/>
              </w:numPr>
              <w:jc w:val="center"/>
              <w:rPr>
                <w:rFonts w:hint="eastAsia" w:ascii="宋体" w:hAnsi="宋体" w:eastAsia="宋体" w:cs="宋体"/>
                <w:b w:val="0"/>
                <w:bCs w:val="0"/>
                <w:color w:val="auto"/>
                <w:sz w:val="24"/>
                <w:szCs w:val="32"/>
                <w:highlight w:val="none"/>
                <w:vertAlign w:val="baseline"/>
                <w:lang w:val="en-US" w:eastAsia="zh-CN"/>
              </w:rPr>
            </w:pPr>
            <w:r>
              <w:rPr>
                <w:rFonts w:hint="eastAsia" w:ascii="宋体" w:hAnsi="宋体" w:eastAsia="宋体" w:cs="宋体"/>
                <w:b w:val="0"/>
                <w:bCs w:val="0"/>
                <w:color w:val="auto"/>
                <w:sz w:val="24"/>
                <w:szCs w:val="32"/>
                <w:highlight w:val="none"/>
                <w:vertAlign w:val="baseline"/>
                <w:lang w:val="en-US" w:eastAsia="zh-CN"/>
              </w:rPr>
              <w:t>9#</w:t>
            </w:r>
          </w:p>
        </w:tc>
        <w:tc>
          <w:tcPr>
            <w:tcW w:w="7500" w:type="dxa"/>
            <w:vAlign w:val="center"/>
          </w:tcPr>
          <w:p>
            <w:pPr>
              <w:numPr>
                <w:ilvl w:val="0"/>
                <w:numId w:val="0"/>
              </w:numPr>
              <w:jc w:val="center"/>
              <w:rPr>
                <w:rFonts w:hint="eastAsia" w:ascii="宋体" w:hAnsi="宋体" w:eastAsia="宋体" w:cs="宋体"/>
                <w:b w:val="0"/>
                <w:bCs w:val="0"/>
                <w:color w:val="auto"/>
                <w:sz w:val="24"/>
                <w:szCs w:val="32"/>
                <w:highlight w:val="none"/>
                <w:lang w:val="en-US" w:eastAsia="zh-CN"/>
              </w:rPr>
            </w:pPr>
            <w:r>
              <w:rPr>
                <w:rFonts w:hint="eastAsia" w:ascii="宋体" w:hAnsi="宋体" w:eastAsia="宋体" w:cs="宋体"/>
                <w:b w:val="0"/>
                <w:bCs w:val="0"/>
                <w:color w:val="auto"/>
                <w:sz w:val="24"/>
                <w:szCs w:val="32"/>
                <w:highlight w:val="none"/>
                <w:lang w:val="en-US" w:eastAsia="zh-CN"/>
              </w:rPr>
              <w:t>酸碱储罐区、尼文酸应急池、4#仓库（甲苯、氯苯）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09" w:type="dxa"/>
            <w:vAlign w:val="center"/>
          </w:tcPr>
          <w:p>
            <w:pPr>
              <w:numPr>
                <w:ilvl w:val="0"/>
                <w:numId w:val="0"/>
              </w:numPr>
              <w:jc w:val="center"/>
              <w:rPr>
                <w:rFonts w:hint="eastAsia" w:ascii="宋体" w:hAnsi="宋体" w:eastAsia="宋体" w:cs="宋体"/>
                <w:b w:val="0"/>
                <w:bCs w:val="0"/>
                <w:color w:val="auto"/>
                <w:sz w:val="24"/>
                <w:szCs w:val="32"/>
                <w:highlight w:val="none"/>
                <w:vertAlign w:val="baseline"/>
                <w:lang w:val="en-US" w:eastAsia="zh-CN"/>
              </w:rPr>
            </w:pPr>
            <w:r>
              <w:rPr>
                <w:rFonts w:hint="eastAsia" w:ascii="宋体" w:hAnsi="宋体" w:eastAsia="宋体" w:cs="宋体"/>
                <w:b w:val="0"/>
                <w:bCs w:val="0"/>
                <w:color w:val="auto"/>
                <w:sz w:val="24"/>
                <w:szCs w:val="32"/>
                <w:highlight w:val="none"/>
                <w:vertAlign w:val="baseline"/>
                <w:lang w:val="en-US" w:eastAsia="zh-CN"/>
              </w:rPr>
              <w:t>10#</w:t>
            </w:r>
          </w:p>
        </w:tc>
        <w:tc>
          <w:tcPr>
            <w:tcW w:w="7500" w:type="dxa"/>
            <w:vAlign w:val="center"/>
          </w:tcPr>
          <w:p>
            <w:pPr>
              <w:numPr>
                <w:ilvl w:val="0"/>
                <w:numId w:val="0"/>
              </w:numPr>
              <w:jc w:val="center"/>
              <w:rPr>
                <w:rFonts w:hint="eastAsia" w:ascii="宋体" w:hAnsi="宋体" w:eastAsia="宋体" w:cs="宋体"/>
                <w:b w:val="0"/>
                <w:bCs w:val="0"/>
                <w:color w:val="auto"/>
                <w:sz w:val="24"/>
                <w:szCs w:val="32"/>
                <w:highlight w:val="none"/>
                <w:lang w:val="en-US" w:eastAsia="zh-CN"/>
              </w:rPr>
            </w:pPr>
            <w:r>
              <w:rPr>
                <w:rFonts w:hint="eastAsia" w:ascii="宋体" w:hAnsi="宋体" w:eastAsia="宋体" w:cs="宋体"/>
                <w:b w:val="0"/>
                <w:bCs w:val="0"/>
                <w:color w:val="auto"/>
                <w:sz w:val="24"/>
                <w:szCs w:val="32"/>
                <w:highlight w:val="none"/>
                <w:lang w:val="en-US" w:eastAsia="zh-CN"/>
              </w:rPr>
              <w:t>固废前处理车间、四溴应急池及缓冲池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09" w:type="dxa"/>
            <w:vAlign w:val="center"/>
          </w:tcPr>
          <w:p>
            <w:pPr>
              <w:numPr>
                <w:ilvl w:val="0"/>
                <w:numId w:val="0"/>
              </w:numPr>
              <w:jc w:val="center"/>
              <w:rPr>
                <w:rFonts w:hint="eastAsia" w:ascii="宋体" w:hAnsi="宋体" w:eastAsia="宋体" w:cs="宋体"/>
                <w:b w:val="0"/>
                <w:bCs w:val="0"/>
                <w:color w:val="auto"/>
                <w:sz w:val="24"/>
                <w:szCs w:val="32"/>
                <w:highlight w:val="none"/>
                <w:vertAlign w:val="baseline"/>
                <w:lang w:val="en-US" w:eastAsia="zh-CN"/>
              </w:rPr>
            </w:pPr>
            <w:r>
              <w:rPr>
                <w:rFonts w:hint="eastAsia" w:ascii="宋体" w:hAnsi="宋体" w:eastAsia="宋体" w:cs="宋体"/>
                <w:b w:val="0"/>
                <w:bCs w:val="0"/>
                <w:color w:val="auto"/>
                <w:sz w:val="24"/>
                <w:szCs w:val="32"/>
                <w:highlight w:val="none"/>
                <w:vertAlign w:val="baseline"/>
                <w:lang w:val="en-US" w:eastAsia="zh-CN"/>
              </w:rPr>
              <w:t>11#</w:t>
            </w:r>
          </w:p>
        </w:tc>
        <w:tc>
          <w:tcPr>
            <w:tcW w:w="7500" w:type="dxa"/>
            <w:vAlign w:val="center"/>
          </w:tcPr>
          <w:p>
            <w:pPr>
              <w:numPr>
                <w:ilvl w:val="0"/>
                <w:numId w:val="0"/>
              </w:numPr>
              <w:jc w:val="center"/>
              <w:rPr>
                <w:rFonts w:hint="eastAsia" w:ascii="宋体" w:hAnsi="宋体" w:eastAsia="宋体" w:cs="宋体"/>
                <w:b w:val="0"/>
                <w:bCs w:val="0"/>
                <w:color w:val="auto"/>
                <w:sz w:val="24"/>
                <w:szCs w:val="32"/>
                <w:highlight w:val="none"/>
                <w:vertAlign w:val="baseline"/>
                <w:lang w:val="en-US" w:eastAsia="zh-CN"/>
              </w:rPr>
            </w:pPr>
            <w:r>
              <w:rPr>
                <w:rFonts w:hint="eastAsia" w:ascii="宋体" w:hAnsi="宋体" w:eastAsia="宋体" w:cs="宋体"/>
                <w:b w:val="0"/>
                <w:bCs w:val="0"/>
                <w:color w:val="auto"/>
                <w:sz w:val="24"/>
                <w:szCs w:val="24"/>
                <w:highlight w:val="none"/>
                <w:u w:val="none"/>
              </w:rPr>
              <w:t>土壤背景监测点</w:t>
            </w:r>
          </w:p>
        </w:tc>
      </w:tr>
    </w:tbl>
    <w:p>
      <w:pPr>
        <w:pStyle w:val="29"/>
        <w:pageBreakBefore w:val="0"/>
        <w:numPr>
          <w:ilvl w:val="0"/>
          <w:numId w:val="0"/>
        </w:numPr>
        <w:kinsoku/>
        <w:wordWrap/>
        <w:overflowPunct/>
        <w:topLinePunct w:val="0"/>
        <w:autoSpaceDE/>
        <w:autoSpaceDN/>
        <w:bidi w:val="0"/>
        <w:spacing w:line="360" w:lineRule="auto"/>
        <w:jc w:val="center"/>
        <w:textAlignment w:val="auto"/>
        <w:outlineLvl w:val="9"/>
        <w:rPr>
          <w:rFonts w:hint="eastAsia" w:ascii="宋体" w:hAnsi="宋体" w:eastAsia="宋体" w:cs="宋体"/>
          <w:b/>
          <w:bCs/>
          <w:color w:val="auto"/>
          <w:sz w:val="28"/>
          <w:szCs w:val="28"/>
          <w:highlight w:val="none"/>
          <w:u w:val="none"/>
          <w:lang w:val="en-US" w:eastAsia="zh-CN"/>
        </w:rPr>
      </w:pPr>
      <w:r>
        <w:rPr>
          <w:rFonts w:hint="eastAsia" w:ascii="宋体" w:hAnsi="宋体" w:eastAsia="宋体" w:cs="宋体"/>
          <w:b/>
          <w:bCs/>
          <w:color w:val="auto"/>
          <w:sz w:val="28"/>
          <w:szCs w:val="28"/>
          <w:highlight w:val="none"/>
          <w:u w:val="none"/>
          <w:lang w:val="en-US" w:eastAsia="zh-CN"/>
        </w:rPr>
        <w:t>表6-2 地下水监测点位</w:t>
      </w:r>
    </w:p>
    <w:tbl>
      <w:tblPr>
        <w:tblStyle w:val="22"/>
        <w:tblW w:w="88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09"/>
        <w:gridCol w:w="75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09" w:type="dxa"/>
            <w:vAlign w:val="center"/>
          </w:tcPr>
          <w:p>
            <w:pPr>
              <w:numPr>
                <w:ilvl w:val="0"/>
                <w:numId w:val="0"/>
              </w:numPr>
              <w:jc w:val="center"/>
              <w:outlineLvl w:val="9"/>
              <w:rPr>
                <w:rFonts w:hint="eastAsia" w:ascii="宋体" w:hAnsi="宋体" w:eastAsia="宋体" w:cs="宋体"/>
                <w:b/>
                <w:bCs/>
                <w:color w:val="auto"/>
                <w:sz w:val="24"/>
                <w:szCs w:val="32"/>
                <w:vertAlign w:val="baseline"/>
                <w:lang w:val="en-US" w:eastAsia="zh-CN"/>
              </w:rPr>
            </w:pPr>
            <w:r>
              <w:rPr>
                <w:rFonts w:hint="eastAsia" w:ascii="宋体" w:hAnsi="宋体" w:eastAsia="宋体" w:cs="宋体"/>
                <w:b/>
                <w:bCs/>
                <w:color w:val="auto"/>
                <w:sz w:val="24"/>
                <w:szCs w:val="32"/>
                <w:vertAlign w:val="baseline"/>
                <w:lang w:val="en-US" w:eastAsia="zh-CN"/>
              </w:rPr>
              <w:t>编号</w:t>
            </w:r>
          </w:p>
        </w:tc>
        <w:tc>
          <w:tcPr>
            <w:tcW w:w="7500" w:type="dxa"/>
            <w:vAlign w:val="center"/>
          </w:tcPr>
          <w:p>
            <w:pPr>
              <w:numPr>
                <w:ilvl w:val="0"/>
                <w:numId w:val="0"/>
              </w:numPr>
              <w:jc w:val="center"/>
              <w:outlineLvl w:val="9"/>
              <w:rPr>
                <w:rFonts w:hint="eastAsia" w:ascii="宋体" w:hAnsi="宋体" w:eastAsia="宋体" w:cs="宋体"/>
                <w:b/>
                <w:bCs/>
                <w:color w:val="auto"/>
                <w:sz w:val="24"/>
                <w:szCs w:val="32"/>
                <w:vertAlign w:val="baseline"/>
                <w:lang w:val="en-US" w:eastAsia="zh-CN"/>
              </w:rPr>
            </w:pPr>
            <w:r>
              <w:rPr>
                <w:rFonts w:hint="eastAsia" w:ascii="宋体" w:hAnsi="宋体" w:eastAsia="宋体" w:cs="宋体"/>
                <w:b/>
                <w:bCs/>
                <w:color w:val="auto"/>
                <w:sz w:val="24"/>
                <w:szCs w:val="32"/>
                <w:vertAlign w:val="baseline"/>
                <w:lang w:val="en-US" w:eastAsia="zh-CN"/>
              </w:rPr>
              <w:t>点位名称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09" w:type="dxa"/>
            <w:vAlign w:val="center"/>
          </w:tcPr>
          <w:p>
            <w:pPr>
              <w:numPr>
                <w:ilvl w:val="0"/>
                <w:numId w:val="0"/>
              </w:numPr>
              <w:ind w:left="0" w:leftChars="0" w:firstLine="0" w:firstLineChars="0"/>
              <w:jc w:val="center"/>
              <w:outlineLvl w:val="9"/>
              <w:rPr>
                <w:rFonts w:hint="eastAsia" w:ascii="宋体" w:hAnsi="宋体" w:eastAsia="宋体" w:cs="宋体"/>
                <w:b w:val="0"/>
                <w:bCs w:val="0"/>
                <w:color w:val="auto"/>
                <w:kern w:val="2"/>
                <w:sz w:val="24"/>
                <w:szCs w:val="32"/>
                <w:vertAlign w:val="baseline"/>
                <w:lang w:val="en-US" w:eastAsia="zh-CN" w:bidi="ar-SA"/>
              </w:rPr>
            </w:pPr>
            <w:r>
              <w:rPr>
                <w:rFonts w:hint="eastAsia" w:ascii="宋体" w:hAnsi="宋体" w:eastAsia="宋体" w:cs="宋体"/>
                <w:b w:val="0"/>
                <w:bCs w:val="0"/>
                <w:color w:val="auto"/>
                <w:sz w:val="24"/>
                <w:szCs w:val="32"/>
                <w:vertAlign w:val="baseline"/>
                <w:lang w:val="en-US" w:eastAsia="zh-CN"/>
              </w:rPr>
              <w:t>1#</w:t>
            </w:r>
          </w:p>
        </w:tc>
        <w:tc>
          <w:tcPr>
            <w:tcW w:w="7500" w:type="dxa"/>
            <w:vAlign w:val="center"/>
          </w:tcPr>
          <w:p>
            <w:pPr>
              <w:numPr>
                <w:ilvl w:val="0"/>
                <w:numId w:val="0"/>
              </w:numPr>
              <w:ind w:left="0" w:leftChars="0" w:firstLine="0" w:firstLineChars="0"/>
              <w:jc w:val="center"/>
              <w:outlineLvl w:val="9"/>
              <w:rPr>
                <w:rFonts w:hint="eastAsia" w:ascii="宋体" w:hAnsi="宋体" w:eastAsia="宋体" w:cs="宋体"/>
                <w:b w:val="0"/>
                <w:bCs w:val="0"/>
                <w:color w:val="auto"/>
                <w:kern w:val="2"/>
                <w:sz w:val="24"/>
                <w:szCs w:val="32"/>
                <w:vertAlign w:val="baseline"/>
                <w:lang w:val="en-US" w:eastAsia="zh-CN" w:bidi="ar-SA"/>
              </w:rPr>
            </w:pPr>
            <w:r>
              <w:rPr>
                <w:rFonts w:hint="eastAsia" w:ascii="宋体" w:hAnsi="宋体" w:eastAsia="宋体" w:cs="宋体"/>
                <w:color w:val="auto"/>
                <w:sz w:val="24"/>
                <w:szCs w:val="24"/>
                <w:u w:val="none"/>
                <w:lang w:val="en-US" w:eastAsia="zh-CN"/>
              </w:rPr>
              <w:t>厂区地下水点位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09" w:type="dxa"/>
            <w:vAlign w:val="center"/>
          </w:tcPr>
          <w:p>
            <w:pPr>
              <w:numPr>
                <w:ilvl w:val="0"/>
                <w:numId w:val="0"/>
              </w:numPr>
              <w:ind w:left="0" w:leftChars="0" w:firstLine="0" w:firstLineChars="0"/>
              <w:jc w:val="center"/>
              <w:rPr>
                <w:rFonts w:hint="eastAsia" w:ascii="宋体" w:hAnsi="宋体" w:eastAsia="宋体" w:cs="宋体"/>
                <w:b w:val="0"/>
                <w:bCs w:val="0"/>
                <w:color w:val="auto"/>
                <w:sz w:val="24"/>
                <w:szCs w:val="32"/>
                <w:vertAlign w:val="baseline"/>
                <w:lang w:val="en-US" w:eastAsia="zh-CN"/>
              </w:rPr>
            </w:pPr>
            <w:r>
              <w:rPr>
                <w:rFonts w:hint="eastAsia" w:ascii="宋体" w:hAnsi="宋体" w:eastAsia="宋体" w:cs="宋体"/>
                <w:b w:val="0"/>
                <w:bCs w:val="0"/>
                <w:color w:val="auto"/>
                <w:sz w:val="24"/>
                <w:szCs w:val="32"/>
                <w:vertAlign w:val="baseline"/>
                <w:lang w:val="en-US" w:eastAsia="zh-CN"/>
              </w:rPr>
              <w:t>2#</w:t>
            </w:r>
          </w:p>
        </w:tc>
        <w:tc>
          <w:tcPr>
            <w:tcW w:w="7500" w:type="dxa"/>
            <w:vAlign w:val="center"/>
          </w:tcPr>
          <w:p>
            <w:pPr>
              <w:numPr>
                <w:ilvl w:val="0"/>
                <w:numId w:val="0"/>
              </w:numPr>
              <w:ind w:left="0" w:leftChars="0" w:firstLine="0" w:firstLineChars="0"/>
              <w:jc w:val="center"/>
              <w:rPr>
                <w:rFonts w:hint="eastAsia" w:ascii="宋体" w:hAnsi="宋体" w:eastAsia="宋体" w:cs="宋体"/>
                <w:color w:val="auto"/>
                <w:sz w:val="24"/>
                <w:szCs w:val="24"/>
                <w:u w:val="none"/>
                <w:lang w:val="en-US" w:eastAsia="zh-CN"/>
              </w:rPr>
            </w:pPr>
            <w:r>
              <w:rPr>
                <w:rFonts w:hint="eastAsia" w:ascii="宋体" w:hAnsi="宋体" w:eastAsia="宋体" w:cs="宋体"/>
                <w:color w:val="auto"/>
                <w:sz w:val="24"/>
                <w:szCs w:val="24"/>
                <w:u w:val="none"/>
                <w:lang w:val="en-US" w:eastAsia="zh-CN"/>
              </w:rPr>
              <w:t>园区地下水点位</w:t>
            </w:r>
          </w:p>
        </w:tc>
      </w:tr>
    </w:tbl>
    <w:p>
      <w:pPr>
        <w:keepNext/>
        <w:keepLines/>
        <w:widowControl w:val="0"/>
        <w:numPr>
          <w:ilvl w:val="1"/>
          <w:numId w:val="0"/>
        </w:numPr>
        <w:bidi w:val="0"/>
        <w:spacing w:line="520" w:lineRule="exact"/>
        <w:ind w:firstLine="0" w:firstLineChars="0"/>
        <w:jc w:val="left"/>
        <w:outlineLvl w:val="1"/>
        <w:rPr>
          <w:rFonts w:hint="eastAsia" w:ascii="宋体" w:hAnsi="宋体" w:eastAsia="宋体" w:cs="宋体"/>
          <w:b/>
          <w:bCs/>
          <w:kern w:val="2"/>
          <w:sz w:val="28"/>
          <w:szCs w:val="32"/>
          <w:lang w:val="en-US" w:eastAsia="zh-CN" w:bidi="ar-SA"/>
        </w:rPr>
      </w:pPr>
      <w:bookmarkStart w:id="201" w:name="_Toc4208"/>
      <w:bookmarkStart w:id="202" w:name="_Toc28993"/>
      <w:bookmarkStart w:id="203" w:name="_Toc10675"/>
      <w:bookmarkStart w:id="204" w:name="_Toc23073"/>
      <w:r>
        <w:rPr>
          <w:rFonts w:hint="eastAsia" w:ascii="宋体" w:hAnsi="宋体" w:eastAsia="宋体" w:cs="宋体"/>
          <w:b/>
          <w:bCs/>
          <w:kern w:val="2"/>
          <w:sz w:val="28"/>
          <w:szCs w:val="32"/>
          <w:highlight w:val="none"/>
          <w:lang w:val="en-US" w:eastAsia="zh-CN" w:bidi="ar-SA"/>
        </w:rPr>
        <w:t>6.3各点位监测指标及选取原因</w:t>
      </w:r>
      <w:bookmarkEnd w:id="201"/>
      <w:bookmarkEnd w:id="202"/>
      <w:bookmarkEnd w:id="203"/>
      <w:bookmarkEnd w:id="204"/>
    </w:p>
    <w:p>
      <w:pPr>
        <w:bidi w:val="0"/>
        <w:spacing w:line="360" w:lineRule="auto"/>
        <w:ind w:firstLine="560" w:firstLineChars="200"/>
        <w:jc w:val="left"/>
        <w:rPr>
          <w:rFonts w:hint="eastAsia" w:ascii="宋体" w:hAnsi="宋体" w:eastAsia="宋体" w:cs="宋体"/>
          <w:color w:val="auto"/>
          <w:sz w:val="28"/>
          <w:highlight w:val="none"/>
        </w:rPr>
      </w:pPr>
      <w:r>
        <w:rPr>
          <w:rFonts w:hint="eastAsia" w:ascii="宋体" w:hAnsi="宋体" w:eastAsia="宋体" w:cs="宋体"/>
          <w:color w:val="auto"/>
          <w:sz w:val="28"/>
          <w:highlight w:val="none"/>
          <w:lang w:val="en-US" w:eastAsia="zh-CN"/>
        </w:rPr>
        <w:t>监测因子</w:t>
      </w:r>
      <w:r>
        <w:rPr>
          <w:rFonts w:hint="eastAsia" w:ascii="宋体" w:hAnsi="宋体" w:eastAsia="宋体" w:cs="宋体"/>
          <w:color w:val="auto"/>
          <w:sz w:val="28"/>
          <w:highlight w:val="none"/>
        </w:rPr>
        <w:t>按照《工业企业土壤和地下水自行监测技术指南（试行）》HJ1209-2021，本企业为</w:t>
      </w:r>
      <w:r>
        <w:rPr>
          <w:rFonts w:hint="eastAsia" w:ascii="宋体" w:hAnsi="宋体" w:eastAsia="宋体" w:cs="宋体"/>
          <w:color w:val="auto"/>
          <w:sz w:val="28"/>
          <w:highlight w:val="none"/>
          <w:lang w:eastAsia="zh-CN"/>
        </w:rPr>
        <w:t>该标准实施后第一年监测</w:t>
      </w:r>
      <w:r>
        <w:rPr>
          <w:rFonts w:hint="eastAsia" w:ascii="宋体" w:hAnsi="宋体" w:eastAsia="宋体" w:cs="宋体"/>
          <w:color w:val="auto"/>
          <w:sz w:val="28"/>
          <w:highlight w:val="none"/>
        </w:rPr>
        <w:t>，原则上所有土壤监测点的监测指标至少应包括GB36600表1基本项目（45项）</w:t>
      </w:r>
      <w:r>
        <w:rPr>
          <w:rFonts w:hint="eastAsia" w:ascii="宋体" w:hAnsi="宋体" w:eastAsia="宋体" w:cs="宋体"/>
          <w:color w:val="auto"/>
          <w:sz w:val="28"/>
          <w:highlight w:val="none"/>
          <w:lang w:eastAsia="zh-CN"/>
        </w:rPr>
        <w:t>及特征因子，地下水监测井的监测指标至少应包括GB/T14848表1常规指标（微生物指标、放射性指标除外</w:t>
      </w:r>
      <w:r>
        <w:rPr>
          <w:rFonts w:hint="eastAsia" w:ascii="宋体" w:hAnsi="宋体" w:eastAsia="宋体" w:cs="宋体"/>
          <w:color w:val="auto"/>
          <w:sz w:val="28"/>
          <w:highlight w:val="none"/>
        </w:rPr>
        <w:t>。具体监测项目见表6-</w:t>
      </w:r>
      <w:r>
        <w:rPr>
          <w:rFonts w:hint="eastAsia" w:ascii="宋体" w:hAnsi="宋体" w:eastAsia="宋体" w:cs="宋体"/>
          <w:color w:val="auto"/>
          <w:sz w:val="28"/>
          <w:highlight w:val="none"/>
          <w:lang w:val="en-US" w:eastAsia="zh-CN"/>
        </w:rPr>
        <w:t>3、6-4</w:t>
      </w:r>
      <w:r>
        <w:rPr>
          <w:rFonts w:hint="eastAsia" w:ascii="宋体" w:hAnsi="宋体" w:eastAsia="宋体" w:cs="宋体"/>
          <w:color w:val="auto"/>
          <w:sz w:val="28"/>
          <w:highlight w:val="none"/>
        </w:rPr>
        <w:t>。</w:t>
      </w:r>
    </w:p>
    <w:p>
      <w:pPr>
        <w:autoSpaceDE w:val="0"/>
        <w:adjustRightInd w:val="0"/>
        <w:snapToGrid w:val="0"/>
        <w:spacing w:line="520" w:lineRule="exact"/>
        <w:ind w:firstLine="482" w:firstLineChars="200"/>
        <w:jc w:val="center"/>
        <w:rPr>
          <w:rFonts w:hint="eastAsia" w:ascii="宋体" w:hAnsi="宋体" w:eastAsia="宋体" w:cs="宋体"/>
          <w:b/>
          <w:sz w:val="24"/>
          <w:szCs w:val="24"/>
        </w:rPr>
      </w:pPr>
      <w:r>
        <w:rPr>
          <w:rFonts w:hint="eastAsia" w:ascii="宋体" w:hAnsi="宋体" w:eastAsia="宋体" w:cs="宋体"/>
          <w:b/>
          <w:sz w:val="24"/>
          <w:szCs w:val="24"/>
        </w:rPr>
        <w:t>表6-</w:t>
      </w:r>
      <w:r>
        <w:rPr>
          <w:rFonts w:hint="eastAsia" w:ascii="宋体" w:hAnsi="宋体" w:eastAsia="宋体" w:cs="宋体"/>
          <w:b/>
          <w:sz w:val="24"/>
          <w:szCs w:val="24"/>
          <w:lang w:val="en-US" w:eastAsia="zh-CN"/>
        </w:rPr>
        <w:t>3</w:t>
      </w:r>
      <w:r>
        <w:rPr>
          <w:rFonts w:hint="eastAsia" w:ascii="宋体" w:hAnsi="宋体" w:eastAsia="宋体" w:cs="宋体"/>
          <w:b/>
          <w:sz w:val="24"/>
          <w:szCs w:val="24"/>
        </w:rPr>
        <w:t>土壤监测项目一览表</w:t>
      </w:r>
    </w:p>
    <w:tbl>
      <w:tblPr>
        <w:tblStyle w:val="30"/>
        <w:tblW w:w="49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45"/>
        <w:gridCol w:w="67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87" w:type="pct"/>
            <w:tcBorders>
              <w:top w:val="single" w:color="auto" w:sz="4" w:space="0"/>
              <w:left w:val="single" w:color="auto" w:sz="4" w:space="0"/>
              <w:bottom w:val="single" w:color="auto" w:sz="4" w:space="0"/>
              <w:right w:val="single" w:color="auto" w:sz="4" w:space="0"/>
            </w:tcBorders>
            <w:vAlign w:val="center"/>
          </w:tcPr>
          <w:p>
            <w:pPr>
              <w:autoSpaceDE w:val="0"/>
              <w:adjustRightInd w:val="0"/>
              <w:spacing w:line="240" w:lineRule="auto"/>
              <w:ind w:firstLine="0" w:firstLineChars="0"/>
              <w:jc w:val="center"/>
              <w:rPr>
                <w:rFonts w:hint="eastAsia" w:ascii="宋体" w:hAnsi="宋体" w:eastAsia="宋体" w:cs="宋体"/>
                <w:bCs/>
                <w:kern w:val="0"/>
                <w:sz w:val="21"/>
                <w:szCs w:val="21"/>
              </w:rPr>
            </w:pPr>
            <w:r>
              <w:rPr>
                <w:rFonts w:hint="eastAsia" w:ascii="宋体" w:hAnsi="宋体" w:eastAsia="宋体" w:cs="宋体"/>
                <w:bCs/>
                <w:kern w:val="0"/>
                <w:sz w:val="21"/>
                <w:szCs w:val="21"/>
              </w:rPr>
              <w:t>类别</w:t>
            </w:r>
          </w:p>
        </w:tc>
        <w:tc>
          <w:tcPr>
            <w:tcW w:w="3712" w:type="pct"/>
            <w:tcBorders>
              <w:top w:val="single" w:color="auto" w:sz="4" w:space="0"/>
              <w:left w:val="single" w:color="auto" w:sz="4" w:space="0"/>
              <w:bottom w:val="single" w:color="auto" w:sz="4" w:space="0"/>
              <w:right w:val="single" w:color="auto" w:sz="4" w:space="0"/>
            </w:tcBorders>
            <w:vAlign w:val="center"/>
          </w:tcPr>
          <w:p>
            <w:pPr>
              <w:autoSpaceDE w:val="0"/>
              <w:adjustRightInd w:val="0"/>
              <w:spacing w:line="240" w:lineRule="auto"/>
              <w:ind w:firstLine="0" w:firstLineChars="0"/>
              <w:jc w:val="center"/>
              <w:rPr>
                <w:rFonts w:hint="eastAsia" w:ascii="宋体" w:hAnsi="宋体" w:eastAsia="宋体" w:cs="宋体"/>
                <w:bCs/>
                <w:kern w:val="0"/>
                <w:sz w:val="21"/>
                <w:szCs w:val="21"/>
              </w:rPr>
            </w:pPr>
            <w:r>
              <w:rPr>
                <w:rFonts w:hint="eastAsia" w:ascii="宋体" w:hAnsi="宋体" w:eastAsia="宋体" w:cs="宋体"/>
                <w:bCs/>
                <w:kern w:val="0"/>
                <w:sz w:val="21"/>
                <w:szCs w:val="21"/>
              </w:rPr>
              <w:t>监测项目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87" w:type="pct"/>
            <w:tcBorders>
              <w:top w:val="single" w:color="auto" w:sz="4" w:space="0"/>
              <w:left w:val="single" w:color="auto" w:sz="4" w:space="0"/>
              <w:bottom w:val="single" w:color="auto" w:sz="4" w:space="0"/>
              <w:right w:val="single" w:color="auto" w:sz="4" w:space="0"/>
            </w:tcBorders>
            <w:vAlign w:val="center"/>
          </w:tcPr>
          <w:p>
            <w:pPr>
              <w:autoSpaceDE w:val="0"/>
              <w:adjustRightInd w:val="0"/>
              <w:spacing w:line="240" w:lineRule="auto"/>
              <w:ind w:firstLine="0" w:firstLineChars="0"/>
              <w:jc w:val="center"/>
              <w:rPr>
                <w:rFonts w:hint="eastAsia" w:ascii="宋体" w:hAnsi="宋体" w:eastAsia="宋体" w:cs="宋体"/>
                <w:bCs/>
                <w:kern w:val="0"/>
                <w:sz w:val="21"/>
                <w:szCs w:val="21"/>
              </w:rPr>
            </w:pPr>
            <w:r>
              <w:rPr>
                <w:rFonts w:hint="eastAsia" w:ascii="宋体" w:hAnsi="宋体" w:eastAsia="宋体" w:cs="宋体"/>
                <w:bCs/>
                <w:kern w:val="0"/>
                <w:sz w:val="21"/>
                <w:szCs w:val="21"/>
              </w:rPr>
              <w:t>土壤</w:t>
            </w:r>
          </w:p>
        </w:tc>
        <w:tc>
          <w:tcPr>
            <w:tcW w:w="3712" w:type="pct"/>
            <w:tcBorders>
              <w:top w:val="single" w:color="auto" w:sz="4" w:space="0"/>
              <w:left w:val="single" w:color="auto" w:sz="4" w:space="0"/>
              <w:bottom w:val="single" w:color="auto" w:sz="4" w:space="0"/>
              <w:right w:val="single" w:color="auto" w:sz="4" w:space="0"/>
            </w:tcBorders>
            <w:vAlign w:val="center"/>
          </w:tcPr>
          <w:p>
            <w:pPr>
              <w:autoSpaceDE w:val="0"/>
              <w:adjustRightInd w:val="0"/>
              <w:spacing w:line="240" w:lineRule="auto"/>
              <w:ind w:firstLine="0" w:firstLineChars="0"/>
              <w:jc w:val="center"/>
              <w:rPr>
                <w:rFonts w:hint="default" w:ascii="宋体" w:hAnsi="宋体" w:eastAsia="宋体" w:cs="宋体"/>
                <w:bCs/>
                <w:kern w:val="0"/>
                <w:sz w:val="21"/>
                <w:szCs w:val="21"/>
                <w:lang w:val="en-US"/>
              </w:rPr>
            </w:pPr>
            <w:r>
              <w:rPr>
                <w:rFonts w:hint="eastAsia" w:ascii="宋体" w:hAnsi="宋体" w:eastAsia="宋体" w:cs="宋体"/>
                <w:bCs/>
                <w:kern w:val="0"/>
                <w:sz w:val="21"/>
                <w:szCs w:val="21"/>
                <w:lang w:eastAsia="zh-CN"/>
              </w:rPr>
              <w:t>土壤检测</w:t>
            </w:r>
            <w:r>
              <w:rPr>
                <w:rFonts w:hint="eastAsia" w:ascii="宋体" w:hAnsi="宋体" w:eastAsia="宋体" w:cs="宋体"/>
                <w:bCs/>
                <w:kern w:val="0"/>
                <w:sz w:val="21"/>
                <w:szCs w:val="21"/>
              </w:rPr>
              <w:t>因子：砷、镉、六价铬、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α]蒽、苯并[α]芘、苯并[b]荧蒽、苯并[k]荧蒽、䓛、二苯并[α、h]蒽、茚并[1,2,3-cd]芘、萘</w:t>
            </w:r>
            <w:r>
              <w:rPr>
                <w:rFonts w:hint="eastAsia" w:ascii="宋体" w:hAnsi="宋体" w:eastAsia="宋体" w:cs="宋体"/>
                <w:bCs/>
                <w:kern w:val="0"/>
                <w:sz w:val="21"/>
                <w:szCs w:val="21"/>
                <w:lang w:val="en-US" w:eastAsia="zh-CN"/>
              </w:rPr>
              <w:t>45项；特征污染物：pH、二氯甲烷</w:t>
            </w:r>
          </w:p>
        </w:tc>
      </w:tr>
    </w:tbl>
    <w:p>
      <w:pPr>
        <w:keepNext w:val="0"/>
        <w:keepLines w:val="0"/>
        <w:pageBreakBefore w:val="0"/>
        <w:tabs>
          <w:tab w:val="left" w:pos="2278"/>
        </w:tabs>
        <w:kinsoku/>
        <w:wordWrap/>
        <w:overflowPunct/>
        <w:topLinePunct w:val="0"/>
        <w:autoSpaceDE/>
        <w:autoSpaceDN/>
        <w:bidi w:val="0"/>
        <w:spacing w:line="520" w:lineRule="exact"/>
        <w:ind w:firstLine="482" w:firstLineChars="200"/>
        <w:jc w:val="center"/>
        <w:textAlignment w:val="auto"/>
        <w:rPr>
          <w:rFonts w:hint="eastAsia"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表6-4地下水监测点位</w:t>
      </w:r>
    </w:p>
    <w:tbl>
      <w:tblPr>
        <w:tblStyle w:val="21"/>
        <w:tblW w:w="4894" w:type="pct"/>
        <w:jc w:val="center"/>
        <w:tblBorders>
          <w:top w:val="single" w:color="000000" w:sz="4" w:space="0"/>
          <w:left w:val="single" w:color="000000" w:sz="6" w:space="0"/>
          <w:bottom w:val="single" w:color="000000" w:sz="4" w:space="0"/>
          <w:right w:val="single" w:color="000000" w:sz="6" w:space="0"/>
          <w:insideH w:val="single" w:color="000000" w:sz="4" w:space="0"/>
          <w:insideV w:val="single" w:color="000000" w:sz="4" w:space="0"/>
        </w:tblBorders>
        <w:tblLayout w:type="autofit"/>
        <w:tblCellMar>
          <w:top w:w="0" w:type="dxa"/>
          <w:left w:w="108" w:type="dxa"/>
          <w:bottom w:w="0" w:type="dxa"/>
          <w:right w:w="108" w:type="dxa"/>
        </w:tblCellMar>
      </w:tblPr>
      <w:tblGrid>
        <w:gridCol w:w="3667"/>
        <w:gridCol w:w="5422"/>
      </w:tblGrid>
      <w:tr>
        <w:tblPrEx>
          <w:tblBorders>
            <w:top w:val="single" w:color="000000" w:sz="4" w:space="0"/>
            <w:left w:val="single" w:color="000000" w:sz="6" w:space="0"/>
            <w:bottom w:val="single" w:color="000000" w:sz="4" w:space="0"/>
            <w:right w:val="single" w:color="000000" w:sz="6" w:space="0"/>
            <w:insideH w:val="single" w:color="000000" w:sz="4" w:space="0"/>
            <w:insideV w:val="single" w:color="000000" w:sz="4" w:space="0"/>
          </w:tblBorders>
          <w:tblCellMar>
            <w:top w:w="0" w:type="dxa"/>
            <w:left w:w="108" w:type="dxa"/>
            <w:bottom w:w="0" w:type="dxa"/>
            <w:right w:w="108" w:type="dxa"/>
          </w:tblCellMar>
        </w:tblPrEx>
        <w:trPr>
          <w:trHeight w:val="326" w:hRule="atLeast"/>
          <w:jc w:val="center"/>
        </w:trPr>
        <w:tc>
          <w:tcPr>
            <w:tcW w:w="2017" w:type="pct"/>
            <w:vAlign w:val="center"/>
          </w:tcPr>
          <w:p>
            <w:pPr>
              <w:spacing w:line="240" w:lineRule="auto"/>
              <w:ind w:firstLine="0" w:firstLineChars="0"/>
              <w:jc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检测点位</w:t>
            </w:r>
          </w:p>
        </w:tc>
        <w:tc>
          <w:tcPr>
            <w:tcW w:w="2982" w:type="pct"/>
            <w:vAlign w:val="center"/>
          </w:tcPr>
          <w:p>
            <w:pPr>
              <w:spacing w:line="240" w:lineRule="auto"/>
              <w:ind w:firstLine="0" w:firstLineChars="0"/>
              <w:jc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检测项目</w:t>
            </w:r>
          </w:p>
        </w:tc>
      </w:tr>
      <w:tr>
        <w:tblPrEx>
          <w:tblBorders>
            <w:top w:val="single" w:color="000000" w:sz="4" w:space="0"/>
            <w:left w:val="single" w:color="000000" w:sz="6" w:space="0"/>
            <w:bottom w:val="single" w:color="000000" w:sz="4" w:space="0"/>
            <w:right w:val="single" w:color="000000" w:sz="6" w:space="0"/>
            <w:insideH w:val="single" w:color="000000" w:sz="4" w:space="0"/>
            <w:insideV w:val="single" w:color="000000" w:sz="4" w:space="0"/>
          </w:tblBorders>
          <w:tblCellMar>
            <w:top w:w="0" w:type="dxa"/>
            <w:left w:w="108" w:type="dxa"/>
            <w:bottom w:w="0" w:type="dxa"/>
            <w:right w:w="108" w:type="dxa"/>
          </w:tblCellMar>
        </w:tblPrEx>
        <w:trPr>
          <w:trHeight w:val="1086" w:hRule="atLeast"/>
          <w:jc w:val="center"/>
        </w:trPr>
        <w:tc>
          <w:tcPr>
            <w:tcW w:w="2017" w:type="pct"/>
            <w:vAlign w:val="center"/>
          </w:tcPr>
          <w:p>
            <w:pPr>
              <w:numPr>
                <w:ilvl w:val="0"/>
                <w:numId w:val="0"/>
              </w:numPr>
              <w:ind w:left="0" w:leftChars="0" w:firstLine="0" w:firstLineChars="0"/>
              <w:jc w:val="center"/>
              <w:rPr>
                <w:rFonts w:hint="eastAsia" w:ascii="宋体" w:hAnsi="宋体" w:eastAsia="宋体" w:cs="宋体"/>
                <w:color w:val="auto"/>
                <w:kern w:val="2"/>
                <w:sz w:val="21"/>
                <w:szCs w:val="21"/>
                <w:highlight w:val="yellow"/>
                <w:vertAlign w:val="baseline"/>
                <w:lang w:val="en-US" w:eastAsia="zh-CN" w:bidi="ar-SA"/>
              </w:rPr>
            </w:pPr>
            <w:r>
              <w:rPr>
                <w:rFonts w:hint="eastAsia" w:ascii="宋体" w:hAnsi="宋体" w:eastAsia="宋体" w:cs="宋体"/>
                <w:color w:val="auto"/>
                <w:sz w:val="21"/>
                <w:szCs w:val="21"/>
                <w:u w:val="none"/>
                <w:lang w:val="en-US" w:eastAsia="zh-CN"/>
              </w:rPr>
              <w:t>厂区地下水点位</w:t>
            </w:r>
          </w:p>
        </w:tc>
        <w:tc>
          <w:tcPr>
            <w:tcW w:w="2982" w:type="pct"/>
            <w:vMerge w:val="restart"/>
            <w:vAlign w:val="center"/>
          </w:tcPr>
          <w:p>
            <w:pPr>
              <w:numPr>
                <w:ilvl w:val="0"/>
                <w:numId w:val="0"/>
              </w:numPr>
              <w:ind w:left="0" w:leftChars="0" w:firstLine="0" w:firstLineChars="0"/>
              <w:jc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color w:val="auto"/>
                <w:sz w:val="21"/>
                <w:szCs w:val="21"/>
                <w:u w:val="none"/>
                <w:lang w:val="en-US" w:eastAsia="zh-CN"/>
              </w:rPr>
              <w:t>企业地下水监测因子：pH值、氨氮、钾、钠、钙、镁、砷、汞、铅、六价铬、镉、锌、锰、耗氧量、碳酸盐碱度、重碳酸盐碱度、硝酸盐氮、亚硝酸盐、挥发性酚类、氰化物、总硬度、溶解性总固体、硫酸盐、氯化物、氟化物、总大肠菌群、细菌总数。</w:t>
            </w:r>
          </w:p>
        </w:tc>
      </w:tr>
      <w:tr>
        <w:tblPrEx>
          <w:tblBorders>
            <w:top w:val="single" w:color="000000" w:sz="4" w:space="0"/>
            <w:left w:val="single" w:color="000000" w:sz="6" w:space="0"/>
            <w:bottom w:val="single" w:color="000000" w:sz="4" w:space="0"/>
            <w:right w:val="single" w:color="000000" w:sz="6" w:space="0"/>
            <w:insideH w:val="single" w:color="000000" w:sz="4" w:space="0"/>
            <w:insideV w:val="single" w:color="000000" w:sz="4" w:space="0"/>
          </w:tblBorders>
          <w:tblCellMar>
            <w:top w:w="0" w:type="dxa"/>
            <w:left w:w="108" w:type="dxa"/>
            <w:bottom w:w="0" w:type="dxa"/>
            <w:right w:w="108" w:type="dxa"/>
          </w:tblCellMar>
        </w:tblPrEx>
        <w:trPr>
          <w:trHeight w:val="1091" w:hRule="atLeast"/>
          <w:jc w:val="center"/>
        </w:trPr>
        <w:tc>
          <w:tcPr>
            <w:tcW w:w="2017" w:type="pct"/>
            <w:vAlign w:val="center"/>
          </w:tcPr>
          <w:p>
            <w:pPr>
              <w:numPr>
                <w:ilvl w:val="0"/>
                <w:numId w:val="0"/>
              </w:numPr>
              <w:ind w:left="0" w:leftChars="0" w:firstLine="0" w:firstLineChars="0"/>
              <w:jc w:val="center"/>
              <w:rPr>
                <w:rFonts w:hint="eastAsia" w:ascii="宋体" w:hAnsi="宋体" w:eastAsia="宋体" w:cs="宋体"/>
                <w:color w:val="auto"/>
                <w:kern w:val="2"/>
                <w:sz w:val="21"/>
                <w:szCs w:val="21"/>
                <w:highlight w:val="yellow"/>
                <w:vertAlign w:val="baseline"/>
                <w:lang w:val="zh-CN" w:eastAsia="zh-CN" w:bidi="ar-SA"/>
              </w:rPr>
            </w:pPr>
            <w:r>
              <w:rPr>
                <w:rFonts w:hint="eastAsia" w:ascii="宋体" w:hAnsi="宋体" w:eastAsia="宋体" w:cs="宋体"/>
                <w:color w:val="auto"/>
                <w:sz w:val="21"/>
                <w:szCs w:val="21"/>
                <w:u w:val="none"/>
                <w:lang w:val="en-US" w:eastAsia="zh-CN"/>
              </w:rPr>
              <w:t>园区地下水点位</w:t>
            </w:r>
          </w:p>
        </w:tc>
        <w:tc>
          <w:tcPr>
            <w:tcW w:w="2982" w:type="pct"/>
            <w:vMerge w:val="continue"/>
            <w:vAlign w:val="center"/>
          </w:tcPr>
          <w:p>
            <w:pPr>
              <w:spacing w:line="240" w:lineRule="auto"/>
              <w:ind w:firstLine="0" w:firstLineChars="0"/>
              <w:jc w:val="center"/>
              <w:rPr>
                <w:rFonts w:hint="eastAsia" w:ascii="宋体" w:hAnsi="宋体" w:eastAsia="宋体" w:cs="宋体"/>
                <w:b w:val="0"/>
                <w:bCs w:val="0"/>
                <w:color w:val="auto"/>
                <w:sz w:val="21"/>
                <w:szCs w:val="21"/>
                <w:highlight w:val="none"/>
                <w:lang w:eastAsia="zh-CN"/>
              </w:rPr>
            </w:pPr>
          </w:p>
        </w:tc>
      </w:tr>
    </w:tbl>
    <w:p>
      <w:pPr>
        <w:keepNext/>
        <w:keepLines/>
        <w:widowControl w:val="0"/>
        <w:tabs>
          <w:tab w:val="left" w:pos="223"/>
        </w:tabs>
        <w:spacing w:line="520" w:lineRule="exact"/>
        <w:ind w:firstLine="562" w:firstLineChars="200"/>
        <w:jc w:val="both"/>
        <w:outlineLvl w:val="1"/>
        <w:rPr>
          <w:rFonts w:hint="eastAsia" w:ascii="宋体" w:hAnsi="宋体" w:eastAsia="宋体" w:cs="宋体"/>
          <w:b/>
          <w:bCs/>
          <w:color w:val="auto"/>
          <w:kern w:val="2"/>
          <w:sz w:val="28"/>
          <w:szCs w:val="28"/>
          <w:highlight w:val="none"/>
          <w:lang w:val="en-US" w:eastAsia="zh-CN" w:bidi="ar-SA"/>
        </w:rPr>
      </w:pPr>
      <w:bookmarkStart w:id="205" w:name="_Toc107924590"/>
      <w:bookmarkStart w:id="206" w:name="_Toc26483"/>
      <w:r>
        <w:rPr>
          <w:rFonts w:hint="eastAsia" w:ascii="宋体" w:hAnsi="宋体" w:eastAsia="宋体" w:cs="宋体"/>
          <w:b/>
          <w:bCs/>
          <w:color w:val="auto"/>
          <w:kern w:val="2"/>
          <w:sz w:val="28"/>
          <w:szCs w:val="28"/>
          <w:highlight w:val="none"/>
          <w:lang w:val="en-US" w:eastAsia="zh-CN" w:bidi="ar-SA"/>
        </w:rPr>
        <w:t>6.4监测频次</w:t>
      </w:r>
      <w:bookmarkEnd w:id="205"/>
      <w:bookmarkEnd w:id="206"/>
    </w:p>
    <w:p>
      <w:pPr>
        <w:spacing w:line="360" w:lineRule="auto"/>
        <w:ind w:firstLine="560" w:firstLineChars="200"/>
        <w:jc w:val="both"/>
        <w:rPr>
          <w:rFonts w:hint="eastAsia" w:ascii="宋体" w:hAnsi="宋体" w:eastAsia="宋体" w:cs="宋体"/>
          <w:sz w:val="28"/>
          <w:szCs w:val="28"/>
        </w:rPr>
      </w:pPr>
      <w:r>
        <w:rPr>
          <w:rFonts w:hint="eastAsia" w:ascii="宋体" w:hAnsi="宋体" w:eastAsia="宋体" w:cs="宋体"/>
          <w:sz w:val="28"/>
          <w:szCs w:val="28"/>
        </w:rPr>
        <w:t>根据《工业企业土壤和地下水自行监测技术指南（试行）》HJ1209-2021，土壤环境重点监管企业土壤和地下水监测频次见下表。</w:t>
      </w:r>
    </w:p>
    <w:p>
      <w:pPr>
        <w:keepNext w:val="0"/>
        <w:keepLines w:val="0"/>
        <w:pageBreakBefore w:val="0"/>
        <w:tabs>
          <w:tab w:val="left" w:pos="2278"/>
        </w:tabs>
        <w:kinsoku/>
        <w:wordWrap/>
        <w:overflowPunct/>
        <w:topLinePunct w:val="0"/>
        <w:autoSpaceDE/>
        <w:autoSpaceDN/>
        <w:bidi w:val="0"/>
        <w:spacing w:line="520" w:lineRule="exact"/>
        <w:ind w:firstLine="562" w:firstLineChars="200"/>
        <w:jc w:val="center"/>
        <w:textAlignment w:val="auto"/>
        <w:rPr>
          <w:rFonts w:hint="eastAsia" w:ascii="宋体" w:hAnsi="宋体" w:eastAsia="宋体" w:cs="宋体"/>
          <w:b/>
          <w:bCs/>
          <w:color w:val="auto"/>
          <w:sz w:val="28"/>
          <w:szCs w:val="28"/>
          <w:highlight w:val="none"/>
          <w:lang w:val="en-US" w:eastAsia="zh-CN"/>
        </w:rPr>
      </w:pPr>
      <w:r>
        <w:rPr>
          <w:rFonts w:hint="eastAsia" w:ascii="宋体" w:hAnsi="宋体" w:eastAsia="宋体" w:cs="宋体"/>
          <w:b/>
          <w:bCs/>
          <w:color w:val="auto"/>
          <w:sz w:val="28"/>
          <w:szCs w:val="28"/>
          <w:highlight w:val="none"/>
          <w:lang w:val="en-US" w:eastAsia="zh-CN"/>
        </w:rPr>
        <w:t>表6-5自行监测的监测频次</w:t>
      </w:r>
    </w:p>
    <w:tbl>
      <w:tblPr>
        <w:tblStyle w:val="3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6"/>
        <w:gridCol w:w="50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trPr>
        <w:tc>
          <w:tcPr>
            <w:tcW w:w="2297"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监测对象</w:t>
            </w:r>
          </w:p>
        </w:tc>
        <w:tc>
          <w:tcPr>
            <w:tcW w:w="2703"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trPr>
        <w:tc>
          <w:tcPr>
            <w:tcW w:w="2297"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土壤</w:t>
            </w:r>
          </w:p>
        </w:tc>
        <w:tc>
          <w:tcPr>
            <w:tcW w:w="2703"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采样深度为表层土壤的点位每年1次，采样深度为深层土壤的每3年1次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trPr>
        <w:tc>
          <w:tcPr>
            <w:tcW w:w="2297"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hint="eastAsia" w:ascii="宋体" w:hAnsi="宋体" w:eastAsia="宋体" w:cs="宋体"/>
                <w:color w:val="000000"/>
                <w:kern w:val="0"/>
                <w:sz w:val="22"/>
                <w:szCs w:val="22"/>
                <w:lang w:eastAsia="zh-CN"/>
              </w:rPr>
            </w:pPr>
            <w:r>
              <w:rPr>
                <w:rFonts w:hint="eastAsia" w:ascii="宋体" w:hAnsi="宋体" w:eastAsia="宋体" w:cs="宋体"/>
                <w:color w:val="000000"/>
                <w:kern w:val="0"/>
                <w:sz w:val="22"/>
                <w:szCs w:val="22"/>
                <w:lang w:eastAsia="zh-CN"/>
              </w:rPr>
              <w:t>地下水</w:t>
            </w:r>
          </w:p>
        </w:tc>
        <w:tc>
          <w:tcPr>
            <w:tcW w:w="2703"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hint="eastAsia" w:ascii="宋体" w:hAnsi="宋体" w:eastAsia="宋体" w:cs="宋体"/>
                <w:color w:val="000000"/>
                <w:kern w:val="0"/>
                <w:sz w:val="22"/>
                <w:szCs w:val="22"/>
                <w:lang w:eastAsia="zh-CN"/>
              </w:rPr>
            </w:pPr>
            <w:r>
              <w:rPr>
                <w:rFonts w:hint="eastAsia" w:ascii="宋体" w:hAnsi="宋体" w:eastAsia="宋体" w:cs="宋体"/>
                <w:color w:val="000000"/>
                <w:kern w:val="0"/>
                <w:sz w:val="22"/>
                <w:szCs w:val="22"/>
                <w:lang w:eastAsia="zh-CN"/>
              </w:rPr>
              <w:t>一年一次</w:t>
            </w:r>
          </w:p>
        </w:tc>
      </w:tr>
    </w:tbl>
    <w:p>
      <w:pPr>
        <w:bidi w:val="0"/>
        <w:spacing w:line="360" w:lineRule="auto"/>
        <w:ind w:firstLine="560" w:firstLineChars="200"/>
        <w:jc w:val="left"/>
        <w:rPr>
          <w:rFonts w:hint="eastAsia" w:ascii="宋体" w:hAnsi="宋体" w:eastAsia="宋体" w:cs="宋体"/>
          <w:color w:val="auto"/>
          <w:sz w:val="28"/>
          <w:highlight w:val="none"/>
        </w:rPr>
      </w:pPr>
      <w:bookmarkStart w:id="207" w:name="_Toc2213"/>
      <w:bookmarkStart w:id="208" w:name="_Toc3178"/>
      <w:bookmarkStart w:id="209" w:name="_Toc7156"/>
      <w:r>
        <w:rPr>
          <w:rFonts w:hint="eastAsia" w:ascii="宋体" w:hAnsi="宋体" w:eastAsia="宋体" w:cs="宋体"/>
          <w:color w:val="auto"/>
          <w:sz w:val="28"/>
          <w:highlight w:val="none"/>
          <w:lang w:val="en-US" w:eastAsia="zh-CN"/>
        </w:rPr>
        <w:t>2023年6月18日-6月25日，公司委托洛阳市达峰环境检测有限公司对厂区地下水、园区地下水和厂区土壤开展监测。根据2023年6月25日出具的《三门峡新鑫源科技有限公司土</w:t>
      </w:r>
      <w:r>
        <w:rPr>
          <w:rFonts w:hint="eastAsia" w:ascii="宋体" w:hAnsi="宋体" w:eastAsia="宋体" w:cs="宋体"/>
          <w:color w:val="auto"/>
          <w:sz w:val="28"/>
          <w:highlight w:val="none"/>
        </w:rPr>
        <w:t>壤及地下水</w:t>
      </w:r>
      <w:r>
        <w:rPr>
          <w:rFonts w:hint="eastAsia" w:ascii="宋体" w:hAnsi="宋体" w:eastAsia="宋体" w:cs="宋体"/>
          <w:color w:val="auto"/>
          <w:sz w:val="28"/>
          <w:highlight w:val="none"/>
          <w:lang w:val="en-US" w:eastAsia="zh-CN"/>
        </w:rPr>
        <w:t>检测</w:t>
      </w:r>
      <w:r>
        <w:rPr>
          <w:rFonts w:hint="eastAsia" w:ascii="宋体" w:hAnsi="宋体" w:eastAsia="宋体" w:cs="宋体"/>
          <w:color w:val="auto"/>
          <w:sz w:val="28"/>
          <w:highlight w:val="none"/>
          <w:lang w:eastAsia="zh-CN"/>
        </w:rPr>
        <w:t>报告》（</w:t>
      </w:r>
      <w:r>
        <w:rPr>
          <w:rFonts w:hint="eastAsia" w:ascii="宋体" w:hAnsi="宋体" w:eastAsia="宋体" w:cs="宋体"/>
          <w:color w:val="auto"/>
          <w:sz w:val="28"/>
          <w:highlight w:val="none"/>
          <w:lang w:val="en-US" w:eastAsia="zh-CN"/>
        </w:rPr>
        <w:t>编号：DFJC-010-06-2023），报告中</w:t>
      </w:r>
      <w:r>
        <w:rPr>
          <w:rFonts w:hint="eastAsia" w:ascii="宋体" w:hAnsi="宋体" w:eastAsia="宋体" w:cs="宋体"/>
          <w:color w:val="auto"/>
          <w:sz w:val="28"/>
          <w:highlight w:val="none"/>
        </w:rPr>
        <w:t>结合企业厂区生产设施分布和生产工艺等实际情况，确定布点位置及数量</w:t>
      </w:r>
      <w:r>
        <w:rPr>
          <w:rFonts w:hint="eastAsia" w:ascii="宋体" w:hAnsi="宋体" w:eastAsia="宋体" w:cs="宋体"/>
          <w:color w:val="auto"/>
          <w:sz w:val="28"/>
          <w:highlight w:val="none"/>
          <w:lang w:val="en-US" w:eastAsia="zh-CN"/>
        </w:rPr>
        <w:t>13个</w:t>
      </w:r>
      <w:r>
        <w:rPr>
          <w:rFonts w:hint="eastAsia" w:ascii="宋体" w:hAnsi="宋体" w:eastAsia="宋体" w:cs="宋体"/>
          <w:color w:val="auto"/>
          <w:sz w:val="28"/>
          <w:highlight w:val="none"/>
        </w:rPr>
        <w:t>，其中土壤监测点</w:t>
      </w:r>
      <w:r>
        <w:rPr>
          <w:rFonts w:hint="eastAsia" w:ascii="宋体" w:hAnsi="宋体" w:eastAsia="宋体" w:cs="宋体"/>
          <w:color w:val="auto"/>
          <w:sz w:val="28"/>
          <w:highlight w:val="none"/>
          <w:lang w:val="en-US" w:eastAsia="zh-CN"/>
        </w:rPr>
        <w:t>11</w:t>
      </w:r>
      <w:r>
        <w:rPr>
          <w:rFonts w:hint="eastAsia" w:ascii="宋体" w:hAnsi="宋体" w:eastAsia="宋体" w:cs="宋体"/>
          <w:color w:val="auto"/>
          <w:sz w:val="28"/>
          <w:highlight w:val="none"/>
        </w:rPr>
        <w:t>个，地下水监测点</w:t>
      </w:r>
      <w:r>
        <w:rPr>
          <w:rFonts w:hint="eastAsia" w:ascii="宋体" w:hAnsi="宋体" w:eastAsia="宋体" w:cs="宋体"/>
          <w:color w:val="auto"/>
          <w:sz w:val="28"/>
          <w:highlight w:val="none"/>
          <w:lang w:val="en-US" w:eastAsia="zh-CN"/>
        </w:rPr>
        <w:t>2</w:t>
      </w:r>
      <w:r>
        <w:rPr>
          <w:rFonts w:hint="eastAsia" w:ascii="宋体" w:hAnsi="宋体" w:eastAsia="宋体" w:cs="宋体"/>
          <w:color w:val="auto"/>
          <w:sz w:val="28"/>
          <w:highlight w:val="none"/>
        </w:rPr>
        <w:t>个。</w:t>
      </w:r>
    </w:p>
    <w:p>
      <w:pPr>
        <w:pStyle w:val="7"/>
        <w:bidi w:val="0"/>
        <w:rPr>
          <w:rFonts w:hint="eastAsia" w:ascii="宋体" w:hAnsi="宋体" w:eastAsia="宋体" w:cs="宋体"/>
          <w:lang w:val="en-US" w:eastAsia="zh-CN"/>
        </w:rPr>
      </w:pPr>
      <w:bookmarkStart w:id="210" w:name="_Toc6232"/>
      <w:r>
        <w:rPr>
          <w:rFonts w:hint="eastAsia" w:ascii="宋体" w:hAnsi="宋体" w:eastAsia="宋体" w:cs="宋体"/>
          <w:lang w:val="en-US" w:eastAsia="zh-CN"/>
        </w:rPr>
        <w:t>7样品采集、保存、流转与制备</w:t>
      </w:r>
      <w:bookmarkEnd w:id="207"/>
      <w:bookmarkEnd w:id="208"/>
      <w:bookmarkEnd w:id="209"/>
      <w:bookmarkEnd w:id="210"/>
    </w:p>
    <w:p>
      <w:pPr>
        <w:keepNext/>
        <w:keepLines/>
        <w:widowControl w:val="0"/>
        <w:numPr>
          <w:ilvl w:val="1"/>
          <w:numId w:val="1"/>
        </w:numPr>
        <w:bidi w:val="0"/>
        <w:spacing w:line="520" w:lineRule="exact"/>
        <w:ind w:firstLine="0" w:firstLineChars="0"/>
        <w:jc w:val="left"/>
        <w:outlineLvl w:val="1"/>
        <w:rPr>
          <w:rFonts w:hint="eastAsia" w:ascii="宋体" w:hAnsi="宋体" w:eastAsia="宋体" w:cs="宋体"/>
          <w:b/>
          <w:bCs/>
          <w:kern w:val="2"/>
          <w:sz w:val="28"/>
          <w:szCs w:val="32"/>
          <w:lang w:val="en-US" w:eastAsia="zh-CN" w:bidi="ar-SA"/>
        </w:rPr>
      </w:pPr>
      <w:bookmarkStart w:id="211" w:name="_Toc3536"/>
      <w:bookmarkStart w:id="212" w:name="_Toc8311"/>
      <w:bookmarkStart w:id="213" w:name="_Toc6627"/>
      <w:bookmarkStart w:id="214" w:name="_Toc24713"/>
      <w:r>
        <w:rPr>
          <w:rFonts w:hint="eastAsia" w:ascii="宋体" w:hAnsi="宋体" w:eastAsia="宋体" w:cs="宋体"/>
          <w:b/>
          <w:bCs/>
          <w:kern w:val="2"/>
          <w:sz w:val="28"/>
          <w:szCs w:val="32"/>
          <w:lang w:val="en-US" w:eastAsia="zh-CN" w:bidi="ar-SA"/>
        </w:rPr>
        <w:t>7.1现场采样位置、数量和深度</w:t>
      </w:r>
      <w:bookmarkEnd w:id="211"/>
      <w:bookmarkEnd w:id="212"/>
      <w:bookmarkEnd w:id="213"/>
      <w:bookmarkEnd w:id="214"/>
    </w:p>
    <w:p>
      <w:pPr>
        <w:bidi w:val="0"/>
        <w:spacing w:line="360" w:lineRule="auto"/>
        <w:ind w:firstLine="560" w:firstLineChars="200"/>
        <w:jc w:val="left"/>
        <w:rPr>
          <w:rFonts w:hint="eastAsia" w:ascii="宋体" w:hAnsi="宋体" w:eastAsia="宋体" w:cs="宋体"/>
          <w:color w:val="auto"/>
          <w:sz w:val="28"/>
          <w:highlight w:val="none"/>
          <w:lang w:val="en-US" w:eastAsia="zh-CN"/>
        </w:rPr>
      </w:pPr>
      <w:r>
        <w:rPr>
          <w:rFonts w:hint="eastAsia" w:ascii="宋体" w:hAnsi="宋体" w:eastAsia="宋体" w:cs="宋体"/>
          <w:color w:val="auto"/>
          <w:sz w:val="28"/>
          <w:highlight w:val="none"/>
          <w:lang w:val="en-US" w:eastAsia="zh-CN"/>
        </w:rPr>
        <w:t>依据国家相关政策、标准、导则等要求，结合企业厂区生产设施分布和生产工艺等实际情况，确定土壤监测点11个，具体采样位置见下表。</w:t>
      </w:r>
    </w:p>
    <w:p>
      <w:pPr>
        <w:spacing w:line="520" w:lineRule="exact"/>
        <w:ind w:firstLine="3360" w:firstLineChars="1200"/>
        <w:jc w:val="left"/>
        <w:rPr>
          <w:rFonts w:hint="eastAsia" w:ascii="宋体" w:hAnsi="宋体" w:eastAsia="宋体" w:cs="宋体"/>
          <w:sz w:val="28"/>
          <w:lang w:val="en-US" w:eastAsia="zh-CN"/>
        </w:rPr>
      </w:pPr>
      <w:r>
        <w:rPr>
          <w:rFonts w:hint="eastAsia" w:ascii="宋体" w:hAnsi="宋体" w:eastAsia="宋体" w:cs="宋体"/>
          <w:sz w:val="28"/>
          <w:lang w:val="en-US" w:eastAsia="zh-CN"/>
        </w:rPr>
        <w:t>表7-1土壤检测内容一览表</w:t>
      </w:r>
    </w:p>
    <w:tbl>
      <w:tblPr>
        <w:tblStyle w:val="21"/>
        <w:tblW w:w="4947" w:type="pct"/>
        <w:jc w:val="center"/>
        <w:tblBorders>
          <w:top w:val="single" w:color="000000" w:sz="4" w:space="0"/>
          <w:left w:val="single" w:color="000000" w:sz="6" w:space="0"/>
          <w:bottom w:val="single" w:color="000000" w:sz="4" w:space="0"/>
          <w:right w:val="single" w:color="000000" w:sz="6" w:space="0"/>
          <w:insideH w:val="single" w:color="000000" w:sz="4" w:space="0"/>
          <w:insideV w:val="single" w:color="000000" w:sz="4" w:space="0"/>
        </w:tblBorders>
        <w:tblLayout w:type="autofit"/>
        <w:tblCellMar>
          <w:top w:w="0" w:type="dxa"/>
          <w:left w:w="108" w:type="dxa"/>
          <w:bottom w:w="0" w:type="dxa"/>
          <w:right w:w="108" w:type="dxa"/>
        </w:tblCellMar>
      </w:tblPr>
      <w:tblGrid>
        <w:gridCol w:w="916"/>
        <w:gridCol w:w="932"/>
        <w:gridCol w:w="3784"/>
        <w:gridCol w:w="3556"/>
      </w:tblGrid>
      <w:tr>
        <w:tblPrEx>
          <w:tblBorders>
            <w:top w:val="single" w:color="000000" w:sz="4" w:space="0"/>
            <w:left w:val="single" w:color="000000" w:sz="6" w:space="0"/>
            <w:bottom w:val="single" w:color="000000" w:sz="4" w:space="0"/>
            <w:right w:val="single" w:color="000000" w:sz="6" w:space="0"/>
            <w:insideH w:val="single" w:color="000000" w:sz="4" w:space="0"/>
            <w:insideV w:val="single" w:color="000000" w:sz="4" w:space="0"/>
          </w:tblBorders>
          <w:tblCellMar>
            <w:top w:w="0" w:type="dxa"/>
            <w:left w:w="108" w:type="dxa"/>
            <w:bottom w:w="0" w:type="dxa"/>
            <w:right w:w="108" w:type="dxa"/>
          </w:tblCellMar>
        </w:tblPrEx>
        <w:trPr>
          <w:trHeight w:val="409" w:hRule="atLeast"/>
          <w:jc w:val="center"/>
        </w:trPr>
        <w:tc>
          <w:tcPr>
            <w:tcW w:w="498" w:type="pct"/>
            <w:vAlign w:val="center"/>
          </w:tcPr>
          <w:p>
            <w:pPr>
              <w:keepNext w:val="0"/>
              <w:keepLines w:val="0"/>
              <w:pageBreakBefore w:val="0"/>
              <w:kinsoku/>
              <w:wordWrap/>
              <w:overflowPunct/>
              <w:topLinePunct w:val="0"/>
              <w:autoSpaceDE/>
              <w:autoSpaceDN/>
              <w:bidi w:val="0"/>
              <w:adjustRightInd/>
              <w:snapToGrid/>
              <w:ind w:left="0" w:right="0"/>
              <w:jc w:val="center"/>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类型</w:t>
            </w:r>
          </w:p>
        </w:tc>
        <w:tc>
          <w:tcPr>
            <w:tcW w:w="507" w:type="pct"/>
            <w:vAlign w:val="center"/>
          </w:tcPr>
          <w:p>
            <w:pPr>
              <w:keepNext w:val="0"/>
              <w:keepLines w:val="0"/>
              <w:pageBreakBefore w:val="0"/>
              <w:kinsoku/>
              <w:wordWrap/>
              <w:overflowPunct/>
              <w:topLinePunct w:val="0"/>
              <w:autoSpaceDE/>
              <w:autoSpaceDN/>
              <w:bidi w:val="0"/>
              <w:adjustRightInd/>
              <w:snapToGrid/>
              <w:ind w:left="0" w:right="0"/>
              <w:jc w:val="center"/>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序号</w:t>
            </w:r>
          </w:p>
        </w:tc>
        <w:tc>
          <w:tcPr>
            <w:tcW w:w="2058" w:type="pct"/>
            <w:vAlign w:val="center"/>
          </w:tcPr>
          <w:p>
            <w:pPr>
              <w:keepNext w:val="0"/>
              <w:keepLines w:val="0"/>
              <w:pageBreakBefore w:val="0"/>
              <w:kinsoku/>
              <w:wordWrap/>
              <w:overflowPunct/>
              <w:topLinePunct w:val="0"/>
              <w:autoSpaceDE/>
              <w:autoSpaceDN/>
              <w:bidi w:val="0"/>
              <w:adjustRightInd/>
              <w:snapToGrid/>
              <w:ind w:left="0" w:right="0"/>
              <w:jc w:val="center"/>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检测点位</w:t>
            </w:r>
          </w:p>
        </w:tc>
        <w:tc>
          <w:tcPr>
            <w:tcW w:w="1934" w:type="pct"/>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rPr>
                <w:rFonts w:hint="eastAsia" w:ascii="宋体" w:hAnsi="宋体" w:eastAsia="宋体" w:cs="宋体"/>
                <w:color w:val="auto"/>
                <w:sz w:val="24"/>
                <w:szCs w:val="24"/>
                <w:highlight w:val="none"/>
              </w:rPr>
            </w:pPr>
            <w:r>
              <w:rPr>
                <w:rFonts w:hint="eastAsia" w:ascii="宋体" w:hAnsi="宋体" w:eastAsia="宋体" w:cs="宋体"/>
                <w:color w:val="auto"/>
                <w:spacing w:val="0"/>
                <w:sz w:val="24"/>
                <w:szCs w:val="24"/>
                <w:highlight w:val="none"/>
                <w:lang w:eastAsia="zh-CN"/>
              </w:rPr>
              <w:t>采样点位坐标</w:t>
            </w:r>
          </w:p>
        </w:tc>
      </w:tr>
      <w:tr>
        <w:tblPrEx>
          <w:tblBorders>
            <w:top w:val="single" w:color="000000" w:sz="4" w:space="0"/>
            <w:left w:val="single" w:color="000000" w:sz="6" w:space="0"/>
            <w:bottom w:val="single" w:color="000000" w:sz="4" w:space="0"/>
            <w:right w:val="single" w:color="000000" w:sz="6" w:space="0"/>
            <w:insideH w:val="single" w:color="000000" w:sz="4" w:space="0"/>
            <w:insideV w:val="single" w:color="000000" w:sz="4" w:space="0"/>
          </w:tblBorders>
          <w:tblCellMar>
            <w:top w:w="0" w:type="dxa"/>
            <w:left w:w="108" w:type="dxa"/>
            <w:bottom w:w="0" w:type="dxa"/>
            <w:right w:w="108" w:type="dxa"/>
          </w:tblCellMar>
        </w:tblPrEx>
        <w:trPr>
          <w:trHeight w:val="807" w:hRule="atLeast"/>
          <w:jc w:val="center"/>
        </w:trPr>
        <w:tc>
          <w:tcPr>
            <w:tcW w:w="498" w:type="pct"/>
            <w:vMerge w:val="restart"/>
            <w:vAlign w:val="center"/>
          </w:tcPr>
          <w:p>
            <w:pPr>
              <w:keepNext w:val="0"/>
              <w:keepLines w:val="0"/>
              <w:pageBreakBefore w:val="0"/>
              <w:kinsoku/>
              <w:wordWrap/>
              <w:overflowPunct/>
              <w:topLinePunct w:val="0"/>
              <w:autoSpaceDE/>
              <w:autoSpaceDN/>
              <w:bidi w:val="0"/>
              <w:adjustRightInd/>
              <w:snapToGrid/>
              <w:ind w:left="0" w:right="0"/>
              <w:jc w:val="center"/>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土壤</w:t>
            </w:r>
          </w:p>
        </w:tc>
        <w:tc>
          <w:tcPr>
            <w:tcW w:w="507" w:type="pct"/>
            <w:vAlign w:val="center"/>
          </w:tcPr>
          <w:p>
            <w:pPr>
              <w:keepNext w:val="0"/>
              <w:keepLines w:val="0"/>
              <w:pageBreakBefore w:val="0"/>
              <w:kinsoku/>
              <w:wordWrap/>
              <w:overflowPunct/>
              <w:topLinePunct w:val="0"/>
              <w:autoSpaceDE/>
              <w:autoSpaceDN/>
              <w:bidi w:val="0"/>
              <w:adjustRightInd/>
              <w:snapToGrid/>
              <w:ind w:left="0" w:right="0"/>
              <w:jc w:val="center"/>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w:t>
            </w:r>
          </w:p>
        </w:tc>
        <w:tc>
          <w:tcPr>
            <w:tcW w:w="2058" w:type="pct"/>
            <w:vAlign w:val="center"/>
          </w:tcPr>
          <w:p>
            <w:pPr>
              <w:keepNext w:val="0"/>
              <w:keepLines w:val="0"/>
              <w:pageBreakBefore w:val="0"/>
              <w:numPr>
                <w:ilvl w:val="0"/>
                <w:numId w:val="0"/>
              </w:numPr>
              <w:kinsoku/>
              <w:wordWrap/>
              <w:overflowPunct/>
              <w:topLinePunct w:val="0"/>
              <w:autoSpaceDE/>
              <w:autoSpaceDN/>
              <w:bidi w:val="0"/>
              <w:spacing w:line="240" w:lineRule="auto"/>
              <w:ind w:left="0" w:leftChars="0" w:firstLine="0" w:firstLineChars="0"/>
              <w:jc w:val="left"/>
              <w:rPr>
                <w:rFonts w:hint="eastAsia" w:ascii="宋体" w:hAnsi="宋体" w:eastAsia="宋体" w:cs="宋体"/>
                <w:b w:val="0"/>
                <w:bCs w:val="0"/>
                <w:color w:val="auto"/>
                <w:kern w:val="2"/>
                <w:sz w:val="24"/>
                <w:szCs w:val="24"/>
                <w:highlight w:val="none"/>
                <w:vertAlign w:val="baseline"/>
                <w:lang w:val="en-US" w:eastAsia="zh-CN" w:bidi="ar-SA"/>
              </w:rPr>
            </w:pPr>
            <w:r>
              <w:rPr>
                <w:rFonts w:hint="eastAsia" w:ascii="宋体" w:hAnsi="宋体" w:eastAsia="宋体" w:cs="宋体"/>
                <w:b w:val="0"/>
                <w:bCs w:val="0"/>
                <w:color w:val="auto"/>
                <w:sz w:val="24"/>
                <w:szCs w:val="24"/>
                <w:highlight w:val="none"/>
                <w:lang w:val="en-US" w:eastAsia="zh-CN"/>
              </w:rPr>
              <w:t>T1:LNG储罐区及循环水池、消防水池</w:t>
            </w:r>
          </w:p>
        </w:tc>
        <w:tc>
          <w:tcPr>
            <w:tcW w:w="1934"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N</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3</w:t>
            </w:r>
            <w:r>
              <w:rPr>
                <w:rFonts w:hint="eastAsia" w:ascii="宋体" w:hAnsi="宋体" w:eastAsia="宋体" w:cs="宋体"/>
                <w:color w:val="auto"/>
                <w:kern w:val="0"/>
                <w:sz w:val="24"/>
                <w:szCs w:val="24"/>
                <w:highlight w:val="none"/>
                <w:lang w:val="en-US" w:eastAsia="zh-CN"/>
              </w:rPr>
              <w:t>4</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40</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31.148</w:t>
            </w:r>
            <w:r>
              <w:rPr>
                <w:rFonts w:hint="eastAsia" w:ascii="宋体" w:hAnsi="宋体" w:eastAsia="宋体" w:cs="宋体"/>
                <w:color w:val="auto"/>
                <w:kern w:val="0"/>
                <w:sz w:val="24"/>
                <w:szCs w:val="24"/>
                <w:highlight w:val="none"/>
              </w:rPr>
              <w:t>''</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b w:val="0"/>
                <w:bCs w:val="0"/>
                <w:color w:val="auto"/>
                <w:spacing w:val="0"/>
                <w:kern w:val="2"/>
                <w:sz w:val="24"/>
                <w:szCs w:val="24"/>
                <w:highlight w:val="none"/>
                <w:vertAlign w:val="baseline"/>
                <w:lang w:val="zh-CN" w:eastAsia="zh-CN" w:bidi="ar-SA"/>
              </w:rPr>
            </w:pPr>
            <w:r>
              <w:rPr>
                <w:rFonts w:hint="eastAsia" w:ascii="宋体" w:hAnsi="宋体" w:eastAsia="宋体" w:cs="宋体"/>
                <w:color w:val="auto"/>
                <w:kern w:val="0"/>
                <w:sz w:val="24"/>
                <w:szCs w:val="24"/>
                <w:highlight w:val="none"/>
              </w:rPr>
              <w:t>E</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11</w:t>
            </w:r>
            <w:r>
              <w:rPr>
                <w:rFonts w:hint="eastAsia" w:ascii="宋体" w:hAnsi="宋体" w:eastAsia="宋体" w:cs="宋体"/>
                <w:color w:val="auto"/>
                <w:kern w:val="0"/>
                <w:sz w:val="24"/>
                <w:szCs w:val="24"/>
                <w:highlight w:val="none"/>
                <w:lang w:val="en-US" w:eastAsia="zh-CN"/>
              </w:rPr>
              <w:t>1</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35</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25.647</w:t>
            </w:r>
            <w:r>
              <w:rPr>
                <w:rFonts w:hint="eastAsia" w:ascii="宋体" w:hAnsi="宋体" w:eastAsia="宋体" w:cs="宋体"/>
                <w:color w:val="auto"/>
                <w:kern w:val="0"/>
                <w:sz w:val="24"/>
                <w:szCs w:val="24"/>
                <w:highlight w:val="none"/>
              </w:rPr>
              <w:t>''</w:t>
            </w:r>
          </w:p>
        </w:tc>
      </w:tr>
      <w:tr>
        <w:tblPrEx>
          <w:tblBorders>
            <w:top w:val="single" w:color="000000" w:sz="4" w:space="0"/>
            <w:left w:val="single" w:color="000000" w:sz="6" w:space="0"/>
            <w:bottom w:val="single" w:color="000000" w:sz="4" w:space="0"/>
            <w:right w:val="single" w:color="000000" w:sz="6" w:space="0"/>
            <w:insideH w:val="single" w:color="000000" w:sz="4" w:space="0"/>
            <w:insideV w:val="single" w:color="000000" w:sz="4" w:space="0"/>
          </w:tblBorders>
          <w:tblCellMar>
            <w:top w:w="0" w:type="dxa"/>
            <w:left w:w="108" w:type="dxa"/>
            <w:bottom w:w="0" w:type="dxa"/>
            <w:right w:w="108" w:type="dxa"/>
          </w:tblCellMar>
        </w:tblPrEx>
        <w:trPr>
          <w:trHeight w:val="807" w:hRule="atLeast"/>
          <w:jc w:val="center"/>
        </w:trPr>
        <w:tc>
          <w:tcPr>
            <w:tcW w:w="498" w:type="pct"/>
            <w:vMerge w:val="continue"/>
            <w:vAlign w:val="center"/>
          </w:tcPr>
          <w:p>
            <w:pPr>
              <w:keepNext w:val="0"/>
              <w:keepLines w:val="0"/>
              <w:pageBreakBefore w:val="0"/>
              <w:kinsoku/>
              <w:wordWrap/>
              <w:overflowPunct/>
              <w:topLinePunct w:val="0"/>
              <w:autoSpaceDE/>
              <w:autoSpaceDN/>
              <w:bidi w:val="0"/>
              <w:adjustRightInd/>
              <w:snapToGrid/>
              <w:ind w:left="0" w:right="0"/>
              <w:jc w:val="center"/>
              <w:textAlignment w:val="auto"/>
              <w:rPr>
                <w:rFonts w:hint="eastAsia" w:ascii="宋体" w:hAnsi="宋体" w:eastAsia="宋体" w:cs="宋体"/>
                <w:color w:val="auto"/>
                <w:sz w:val="24"/>
                <w:szCs w:val="24"/>
                <w:highlight w:val="none"/>
              </w:rPr>
            </w:pPr>
          </w:p>
        </w:tc>
        <w:tc>
          <w:tcPr>
            <w:tcW w:w="507" w:type="pct"/>
            <w:vAlign w:val="center"/>
          </w:tcPr>
          <w:p>
            <w:pPr>
              <w:keepNext w:val="0"/>
              <w:keepLines w:val="0"/>
              <w:pageBreakBefore w:val="0"/>
              <w:kinsoku/>
              <w:wordWrap/>
              <w:overflowPunct/>
              <w:topLinePunct w:val="0"/>
              <w:autoSpaceDE/>
              <w:autoSpaceDN/>
              <w:bidi w:val="0"/>
              <w:adjustRightInd/>
              <w:snapToGrid/>
              <w:ind w:left="0" w:right="0"/>
              <w:jc w:val="center"/>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2</w:t>
            </w:r>
          </w:p>
        </w:tc>
        <w:tc>
          <w:tcPr>
            <w:tcW w:w="2058" w:type="pct"/>
            <w:vAlign w:val="center"/>
          </w:tcPr>
          <w:p>
            <w:pPr>
              <w:keepNext w:val="0"/>
              <w:keepLines w:val="0"/>
              <w:pageBreakBefore w:val="0"/>
              <w:numPr>
                <w:ilvl w:val="0"/>
                <w:numId w:val="0"/>
              </w:numPr>
              <w:kinsoku/>
              <w:wordWrap/>
              <w:overflowPunct/>
              <w:topLinePunct w:val="0"/>
              <w:autoSpaceDE/>
              <w:autoSpaceDN/>
              <w:bidi w:val="0"/>
              <w:spacing w:line="240" w:lineRule="auto"/>
              <w:ind w:left="0" w:leftChars="0" w:firstLine="0" w:firstLineChars="0"/>
              <w:jc w:val="left"/>
              <w:rPr>
                <w:rFonts w:hint="eastAsia" w:ascii="宋体" w:hAnsi="宋体" w:eastAsia="宋体" w:cs="宋体"/>
                <w:b w:val="0"/>
                <w:bCs w:val="0"/>
                <w:color w:val="auto"/>
                <w:kern w:val="2"/>
                <w:sz w:val="24"/>
                <w:szCs w:val="24"/>
                <w:highlight w:val="none"/>
                <w:vertAlign w:val="baseline"/>
                <w:lang w:val="en-US" w:eastAsia="zh-CN" w:bidi="ar-SA"/>
              </w:rPr>
            </w:pPr>
            <w:r>
              <w:rPr>
                <w:rFonts w:hint="eastAsia" w:ascii="宋体" w:hAnsi="宋体" w:eastAsia="宋体" w:cs="宋体"/>
                <w:b w:val="0"/>
                <w:bCs w:val="0"/>
                <w:color w:val="auto"/>
                <w:sz w:val="24"/>
                <w:szCs w:val="24"/>
                <w:highlight w:val="none"/>
                <w:lang w:val="en-US" w:eastAsia="zh-CN"/>
              </w:rPr>
              <w:t>T2:污水处理站及事故池、厌氧IC塔</w:t>
            </w:r>
          </w:p>
        </w:tc>
        <w:tc>
          <w:tcPr>
            <w:tcW w:w="1934"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N</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3</w:t>
            </w:r>
            <w:r>
              <w:rPr>
                <w:rFonts w:hint="eastAsia" w:ascii="宋体" w:hAnsi="宋体" w:eastAsia="宋体" w:cs="宋体"/>
                <w:color w:val="auto"/>
                <w:kern w:val="0"/>
                <w:sz w:val="24"/>
                <w:szCs w:val="24"/>
                <w:highlight w:val="none"/>
                <w:lang w:val="en-US" w:eastAsia="zh-CN"/>
              </w:rPr>
              <w:t>4</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40</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29.957</w:t>
            </w:r>
            <w:r>
              <w:rPr>
                <w:rFonts w:hint="eastAsia" w:ascii="宋体" w:hAnsi="宋体" w:eastAsia="宋体" w:cs="宋体"/>
                <w:color w:val="auto"/>
                <w:kern w:val="0"/>
                <w:sz w:val="24"/>
                <w:szCs w:val="24"/>
                <w:highlight w:val="none"/>
              </w:rPr>
              <w:t>''</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b w:val="0"/>
                <w:bCs w:val="0"/>
                <w:color w:val="auto"/>
                <w:spacing w:val="0"/>
                <w:kern w:val="2"/>
                <w:sz w:val="24"/>
                <w:szCs w:val="24"/>
                <w:highlight w:val="none"/>
                <w:vertAlign w:val="baseline"/>
                <w:lang w:val="zh-CN" w:eastAsia="zh-CN" w:bidi="ar-SA"/>
              </w:rPr>
            </w:pPr>
            <w:r>
              <w:rPr>
                <w:rFonts w:hint="eastAsia" w:ascii="宋体" w:hAnsi="宋体" w:eastAsia="宋体" w:cs="宋体"/>
                <w:color w:val="auto"/>
                <w:kern w:val="0"/>
                <w:sz w:val="24"/>
                <w:szCs w:val="24"/>
                <w:highlight w:val="none"/>
              </w:rPr>
              <w:t>E</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11</w:t>
            </w:r>
            <w:r>
              <w:rPr>
                <w:rFonts w:hint="eastAsia" w:ascii="宋体" w:hAnsi="宋体" w:eastAsia="宋体" w:cs="宋体"/>
                <w:color w:val="auto"/>
                <w:kern w:val="0"/>
                <w:sz w:val="24"/>
                <w:szCs w:val="24"/>
                <w:highlight w:val="none"/>
                <w:lang w:val="en-US" w:eastAsia="zh-CN"/>
              </w:rPr>
              <w:t>1</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35</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28.930</w:t>
            </w:r>
            <w:r>
              <w:rPr>
                <w:rFonts w:hint="eastAsia" w:ascii="宋体" w:hAnsi="宋体" w:eastAsia="宋体" w:cs="宋体"/>
                <w:color w:val="auto"/>
                <w:kern w:val="0"/>
                <w:sz w:val="24"/>
                <w:szCs w:val="24"/>
                <w:highlight w:val="none"/>
              </w:rPr>
              <w:t>''</w:t>
            </w:r>
          </w:p>
        </w:tc>
      </w:tr>
      <w:tr>
        <w:tblPrEx>
          <w:tblBorders>
            <w:top w:val="single" w:color="000000" w:sz="4" w:space="0"/>
            <w:left w:val="single" w:color="000000" w:sz="6" w:space="0"/>
            <w:bottom w:val="single" w:color="000000" w:sz="4" w:space="0"/>
            <w:right w:val="single" w:color="000000" w:sz="6" w:space="0"/>
            <w:insideH w:val="single" w:color="000000" w:sz="4" w:space="0"/>
            <w:insideV w:val="single" w:color="000000" w:sz="4" w:space="0"/>
          </w:tblBorders>
          <w:tblCellMar>
            <w:top w:w="0" w:type="dxa"/>
            <w:left w:w="108" w:type="dxa"/>
            <w:bottom w:w="0" w:type="dxa"/>
            <w:right w:w="108" w:type="dxa"/>
          </w:tblCellMar>
        </w:tblPrEx>
        <w:trPr>
          <w:trHeight w:val="807" w:hRule="atLeast"/>
          <w:jc w:val="center"/>
        </w:trPr>
        <w:tc>
          <w:tcPr>
            <w:tcW w:w="498" w:type="pct"/>
            <w:vMerge w:val="continue"/>
            <w:vAlign w:val="center"/>
          </w:tcPr>
          <w:p>
            <w:pPr>
              <w:keepNext w:val="0"/>
              <w:keepLines w:val="0"/>
              <w:pageBreakBefore w:val="0"/>
              <w:kinsoku/>
              <w:wordWrap/>
              <w:overflowPunct/>
              <w:topLinePunct w:val="0"/>
              <w:autoSpaceDE/>
              <w:autoSpaceDN/>
              <w:bidi w:val="0"/>
              <w:adjustRightInd/>
              <w:snapToGrid/>
              <w:ind w:left="0" w:right="0"/>
              <w:jc w:val="center"/>
              <w:textAlignment w:val="auto"/>
              <w:rPr>
                <w:rFonts w:hint="eastAsia" w:ascii="宋体" w:hAnsi="宋体" w:eastAsia="宋体" w:cs="宋体"/>
                <w:color w:val="auto"/>
                <w:sz w:val="24"/>
                <w:szCs w:val="24"/>
                <w:highlight w:val="none"/>
              </w:rPr>
            </w:pPr>
          </w:p>
        </w:tc>
        <w:tc>
          <w:tcPr>
            <w:tcW w:w="507" w:type="pct"/>
            <w:vAlign w:val="center"/>
          </w:tcPr>
          <w:p>
            <w:pPr>
              <w:keepNext w:val="0"/>
              <w:keepLines w:val="0"/>
              <w:pageBreakBefore w:val="0"/>
              <w:kinsoku/>
              <w:wordWrap/>
              <w:overflowPunct/>
              <w:topLinePunct w:val="0"/>
              <w:autoSpaceDE/>
              <w:autoSpaceDN/>
              <w:bidi w:val="0"/>
              <w:adjustRightInd/>
              <w:snapToGrid/>
              <w:ind w:left="0" w:right="0"/>
              <w:jc w:val="center"/>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3</w:t>
            </w:r>
          </w:p>
        </w:tc>
        <w:tc>
          <w:tcPr>
            <w:tcW w:w="2058" w:type="pct"/>
            <w:vAlign w:val="center"/>
          </w:tcPr>
          <w:p>
            <w:pPr>
              <w:keepNext w:val="0"/>
              <w:keepLines w:val="0"/>
              <w:pageBreakBefore w:val="0"/>
              <w:numPr>
                <w:ilvl w:val="0"/>
                <w:numId w:val="0"/>
              </w:numPr>
              <w:kinsoku/>
              <w:wordWrap/>
              <w:overflowPunct/>
              <w:topLinePunct w:val="0"/>
              <w:autoSpaceDE/>
              <w:autoSpaceDN/>
              <w:bidi w:val="0"/>
              <w:spacing w:line="240" w:lineRule="auto"/>
              <w:ind w:left="0" w:leftChars="0" w:firstLine="0" w:firstLineChars="0"/>
              <w:jc w:val="left"/>
              <w:rPr>
                <w:rFonts w:hint="eastAsia" w:ascii="宋体" w:hAnsi="宋体" w:eastAsia="宋体" w:cs="宋体"/>
                <w:b w:val="0"/>
                <w:bCs w:val="0"/>
                <w:color w:val="auto"/>
                <w:kern w:val="2"/>
                <w:sz w:val="24"/>
                <w:szCs w:val="24"/>
                <w:highlight w:val="none"/>
                <w:vertAlign w:val="baseline"/>
                <w:lang w:val="en-US" w:eastAsia="zh-CN" w:bidi="ar-SA"/>
              </w:rPr>
            </w:pPr>
            <w:r>
              <w:rPr>
                <w:rFonts w:hint="eastAsia" w:ascii="宋体" w:hAnsi="宋体" w:eastAsia="宋体" w:cs="宋体"/>
                <w:b w:val="0"/>
                <w:bCs w:val="0"/>
                <w:color w:val="auto"/>
                <w:sz w:val="24"/>
                <w:szCs w:val="24"/>
                <w:highlight w:val="none"/>
                <w:lang w:val="en-US" w:eastAsia="zh-CN"/>
              </w:rPr>
              <w:t>T3:综合车间及应急池、4-甲基二苯胺</w:t>
            </w:r>
          </w:p>
        </w:tc>
        <w:tc>
          <w:tcPr>
            <w:tcW w:w="1934"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N</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3</w:t>
            </w:r>
            <w:r>
              <w:rPr>
                <w:rFonts w:hint="eastAsia" w:ascii="宋体" w:hAnsi="宋体" w:eastAsia="宋体" w:cs="宋体"/>
                <w:color w:val="auto"/>
                <w:kern w:val="0"/>
                <w:sz w:val="24"/>
                <w:szCs w:val="24"/>
                <w:highlight w:val="none"/>
                <w:lang w:val="en-US" w:eastAsia="zh-CN"/>
              </w:rPr>
              <w:t>4</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40</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28.416</w:t>
            </w:r>
            <w:r>
              <w:rPr>
                <w:rFonts w:hint="eastAsia" w:ascii="宋体" w:hAnsi="宋体" w:eastAsia="宋体" w:cs="宋体"/>
                <w:color w:val="auto"/>
                <w:kern w:val="0"/>
                <w:sz w:val="24"/>
                <w:szCs w:val="24"/>
                <w:highlight w:val="none"/>
              </w:rPr>
              <w:t>''</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b w:val="0"/>
                <w:bCs w:val="0"/>
                <w:color w:val="auto"/>
                <w:spacing w:val="0"/>
                <w:kern w:val="2"/>
                <w:sz w:val="24"/>
                <w:szCs w:val="24"/>
                <w:highlight w:val="none"/>
                <w:vertAlign w:val="baseline"/>
                <w:lang w:val="zh-CN" w:eastAsia="zh-CN" w:bidi="ar-SA"/>
              </w:rPr>
            </w:pPr>
            <w:r>
              <w:rPr>
                <w:rFonts w:hint="eastAsia" w:ascii="宋体" w:hAnsi="宋体" w:eastAsia="宋体" w:cs="宋体"/>
                <w:color w:val="auto"/>
                <w:kern w:val="0"/>
                <w:sz w:val="24"/>
                <w:szCs w:val="24"/>
                <w:highlight w:val="none"/>
              </w:rPr>
              <w:t>E</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11</w:t>
            </w:r>
            <w:r>
              <w:rPr>
                <w:rFonts w:hint="eastAsia" w:ascii="宋体" w:hAnsi="宋体" w:eastAsia="宋体" w:cs="宋体"/>
                <w:color w:val="auto"/>
                <w:kern w:val="0"/>
                <w:sz w:val="24"/>
                <w:szCs w:val="24"/>
                <w:highlight w:val="none"/>
                <w:lang w:val="en-US" w:eastAsia="zh-CN"/>
              </w:rPr>
              <w:t>1</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35</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28.003</w:t>
            </w:r>
            <w:r>
              <w:rPr>
                <w:rFonts w:hint="eastAsia" w:ascii="宋体" w:hAnsi="宋体" w:eastAsia="宋体" w:cs="宋体"/>
                <w:color w:val="auto"/>
                <w:kern w:val="0"/>
                <w:sz w:val="24"/>
                <w:szCs w:val="24"/>
                <w:highlight w:val="none"/>
              </w:rPr>
              <w:t>''</w:t>
            </w:r>
          </w:p>
        </w:tc>
      </w:tr>
      <w:tr>
        <w:tblPrEx>
          <w:tblBorders>
            <w:top w:val="single" w:color="000000" w:sz="4" w:space="0"/>
            <w:left w:val="single" w:color="000000" w:sz="6" w:space="0"/>
            <w:bottom w:val="single" w:color="000000" w:sz="4" w:space="0"/>
            <w:right w:val="single" w:color="000000" w:sz="6" w:space="0"/>
            <w:insideH w:val="single" w:color="000000" w:sz="4" w:space="0"/>
            <w:insideV w:val="single" w:color="000000" w:sz="4" w:space="0"/>
          </w:tblBorders>
          <w:tblCellMar>
            <w:top w:w="0" w:type="dxa"/>
            <w:left w:w="108" w:type="dxa"/>
            <w:bottom w:w="0" w:type="dxa"/>
            <w:right w:w="108" w:type="dxa"/>
          </w:tblCellMar>
        </w:tblPrEx>
        <w:trPr>
          <w:trHeight w:val="807" w:hRule="atLeast"/>
          <w:jc w:val="center"/>
        </w:trPr>
        <w:tc>
          <w:tcPr>
            <w:tcW w:w="498" w:type="pct"/>
            <w:vMerge w:val="continue"/>
            <w:vAlign w:val="center"/>
          </w:tcPr>
          <w:p>
            <w:pPr>
              <w:keepNext w:val="0"/>
              <w:keepLines w:val="0"/>
              <w:pageBreakBefore w:val="0"/>
              <w:kinsoku/>
              <w:wordWrap/>
              <w:overflowPunct/>
              <w:topLinePunct w:val="0"/>
              <w:autoSpaceDE/>
              <w:autoSpaceDN/>
              <w:bidi w:val="0"/>
              <w:adjustRightInd/>
              <w:snapToGrid/>
              <w:ind w:left="0" w:right="0"/>
              <w:jc w:val="center"/>
              <w:textAlignment w:val="auto"/>
              <w:rPr>
                <w:rFonts w:hint="eastAsia" w:ascii="宋体" w:hAnsi="宋体" w:eastAsia="宋体" w:cs="宋体"/>
                <w:color w:val="auto"/>
                <w:sz w:val="24"/>
                <w:szCs w:val="24"/>
                <w:highlight w:val="none"/>
              </w:rPr>
            </w:pPr>
          </w:p>
        </w:tc>
        <w:tc>
          <w:tcPr>
            <w:tcW w:w="507" w:type="pct"/>
            <w:vAlign w:val="center"/>
          </w:tcPr>
          <w:p>
            <w:pPr>
              <w:keepNext w:val="0"/>
              <w:keepLines w:val="0"/>
              <w:pageBreakBefore w:val="0"/>
              <w:kinsoku/>
              <w:wordWrap/>
              <w:overflowPunct/>
              <w:topLinePunct w:val="0"/>
              <w:autoSpaceDE/>
              <w:autoSpaceDN/>
              <w:bidi w:val="0"/>
              <w:adjustRightInd/>
              <w:snapToGrid/>
              <w:ind w:left="0" w:right="0"/>
              <w:jc w:val="center"/>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4</w:t>
            </w:r>
          </w:p>
        </w:tc>
        <w:tc>
          <w:tcPr>
            <w:tcW w:w="2058" w:type="pct"/>
            <w:vAlign w:val="center"/>
          </w:tcPr>
          <w:p>
            <w:pPr>
              <w:keepNext w:val="0"/>
              <w:keepLines w:val="0"/>
              <w:pageBreakBefore w:val="0"/>
              <w:numPr>
                <w:ilvl w:val="0"/>
                <w:numId w:val="0"/>
              </w:numPr>
              <w:kinsoku/>
              <w:wordWrap/>
              <w:overflowPunct/>
              <w:topLinePunct w:val="0"/>
              <w:autoSpaceDE/>
              <w:autoSpaceDN/>
              <w:bidi w:val="0"/>
              <w:spacing w:line="240" w:lineRule="auto"/>
              <w:ind w:left="0" w:leftChars="0" w:firstLine="0" w:firstLineChars="0"/>
              <w:jc w:val="left"/>
              <w:rPr>
                <w:rFonts w:hint="eastAsia" w:ascii="宋体" w:hAnsi="宋体" w:eastAsia="宋体" w:cs="宋体"/>
                <w:b w:val="0"/>
                <w:bCs w:val="0"/>
                <w:color w:val="auto"/>
                <w:kern w:val="2"/>
                <w:sz w:val="24"/>
                <w:szCs w:val="24"/>
                <w:highlight w:val="none"/>
                <w:vertAlign w:val="baseline"/>
                <w:lang w:val="en-US" w:eastAsia="zh-CN" w:bidi="ar-SA"/>
              </w:rPr>
            </w:pPr>
            <w:r>
              <w:rPr>
                <w:rFonts w:hint="eastAsia" w:ascii="宋体" w:hAnsi="宋体" w:eastAsia="宋体" w:cs="宋体"/>
                <w:b w:val="0"/>
                <w:bCs w:val="0"/>
                <w:color w:val="auto"/>
                <w:sz w:val="24"/>
                <w:szCs w:val="24"/>
                <w:highlight w:val="none"/>
                <w:lang w:val="en-US" w:eastAsia="zh-CN"/>
              </w:rPr>
              <w:t>T4:固废、危废暂存间</w:t>
            </w:r>
          </w:p>
        </w:tc>
        <w:tc>
          <w:tcPr>
            <w:tcW w:w="1934"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N</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3</w:t>
            </w:r>
            <w:r>
              <w:rPr>
                <w:rFonts w:hint="eastAsia" w:ascii="宋体" w:hAnsi="宋体" w:eastAsia="宋体" w:cs="宋体"/>
                <w:color w:val="auto"/>
                <w:kern w:val="0"/>
                <w:sz w:val="24"/>
                <w:szCs w:val="24"/>
                <w:highlight w:val="none"/>
                <w:lang w:val="en-US" w:eastAsia="zh-CN"/>
              </w:rPr>
              <w:t>4</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40</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27.146</w:t>
            </w:r>
            <w:r>
              <w:rPr>
                <w:rFonts w:hint="eastAsia" w:ascii="宋体" w:hAnsi="宋体" w:eastAsia="宋体" w:cs="宋体"/>
                <w:color w:val="auto"/>
                <w:kern w:val="0"/>
                <w:sz w:val="24"/>
                <w:szCs w:val="24"/>
                <w:highlight w:val="none"/>
              </w:rPr>
              <w:t>''</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b w:val="0"/>
                <w:bCs w:val="0"/>
                <w:color w:val="auto"/>
                <w:spacing w:val="0"/>
                <w:kern w:val="2"/>
                <w:sz w:val="24"/>
                <w:szCs w:val="24"/>
                <w:highlight w:val="none"/>
                <w:vertAlign w:val="baseline"/>
                <w:lang w:val="zh-CN" w:eastAsia="zh-CN" w:bidi="ar-SA"/>
              </w:rPr>
            </w:pPr>
            <w:r>
              <w:rPr>
                <w:rFonts w:hint="eastAsia" w:ascii="宋体" w:hAnsi="宋体" w:eastAsia="宋体" w:cs="宋体"/>
                <w:color w:val="auto"/>
                <w:kern w:val="0"/>
                <w:sz w:val="24"/>
                <w:szCs w:val="24"/>
                <w:highlight w:val="none"/>
              </w:rPr>
              <w:t>E</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11</w:t>
            </w:r>
            <w:r>
              <w:rPr>
                <w:rFonts w:hint="eastAsia" w:ascii="宋体" w:hAnsi="宋体" w:eastAsia="宋体" w:cs="宋体"/>
                <w:color w:val="auto"/>
                <w:kern w:val="0"/>
                <w:sz w:val="24"/>
                <w:szCs w:val="24"/>
                <w:highlight w:val="none"/>
                <w:lang w:val="en-US" w:eastAsia="zh-CN"/>
              </w:rPr>
              <w:t>1</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35</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28.100</w:t>
            </w:r>
            <w:r>
              <w:rPr>
                <w:rFonts w:hint="eastAsia" w:ascii="宋体" w:hAnsi="宋体" w:eastAsia="宋体" w:cs="宋体"/>
                <w:color w:val="auto"/>
                <w:kern w:val="0"/>
                <w:sz w:val="24"/>
                <w:szCs w:val="24"/>
                <w:highlight w:val="none"/>
              </w:rPr>
              <w:t>''</w:t>
            </w:r>
          </w:p>
        </w:tc>
      </w:tr>
      <w:tr>
        <w:tblPrEx>
          <w:tblBorders>
            <w:top w:val="single" w:color="000000" w:sz="4" w:space="0"/>
            <w:left w:val="single" w:color="000000" w:sz="6" w:space="0"/>
            <w:bottom w:val="single" w:color="000000" w:sz="4" w:space="0"/>
            <w:right w:val="single" w:color="000000" w:sz="6" w:space="0"/>
            <w:insideH w:val="single" w:color="000000" w:sz="4" w:space="0"/>
            <w:insideV w:val="single" w:color="000000" w:sz="4" w:space="0"/>
          </w:tblBorders>
          <w:tblCellMar>
            <w:top w:w="0" w:type="dxa"/>
            <w:left w:w="108" w:type="dxa"/>
            <w:bottom w:w="0" w:type="dxa"/>
            <w:right w:w="108" w:type="dxa"/>
          </w:tblCellMar>
        </w:tblPrEx>
        <w:trPr>
          <w:trHeight w:val="807" w:hRule="atLeast"/>
          <w:jc w:val="center"/>
        </w:trPr>
        <w:tc>
          <w:tcPr>
            <w:tcW w:w="498" w:type="pct"/>
            <w:vMerge w:val="continue"/>
            <w:vAlign w:val="center"/>
          </w:tcPr>
          <w:p>
            <w:pPr>
              <w:keepNext w:val="0"/>
              <w:keepLines w:val="0"/>
              <w:pageBreakBefore w:val="0"/>
              <w:kinsoku/>
              <w:wordWrap/>
              <w:overflowPunct/>
              <w:topLinePunct w:val="0"/>
              <w:autoSpaceDE/>
              <w:autoSpaceDN/>
              <w:bidi w:val="0"/>
              <w:adjustRightInd/>
              <w:snapToGrid/>
              <w:ind w:left="0" w:right="0"/>
              <w:jc w:val="center"/>
              <w:textAlignment w:val="auto"/>
              <w:rPr>
                <w:rFonts w:hint="eastAsia" w:ascii="宋体" w:hAnsi="宋体" w:eastAsia="宋体" w:cs="宋体"/>
                <w:color w:val="auto"/>
                <w:sz w:val="24"/>
                <w:szCs w:val="24"/>
                <w:highlight w:val="none"/>
              </w:rPr>
            </w:pPr>
          </w:p>
        </w:tc>
        <w:tc>
          <w:tcPr>
            <w:tcW w:w="507" w:type="pct"/>
            <w:vAlign w:val="center"/>
          </w:tcPr>
          <w:p>
            <w:pPr>
              <w:keepNext w:val="0"/>
              <w:keepLines w:val="0"/>
              <w:pageBreakBefore w:val="0"/>
              <w:kinsoku/>
              <w:wordWrap/>
              <w:overflowPunct/>
              <w:topLinePunct w:val="0"/>
              <w:autoSpaceDE/>
              <w:autoSpaceDN/>
              <w:bidi w:val="0"/>
              <w:adjustRightInd/>
              <w:snapToGrid/>
              <w:ind w:left="0" w:right="0"/>
              <w:jc w:val="center"/>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5</w:t>
            </w:r>
          </w:p>
        </w:tc>
        <w:tc>
          <w:tcPr>
            <w:tcW w:w="2058" w:type="pct"/>
            <w:vAlign w:val="center"/>
          </w:tcPr>
          <w:p>
            <w:pPr>
              <w:keepNext w:val="0"/>
              <w:keepLines w:val="0"/>
              <w:pageBreakBefore w:val="0"/>
              <w:numPr>
                <w:ilvl w:val="0"/>
                <w:numId w:val="0"/>
              </w:numPr>
              <w:kinsoku/>
              <w:wordWrap/>
              <w:overflowPunct/>
              <w:topLinePunct w:val="0"/>
              <w:autoSpaceDE/>
              <w:autoSpaceDN/>
              <w:bidi w:val="0"/>
              <w:spacing w:line="240" w:lineRule="auto"/>
              <w:ind w:left="0" w:leftChars="0" w:firstLine="0" w:firstLineChars="0"/>
              <w:jc w:val="left"/>
              <w:rPr>
                <w:rFonts w:hint="eastAsia" w:ascii="宋体" w:hAnsi="宋体" w:eastAsia="宋体" w:cs="宋体"/>
                <w:b w:val="0"/>
                <w:bCs w:val="0"/>
                <w:color w:val="auto"/>
                <w:kern w:val="2"/>
                <w:sz w:val="24"/>
                <w:szCs w:val="24"/>
                <w:highlight w:val="none"/>
                <w:vertAlign w:val="baseline"/>
                <w:lang w:val="en-US" w:eastAsia="zh-CN" w:bidi="ar-SA"/>
              </w:rPr>
            </w:pPr>
            <w:r>
              <w:rPr>
                <w:rFonts w:hint="eastAsia" w:ascii="宋体" w:hAnsi="宋体" w:eastAsia="宋体" w:cs="宋体"/>
                <w:b w:val="0"/>
                <w:bCs w:val="0"/>
                <w:color w:val="auto"/>
                <w:sz w:val="24"/>
                <w:szCs w:val="24"/>
                <w:highlight w:val="none"/>
                <w:lang w:val="en-US" w:eastAsia="zh-CN"/>
              </w:rPr>
              <w:t>T5:1-4酸钠盐、尼文酸车间、1#2#仓库</w:t>
            </w:r>
          </w:p>
        </w:tc>
        <w:tc>
          <w:tcPr>
            <w:tcW w:w="1934"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N</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3</w:t>
            </w:r>
            <w:r>
              <w:rPr>
                <w:rFonts w:hint="eastAsia" w:ascii="宋体" w:hAnsi="宋体" w:eastAsia="宋体" w:cs="宋体"/>
                <w:color w:val="auto"/>
                <w:kern w:val="0"/>
                <w:sz w:val="24"/>
                <w:szCs w:val="24"/>
                <w:highlight w:val="none"/>
                <w:lang w:val="en-US" w:eastAsia="zh-CN"/>
              </w:rPr>
              <w:t>4</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40</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30.767</w:t>
            </w:r>
            <w:r>
              <w:rPr>
                <w:rFonts w:hint="eastAsia" w:ascii="宋体" w:hAnsi="宋体" w:eastAsia="宋体" w:cs="宋体"/>
                <w:color w:val="auto"/>
                <w:kern w:val="0"/>
                <w:sz w:val="24"/>
                <w:szCs w:val="24"/>
                <w:highlight w:val="none"/>
              </w:rPr>
              <w:t>''</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b w:val="0"/>
                <w:bCs w:val="0"/>
                <w:color w:val="auto"/>
                <w:spacing w:val="0"/>
                <w:kern w:val="2"/>
                <w:sz w:val="24"/>
                <w:szCs w:val="24"/>
                <w:highlight w:val="none"/>
                <w:vertAlign w:val="baseline"/>
                <w:lang w:val="zh-CN" w:eastAsia="zh-CN" w:bidi="ar-SA"/>
              </w:rPr>
            </w:pPr>
            <w:r>
              <w:rPr>
                <w:rFonts w:hint="eastAsia" w:ascii="宋体" w:hAnsi="宋体" w:eastAsia="宋体" w:cs="宋体"/>
                <w:color w:val="auto"/>
                <w:kern w:val="0"/>
                <w:sz w:val="24"/>
                <w:szCs w:val="24"/>
                <w:highlight w:val="none"/>
              </w:rPr>
              <w:t>E</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11</w:t>
            </w:r>
            <w:r>
              <w:rPr>
                <w:rFonts w:hint="eastAsia" w:ascii="宋体" w:hAnsi="宋体" w:eastAsia="宋体" w:cs="宋体"/>
                <w:color w:val="auto"/>
                <w:kern w:val="0"/>
                <w:sz w:val="24"/>
                <w:szCs w:val="24"/>
                <w:highlight w:val="none"/>
                <w:lang w:val="en-US" w:eastAsia="zh-CN"/>
              </w:rPr>
              <w:t>1</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35</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19.661</w:t>
            </w:r>
            <w:r>
              <w:rPr>
                <w:rFonts w:hint="eastAsia" w:ascii="宋体" w:hAnsi="宋体" w:eastAsia="宋体" w:cs="宋体"/>
                <w:color w:val="auto"/>
                <w:kern w:val="0"/>
                <w:sz w:val="24"/>
                <w:szCs w:val="24"/>
                <w:highlight w:val="none"/>
              </w:rPr>
              <w:t>''</w:t>
            </w:r>
          </w:p>
        </w:tc>
      </w:tr>
      <w:tr>
        <w:tblPrEx>
          <w:tblBorders>
            <w:top w:val="single" w:color="000000" w:sz="4" w:space="0"/>
            <w:left w:val="single" w:color="000000" w:sz="6" w:space="0"/>
            <w:bottom w:val="single" w:color="000000" w:sz="4" w:space="0"/>
            <w:right w:val="single" w:color="000000" w:sz="6" w:space="0"/>
            <w:insideH w:val="single" w:color="000000" w:sz="4" w:space="0"/>
            <w:insideV w:val="single" w:color="000000" w:sz="4" w:space="0"/>
          </w:tblBorders>
          <w:tblCellMar>
            <w:top w:w="0" w:type="dxa"/>
            <w:left w:w="108" w:type="dxa"/>
            <w:bottom w:w="0" w:type="dxa"/>
            <w:right w:w="108" w:type="dxa"/>
          </w:tblCellMar>
        </w:tblPrEx>
        <w:trPr>
          <w:trHeight w:val="817" w:hRule="atLeast"/>
          <w:jc w:val="center"/>
        </w:trPr>
        <w:tc>
          <w:tcPr>
            <w:tcW w:w="498" w:type="pct"/>
            <w:vMerge w:val="continue"/>
            <w:vAlign w:val="center"/>
          </w:tcPr>
          <w:p>
            <w:pPr>
              <w:keepNext w:val="0"/>
              <w:keepLines w:val="0"/>
              <w:pageBreakBefore w:val="0"/>
              <w:kinsoku/>
              <w:wordWrap/>
              <w:overflowPunct/>
              <w:topLinePunct w:val="0"/>
              <w:autoSpaceDE/>
              <w:autoSpaceDN/>
              <w:bidi w:val="0"/>
              <w:adjustRightInd/>
              <w:snapToGrid/>
              <w:ind w:left="0" w:right="0"/>
              <w:jc w:val="center"/>
              <w:textAlignment w:val="auto"/>
              <w:rPr>
                <w:rFonts w:hint="eastAsia" w:ascii="宋体" w:hAnsi="宋体" w:eastAsia="宋体" w:cs="宋体"/>
                <w:color w:val="auto"/>
                <w:sz w:val="24"/>
                <w:szCs w:val="24"/>
                <w:highlight w:val="none"/>
              </w:rPr>
            </w:pPr>
          </w:p>
        </w:tc>
        <w:tc>
          <w:tcPr>
            <w:tcW w:w="507" w:type="pct"/>
            <w:vAlign w:val="center"/>
          </w:tcPr>
          <w:p>
            <w:pPr>
              <w:keepNext w:val="0"/>
              <w:keepLines w:val="0"/>
              <w:pageBreakBefore w:val="0"/>
              <w:kinsoku/>
              <w:wordWrap/>
              <w:overflowPunct/>
              <w:topLinePunct w:val="0"/>
              <w:autoSpaceDE/>
              <w:autoSpaceDN/>
              <w:bidi w:val="0"/>
              <w:adjustRightInd/>
              <w:snapToGrid/>
              <w:ind w:left="0" w:right="0"/>
              <w:jc w:val="center"/>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6</w:t>
            </w:r>
          </w:p>
        </w:tc>
        <w:tc>
          <w:tcPr>
            <w:tcW w:w="2058" w:type="pct"/>
            <w:vAlign w:val="center"/>
          </w:tcPr>
          <w:p>
            <w:pPr>
              <w:keepNext w:val="0"/>
              <w:keepLines w:val="0"/>
              <w:pageBreakBefore w:val="0"/>
              <w:numPr>
                <w:ilvl w:val="0"/>
                <w:numId w:val="0"/>
              </w:numPr>
              <w:kinsoku/>
              <w:wordWrap/>
              <w:overflowPunct/>
              <w:topLinePunct w:val="0"/>
              <w:autoSpaceDE/>
              <w:autoSpaceDN/>
              <w:bidi w:val="0"/>
              <w:spacing w:line="240" w:lineRule="auto"/>
              <w:ind w:left="0" w:leftChars="0" w:firstLine="0" w:firstLineChars="0"/>
              <w:jc w:val="left"/>
              <w:rPr>
                <w:rFonts w:hint="eastAsia" w:ascii="宋体" w:hAnsi="宋体" w:eastAsia="宋体" w:cs="宋体"/>
                <w:b w:val="0"/>
                <w:bCs w:val="0"/>
                <w:color w:val="auto"/>
                <w:kern w:val="2"/>
                <w:sz w:val="24"/>
                <w:szCs w:val="24"/>
                <w:highlight w:val="none"/>
                <w:vertAlign w:val="baseline"/>
                <w:lang w:val="en-US" w:eastAsia="zh-CN" w:bidi="ar-SA"/>
              </w:rPr>
            </w:pPr>
            <w:r>
              <w:rPr>
                <w:rFonts w:hint="eastAsia" w:ascii="宋体" w:hAnsi="宋体" w:eastAsia="宋体" w:cs="宋体"/>
                <w:b w:val="0"/>
                <w:bCs w:val="0"/>
                <w:color w:val="auto"/>
                <w:sz w:val="24"/>
                <w:szCs w:val="24"/>
                <w:highlight w:val="none"/>
                <w:lang w:val="en-US" w:eastAsia="zh-CN"/>
              </w:rPr>
              <w:t>T6:甲酸乙酯车间、仓库及应急池、乙醇甲酸地埋罐</w:t>
            </w:r>
          </w:p>
        </w:tc>
        <w:tc>
          <w:tcPr>
            <w:tcW w:w="1934"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N</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3</w:t>
            </w:r>
            <w:r>
              <w:rPr>
                <w:rFonts w:hint="eastAsia" w:ascii="宋体" w:hAnsi="宋体" w:eastAsia="宋体" w:cs="宋体"/>
                <w:color w:val="auto"/>
                <w:kern w:val="0"/>
                <w:sz w:val="24"/>
                <w:szCs w:val="24"/>
                <w:highlight w:val="none"/>
                <w:lang w:val="en-US" w:eastAsia="zh-CN"/>
              </w:rPr>
              <w:t>4</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40</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29.480</w:t>
            </w:r>
            <w:r>
              <w:rPr>
                <w:rFonts w:hint="eastAsia" w:ascii="宋体" w:hAnsi="宋体" w:eastAsia="宋体" w:cs="宋体"/>
                <w:color w:val="auto"/>
                <w:kern w:val="0"/>
                <w:sz w:val="24"/>
                <w:szCs w:val="24"/>
                <w:highlight w:val="none"/>
              </w:rPr>
              <w:t>''</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b w:val="0"/>
                <w:bCs w:val="0"/>
                <w:color w:val="auto"/>
                <w:spacing w:val="0"/>
                <w:kern w:val="2"/>
                <w:sz w:val="24"/>
                <w:szCs w:val="24"/>
                <w:highlight w:val="none"/>
                <w:vertAlign w:val="baseline"/>
                <w:lang w:val="zh-CN" w:eastAsia="zh-CN" w:bidi="ar-SA"/>
              </w:rPr>
            </w:pPr>
            <w:r>
              <w:rPr>
                <w:rFonts w:hint="eastAsia" w:ascii="宋体" w:hAnsi="宋体" w:eastAsia="宋体" w:cs="宋体"/>
                <w:color w:val="auto"/>
                <w:kern w:val="0"/>
                <w:sz w:val="24"/>
                <w:szCs w:val="24"/>
                <w:highlight w:val="none"/>
              </w:rPr>
              <w:t>E</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11</w:t>
            </w:r>
            <w:r>
              <w:rPr>
                <w:rFonts w:hint="eastAsia" w:ascii="宋体" w:hAnsi="宋体" w:eastAsia="宋体" w:cs="宋体"/>
                <w:color w:val="auto"/>
                <w:kern w:val="0"/>
                <w:sz w:val="24"/>
                <w:szCs w:val="24"/>
                <w:highlight w:val="none"/>
                <w:lang w:val="en-US" w:eastAsia="zh-CN"/>
              </w:rPr>
              <w:t>1</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35</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22.422</w:t>
            </w:r>
            <w:r>
              <w:rPr>
                <w:rFonts w:hint="eastAsia" w:ascii="宋体" w:hAnsi="宋体" w:eastAsia="宋体" w:cs="宋体"/>
                <w:color w:val="auto"/>
                <w:kern w:val="0"/>
                <w:sz w:val="24"/>
                <w:szCs w:val="24"/>
                <w:highlight w:val="none"/>
              </w:rPr>
              <w:t>''</w:t>
            </w:r>
          </w:p>
        </w:tc>
      </w:tr>
      <w:tr>
        <w:tblPrEx>
          <w:tblBorders>
            <w:top w:val="single" w:color="000000" w:sz="4" w:space="0"/>
            <w:left w:val="single" w:color="000000" w:sz="6" w:space="0"/>
            <w:bottom w:val="single" w:color="000000" w:sz="4" w:space="0"/>
            <w:right w:val="single" w:color="000000" w:sz="6" w:space="0"/>
            <w:insideH w:val="single" w:color="000000" w:sz="4" w:space="0"/>
            <w:insideV w:val="single" w:color="000000" w:sz="4" w:space="0"/>
          </w:tblBorders>
          <w:tblCellMar>
            <w:top w:w="0" w:type="dxa"/>
            <w:left w:w="108" w:type="dxa"/>
            <w:bottom w:w="0" w:type="dxa"/>
            <w:right w:w="108" w:type="dxa"/>
          </w:tblCellMar>
        </w:tblPrEx>
        <w:trPr>
          <w:trHeight w:val="817" w:hRule="atLeast"/>
          <w:jc w:val="center"/>
        </w:trPr>
        <w:tc>
          <w:tcPr>
            <w:tcW w:w="498" w:type="pct"/>
            <w:vMerge w:val="continue"/>
            <w:vAlign w:val="center"/>
          </w:tcPr>
          <w:p>
            <w:pPr>
              <w:keepNext w:val="0"/>
              <w:keepLines w:val="0"/>
              <w:pageBreakBefore w:val="0"/>
              <w:kinsoku/>
              <w:wordWrap/>
              <w:overflowPunct/>
              <w:topLinePunct w:val="0"/>
              <w:autoSpaceDE/>
              <w:autoSpaceDN/>
              <w:bidi w:val="0"/>
              <w:adjustRightInd/>
              <w:snapToGrid/>
              <w:ind w:left="0" w:right="0"/>
              <w:jc w:val="center"/>
              <w:textAlignment w:val="auto"/>
              <w:rPr>
                <w:rFonts w:hint="eastAsia" w:ascii="宋体" w:hAnsi="宋体" w:eastAsia="宋体" w:cs="宋体"/>
                <w:color w:val="auto"/>
                <w:sz w:val="24"/>
                <w:szCs w:val="24"/>
                <w:highlight w:val="none"/>
              </w:rPr>
            </w:pPr>
            <w:bookmarkStart w:id="215" w:name="_Toc8729"/>
            <w:bookmarkStart w:id="216" w:name="_Toc20812"/>
          </w:p>
        </w:tc>
        <w:tc>
          <w:tcPr>
            <w:tcW w:w="0" w:type="auto"/>
            <w:vAlign w:val="center"/>
          </w:tcPr>
          <w:p>
            <w:pPr>
              <w:keepNext w:val="0"/>
              <w:keepLines w:val="0"/>
              <w:pageBreakBefore w:val="0"/>
              <w:kinsoku/>
              <w:wordWrap/>
              <w:overflowPunct/>
              <w:topLinePunct w:val="0"/>
              <w:autoSpaceDE/>
              <w:autoSpaceDN/>
              <w:bidi w:val="0"/>
              <w:adjustRightInd/>
              <w:snapToGrid/>
              <w:ind w:left="0" w:right="0"/>
              <w:jc w:val="center"/>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7</w:t>
            </w:r>
          </w:p>
        </w:tc>
        <w:tc>
          <w:tcPr>
            <w:tcW w:w="0" w:type="auto"/>
            <w:vAlign w:val="center"/>
          </w:tcPr>
          <w:p>
            <w:pPr>
              <w:keepNext w:val="0"/>
              <w:keepLines w:val="0"/>
              <w:pageBreakBefore w:val="0"/>
              <w:numPr>
                <w:ilvl w:val="0"/>
                <w:numId w:val="0"/>
              </w:numPr>
              <w:kinsoku/>
              <w:wordWrap/>
              <w:overflowPunct/>
              <w:topLinePunct w:val="0"/>
              <w:autoSpaceDE/>
              <w:autoSpaceDN/>
              <w:bidi w:val="0"/>
              <w:spacing w:line="240" w:lineRule="auto"/>
              <w:ind w:left="0" w:leftChars="0" w:firstLine="0" w:firstLineChars="0"/>
              <w:jc w:val="left"/>
              <w:rPr>
                <w:rFonts w:hint="eastAsia" w:ascii="宋体" w:hAnsi="宋体" w:eastAsia="宋体" w:cs="宋体"/>
                <w:b w:val="0"/>
                <w:bCs w:val="0"/>
                <w:color w:val="auto"/>
                <w:kern w:val="2"/>
                <w:sz w:val="24"/>
                <w:szCs w:val="24"/>
                <w:highlight w:val="none"/>
                <w:vertAlign w:val="baseline"/>
                <w:lang w:val="en-US" w:eastAsia="zh-CN" w:bidi="ar-SA"/>
              </w:rPr>
            </w:pPr>
            <w:r>
              <w:rPr>
                <w:rFonts w:hint="eastAsia" w:ascii="宋体" w:hAnsi="宋体" w:eastAsia="宋体" w:cs="宋体"/>
                <w:b w:val="0"/>
                <w:bCs w:val="0"/>
                <w:color w:val="auto"/>
                <w:sz w:val="24"/>
                <w:szCs w:val="24"/>
                <w:highlight w:val="none"/>
                <w:lang w:val="en-US" w:eastAsia="zh-CN"/>
              </w:rPr>
              <w:t>T7:溴化氢车间（乙酸溶液）、二氯甲烷、双氧水、溴素储罐区</w:t>
            </w:r>
          </w:p>
        </w:tc>
        <w:tc>
          <w:tcPr>
            <w:tcW w:w="1934"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N</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3</w:t>
            </w:r>
            <w:r>
              <w:rPr>
                <w:rFonts w:hint="eastAsia" w:ascii="宋体" w:hAnsi="宋体" w:eastAsia="宋体" w:cs="宋体"/>
                <w:color w:val="auto"/>
                <w:kern w:val="0"/>
                <w:sz w:val="24"/>
                <w:szCs w:val="24"/>
                <w:highlight w:val="none"/>
                <w:lang w:val="en-US" w:eastAsia="zh-CN"/>
              </w:rPr>
              <w:t>4</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40</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27.130</w:t>
            </w:r>
            <w:r>
              <w:rPr>
                <w:rFonts w:hint="eastAsia" w:ascii="宋体" w:hAnsi="宋体" w:eastAsia="宋体" w:cs="宋体"/>
                <w:color w:val="auto"/>
                <w:kern w:val="0"/>
                <w:sz w:val="24"/>
                <w:szCs w:val="24"/>
                <w:highlight w:val="none"/>
              </w:rPr>
              <w:t>''</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b w:val="0"/>
                <w:bCs w:val="0"/>
                <w:color w:val="auto"/>
                <w:spacing w:val="0"/>
                <w:kern w:val="2"/>
                <w:sz w:val="24"/>
                <w:szCs w:val="24"/>
                <w:highlight w:val="none"/>
                <w:vertAlign w:val="baseline"/>
                <w:lang w:val="zh-CN" w:eastAsia="zh-CN" w:bidi="ar-SA"/>
              </w:rPr>
            </w:pPr>
            <w:r>
              <w:rPr>
                <w:rFonts w:hint="eastAsia" w:ascii="宋体" w:hAnsi="宋体" w:eastAsia="宋体" w:cs="宋体"/>
                <w:color w:val="auto"/>
                <w:kern w:val="0"/>
                <w:sz w:val="24"/>
                <w:szCs w:val="24"/>
                <w:highlight w:val="none"/>
              </w:rPr>
              <w:t>E</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11</w:t>
            </w:r>
            <w:r>
              <w:rPr>
                <w:rFonts w:hint="eastAsia" w:ascii="宋体" w:hAnsi="宋体" w:eastAsia="宋体" w:cs="宋体"/>
                <w:color w:val="auto"/>
                <w:kern w:val="0"/>
                <w:sz w:val="24"/>
                <w:szCs w:val="24"/>
                <w:highlight w:val="none"/>
                <w:lang w:val="en-US" w:eastAsia="zh-CN"/>
              </w:rPr>
              <w:t>1</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35</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25.512</w:t>
            </w:r>
            <w:r>
              <w:rPr>
                <w:rFonts w:hint="eastAsia" w:ascii="宋体" w:hAnsi="宋体" w:eastAsia="宋体" w:cs="宋体"/>
                <w:color w:val="auto"/>
                <w:kern w:val="0"/>
                <w:sz w:val="24"/>
                <w:szCs w:val="24"/>
                <w:highlight w:val="none"/>
              </w:rPr>
              <w:t>''</w:t>
            </w:r>
          </w:p>
        </w:tc>
      </w:tr>
      <w:tr>
        <w:tblPrEx>
          <w:tblBorders>
            <w:top w:val="single" w:color="000000" w:sz="4" w:space="0"/>
            <w:left w:val="single" w:color="000000" w:sz="6" w:space="0"/>
            <w:bottom w:val="single" w:color="000000" w:sz="4" w:space="0"/>
            <w:right w:val="single" w:color="000000" w:sz="6" w:space="0"/>
            <w:insideH w:val="single" w:color="000000" w:sz="4" w:space="0"/>
            <w:insideV w:val="single" w:color="000000" w:sz="4" w:space="0"/>
          </w:tblBorders>
          <w:tblCellMar>
            <w:top w:w="0" w:type="dxa"/>
            <w:left w:w="108" w:type="dxa"/>
            <w:bottom w:w="0" w:type="dxa"/>
            <w:right w:w="108" w:type="dxa"/>
          </w:tblCellMar>
        </w:tblPrEx>
        <w:trPr>
          <w:trHeight w:val="817" w:hRule="atLeast"/>
          <w:jc w:val="center"/>
        </w:trPr>
        <w:tc>
          <w:tcPr>
            <w:tcW w:w="498" w:type="pct"/>
            <w:vMerge w:val="continue"/>
            <w:vAlign w:val="center"/>
          </w:tcPr>
          <w:p>
            <w:pPr>
              <w:keepNext w:val="0"/>
              <w:keepLines w:val="0"/>
              <w:pageBreakBefore w:val="0"/>
              <w:kinsoku/>
              <w:wordWrap/>
              <w:overflowPunct/>
              <w:topLinePunct w:val="0"/>
              <w:autoSpaceDE/>
              <w:autoSpaceDN/>
              <w:bidi w:val="0"/>
              <w:adjustRightInd/>
              <w:snapToGrid/>
              <w:ind w:left="0" w:right="0"/>
              <w:jc w:val="center"/>
              <w:textAlignment w:val="auto"/>
              <w:rPr>
                <w:rFonts w:hint="eastAsia" w:ascii="宋体" w:hAnsi="宋体" w:eastAsia="宋体" w:cs="宋体"/>
                <w:color w:val="auto"/>
                <w:sz w:val="24"/>
                <w:szCs w:val="24"/>
                <w:highlight w:val="none"/>
              </w:rPr>
            </w:pPr>
          </w:p>
        </w:tc>
        <w:tc>
          <w:tcPr>
            <w:tcW w:w="0" w:type="auto"/>
            <w:vAlign w:val="center"/>
          </w:tcPr>
          <w:p>
            <w:pPr>
              <w:keepNext w:val="0"/>
              <w:keepLines w:val="0"/>
              <w:pageBreakBefore w:val="0"/>
              <w:kinsoku/>
              <w:wordWrap/>
              <w:overflowPunct/>
              <w:topLinePunct w:val="0"/>
              <w:autoSpaceDE/>
              <w:autoSpaceDN/>
              <w:bidi w:val="0"/>
              <w:adjustRightInd/>
              <w:snapToGrid/>
              <w:ind w:left="0" w:right="0"/>
              <w:jc w:val="center"/>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8</w:t>
            </w:r>
          </w:p>
        </w:tc>
        <w:tc>
          <w:tcPr>
            <w:tcW w:w="0" w:type="auto"/>
            <w:vAlign w:val="center"/>
          </w:tcPr>
          <w:p>
            <w:pPr>
              <w:keepNext w:val="0"/>
              <w:keepLines w:val="0"/>
              <w:pageBreakBefore w:val="0"/>
              <w:numPr>
                <w:ilvl w:val="0"/>
                <w:numId w:val="0"/>
              </w:numPr>
              <w:kinsoku/>
              <w:wordWrap/>
              <w:overflowPunct/>
              <w:topLinePunct w:val="0"/>
              <w:autoSpaceDE/>
              <w:autoSpaceDN/>
              <w:bidi w:val="0"/>
              <w:spacing w:line="240" w:lineRule="auto"/>
              <w:ind w:left="0" w:leftChars="0" w:firstLine="0" w:firstLineChars="0"/>
              <w:jc w:val="left"/>
              <w:rPr>
                <w:rFonts w:hint="eastAsia" w:ascii="宋体" w:hAnsi="宋体" w:eastAsia="宋体" w:cs="宋体"/>
                <w:b w:val="0"/>
                <w:bCs w:val="0"/>
                <w:color w:val="auto"/>
                <w:kern w:val="2"/>
                <w:sz w:val="24"/>
                <w:szCs w:val="24"/>
                <w:highlight w:val="none"/>
                <w:lang w:val="en-US" w:eastAsia="zh-CN" w:bidi="ar-SA"/>
              </w:rPr>
            </w:pPr>
            <w:r>
              <w:rPr>
                <w:rFonts w:hint="eastAsia" w:ascii="宋体" w:hAnsi="宋体" w:eastAsia="宋体" w:cs="宋体"/>
                <w:b w:val="0"/>
                <w:bCs w:val="0"/>
                <w:color w:val="auto"/>
                <w:sz w:val="24"/>
                <w:szCs w:val="24"/>
                <w:highlight w:val="none"/>
                <w:lang w:val="en-US" w:eastAsia="zh-CN"/>
              </w:rPr>
              <w:t>T8:锅炉房缓冲池、冰醋酸储罐</w:t>
            </w:r>
          </w:p>
        </w:tc>
        <w:tc>
          <w:tcPr>
            <w:tcW w:w="1934"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N</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3</w:t>
            </w:r>
            <w:r>
              <w:rPr>
                <w:rFonts w:hint="eastAsia" w:ascii="宋体" w:hAnsi="宋体" w:eastAsia="宋体" w:cs="宋体"/>
                <w:color w:val="auto"/>
                <w:kern w:val="0"/>
                <w:sz w:val="24"/>
                <w:szCs w:val="24"/>
                <w:highlight w:val="none"/>
                <w:lang w:val="en-US" w:eastAsia="zh-CN"/>
              </w:rPr>
              <w:t>4</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40</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27.003</w:t>
            </w:r>
            <w:r>
              <w:rPr>
                <w:rFonts w:hint="eastAsia" w:ascii="宋体" w:hAnsi="宋体" w:eastAsia="宋体" w:cs="宋体"/>
                <w:color w:val="auto"/>
                <w:kern w:val="0"/>
                <w:sz w:val="24"/>
                <w:szCs w:val="24"/>
                <w:highlight w:val="none"/>
              </w:rPr>
              <w:t>''</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b w:val="0"/>
                <w:bCs w:val="0"/>
                <w:color w:val="auto"/>
                <w:spacing w:val="0"/>
                <w:kern w:val="2"/>
                <w:sz w:val="24"/>
                <w:szCs w:val="24"/>
                <w:highlight w:val="none"/>
                <w:vertAlign w:val="baseline"/>
                <w:lang w:val="zh-CN" w:eastAsia="zh-CN" w:bidi="ar-SA"/>
              </w:rPr>
            </w:pPr>
            <w:r>
              <w:rPr>
                <w:rFonts w:hint="eastAsia" w:ascii="宋体" w:hAnsi="宋体" w:eastAsia="宋体" w:cs="宋体"/>
                <w:color w:val="auto"/>
                <w:kern w:val="0"/>
                <w:sz w:val="24"/>
                <w:szCs w:val="24"/>
                <w:highlight w:val="none"/>
              </w:rPr>
              <w:t>E</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11</w:t>
            </w:r>
            <w:r>
              <w:rPr>
                <w:rFonts w:hint="eastAsia" w:ascii="宋体" w:hAnsi="宋体" w:eastAsia="宋体" w:cs="宋体"/>
                <w:color w:val="auto"/>
                <w:kern w:val="0"/>
                <w:sz w:val="24"/>
                <w:szCs w:val="24"/>
                <w:highlight w:val="none"/>
                <w:lang w:val="en-US" w:eastAsia="zh-CN"/>
              </w:rPr>
              <w:t>1</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35</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23.697</w:t>
            </w:r>
            <w:r>
              <w:rPr>
                <w:rFonts w:hint="eastAsia" w:ascii="宋体" w:hAnsi="宋体" w:eastAsia="宋体" w:cs="宋体"/>
                <w:color w:val="auto"/>
                <w:kern w:val="0"/>
                <w:sz w:val="24"/>
                <w:szCs w:val="24"/>
                <w:highlight w:val="none"/>
              </w:rPr>
              <w:t>''</w:t>
            </w:r>
          </w:p>
        </w:tc>
      </w:tr>
      <w:tr>
        <w:tblPrEx>
          <w:tblBorders>
            <w:top w:val="single" w:color="000000" w:sz="4" w:space="0"/>
            <w:left w:val="single" w:color="000000" w:sz="6" w:space="0"/>
            <w:bottom w:val="single" w:color="000000" w:sz="4" w:space="0"/>
            <w:right w:val="single" w:color="000000" w:sz="6" w:space="0"/>
            <w:insideH w:val="single" w:color="000000" w:sz="4" w:space="0"/>
            <w:insideV w:val="single" w:color="000000" w:sz="4" w:space="0"/>
          </w:tblBorders>
          <w:tblCellMar>
            <w:top w:w="0" w:type="dxa"/>
            <w:left w:w="108" w:type="dxa"/>
            <w:bottom w:w="0" w:type="dxa"/>
            <w:right w:w="108" w:type="dxa"/>
          </w:tblCellMar>
        </w:tblPrEx>
        <w:trPr>
          <w:trHeight w:val="817" w:hRule="atLeast"/>
          <w:jc w:val="center"/>
        </w:trPr>
        <w:tc>
          <w:tcPr>
            <w:tcW w:w="498" w:type="pct"/>
            <w:vMerge w:val="continue"/>
            <w:vAlign w:val="center"/>
          </w:tcPr>
          <w:p>
            <w:pPr>
              <w:keepNext w:val="0"/>
              <w:keepLines w:val="0"/>
              <w:pageBreakBefore w:val="0"/>
              <w:kinsoku/>
              <w:wordWrap/>
              <w:overflowPunct/>
              <w:topLinePunct w:val="0"/>
              <w:autoSpaceDE/>
              <w:autoSpaceDN/>
              <w:bidi w:val="0"/>
              <w:adjustRightInd/>
              <w:snapToGrid/>
              <w:ind w:left="0" w:right="0"/>
              <w:jc w:val="center"/>
              <w:textAlignment w:val="auto"/>
              <w:rPr>
                <w:rFonts w:hint="eastAsia" w:ascii="宋体" w:hAnsi="宋体" w:eastAsia="宋体" w:cs="宋体"/>
                <w:color w:val="auto"/>
                <w:sz w:val="24"/>
                <w:szCs w:val="24"/>
                <w:highlight w:val="none"/>
              </w:rPr>
            </w:pPr>
          </w:p>
        </w:tc>
        <w:tc>
          <w:tcPr>
            <w:tcW w:w="0" w:type="auto"/>
            <w:vAlign w:val="center"/>
          </w:tcPr>
          <w:p>
            <w:pPr>
              <w:keepNext w:val="0"/>
              <w:keepLines w:val="0"/>
              <w:pageBreakBefore w:val="0"/>
              <w:kinsoku/>
              <w:wordWrap/>
              <w:overflowPunct/>
              <w:topLinePunct w:val="0"/>
              <w:autoSpaceDE/>
              <w:autoSpaceDN/>
              <w:bidi w:val="0"/>
              <w:adjustRightInd/>
              <w:snapToGrid/>
              <w:ind w:left="0" w:right="0"/>
              <w:jc w:val="center"/>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9</w:t>
            </w:r>
          </w:p>
        </w:tc>
        <w:tc>
          <w:tcPr>
            <w:tcW w:w="0" w:type="auto"/>
            <w:vAlign w:val="center"/>
          </w:tcPr>
          <w:p>
            <w:pPr>
              <w:keepNext w:val="0"/>
              <w:keepLines w:val="0"/>
              <w:pageBreakBefore w:val="0"/>
              <w:numPr>
                <w:ilvl w:val="0"/>
                <w:numId w:val="0"/>
              </w:numPr>
              <w:kinsoku/>
              <w:wordWrap/>
              <w:overflowPunct/>
              <w:topLinePunct w:val="0"/>
              <w:autoSpaceDE/>
              <w:autoSpaceDN/>
              <w:bidi w:val="0"/>
              <w:spacing w:line="240" w:lineRule="auto"/>
              <w:ind w:left="0" w:leftChars="0" w:firstLine="0" w:firstLineChars="0"/>
              <w:jc w:val="left"/>
              <w:rPr>
                <w:rFonts w:hint="eastAsia" w:ascii="宋体" w:hAnsi="宋体" w:eastAsia="宋体" w:cs="宋体"/>
                <w:b w:val="0"/>
                <w:bCs w:val="0"/>
                <w:color w:val="auto"/>
                <w:kern w:val="2"/>
                <w:sz w:val="24"/>
                <w:szCs w:val="24"/>
                <w:highlight w:val="none"/>
                <w:lang w:val="en-US" w:eastAsia="zh-CN" w:bidi="ar-SA"/>
              </w:rPr>
            </w:pPr>
            <w:r>
              <w:rPr>
                <w:rFonts w:hint="eastAsia" w:ascii="宋体" w:hAnsi="宋体" w:eastAsia="宋体" w:cs="宋体"/>
                <w:b w:val="0"/>
                <w:bCs w:val="0"/>
                <w:color w:val="auto"/>
                <w:sz w:val="24"/>
                <w:szCs w:val="24"/>
                <w:highlight w:val="none"/>
                <w:lang w:val="en-US" w:eastAsia="zh-CN"/>
              </w:rPr>
              <w:t>T9:酸碱储罐区、尼文酸应急池、4#仓库（甲苯、氯苯）</w:t>
            </w:r>
          </w:p>
        </w:tc>
        <w:tc>
          <w:tcPr>
            <w:tcW w:w="1934"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N</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3</w:t>
            </w:r>
            <w:r>
              <w:rPr>
                <w:rFonts w:hint="eastAsia" w:ascii="宋体" w:hAnsi="宋体" w:eastAsia="宋体" w:cs="宋体"/>
                <w:color w:val="auto"/>
                <w:kern w:val="0"/>
                <w:sz w:val="24"/>
                <w:szCs w:val="24"/>
                <w:highlight w:val="none"/>
                <w:lang w:val="en-US" w:eastAsia="zh-CN"/>
              </w:rPr>
              <w:t>4</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40</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27.050</w:t>
            </w:r>
            <w:r>
              <w:rPr>
                <w:rFonts w:hint="eastAsia" w:ascii="宋体" w:hAnsi="宋体" w:eastAsia="宋体" w:cs="宋体"/>
                <w:color w:val="auto"/>
                <w:kern w:val="0"/>
                <w:sz w:val="24"/>
                <w:szCs w:val="24"/>
                <w:highlight w:val="none"/>
              </w:rPr>
              <w:t>''</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b w:val="0"/>
                <w:bCs w:val="0"/>
                <w:color w:val="auto"/>
                <w:spacing w:val="0"/>
                <w:kern w:val="2"/>
                <w:sz w:val="24"/>
                <w:szCs w:val="24"/>
                <w:highlight w:val="none"/>
                <w:vertAlign w:val="baseline"/>
                <w:lang w:val="zh-CN" w:eastAsia="zh-CN" w:bidi="ar-SA"/>
              </w:rPr>
            </w:pPr>
            <w:r>
              <w:rPr>
                <w:rFonts w:hint="eastAsia" w:ascii="宋体" w:hAnsi="宋体" w:eastAsia="宋体" w:cs="宋体"/>
                <w:color w:val="auto"/>
                <w:kern w:val="0"/>
                <w:sz w:val="24"/>
                <w:szCs w:val="24"/>
                <w:highlight w:val="none"/>
              </w:rPr>
              <w:t>E</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11</w:t>
            </w:r>
            <w:r>
              <w:rPr>
                <w:rFonts w:hint="eastAsia" w:ascii="宋体" w:hAnsi="宋体" w:eastAsia="宋体" w:cs="宋体"/>
                <w:color w:val="auto"/>
                <w:kern w:val="0"/>
                <w:sz w:val="24"/>
                <w:szCs w:val="24"/>
                <w:highlight w:val="none"/>
                <w:lang w:val="en-US" w:eastAsia="zh-CN"/>
              </w:rPr>
              <w:t>1</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35</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21.939</w:t>
            </w:r>
            <w:r>
              <w:rPr>
                <w:rFonts w:hint="eastAsia" w:ascii="宋体" w:hAnsi="宋体" w:eastAsia="宋体" w:cs="宋体"/>
                <w:color w:val="auto"/>
                <w:kern w:val="0"/>
                <w:sz w:val="24"/>
                <w:szCs w:val="24"/>
                <w:highlight w:val="none"/>
              </w:rPr>
              <w:t>''</w:t>
            </w:r>
          </w:p>
        </w:tc>
      </w:tr>
      <w:tr>
        <w:tblPrEx>
          <w:tblBorders>
            <w:top w:val="single" w:color="000000" w:sz="4" w:space="0"/>
            <w:left w:val="single" w:color="000000" w:sz="6" w:space="0"/>
            <w:bottom w:val="single" w:color="000000" w:sz="4" w:space="0"/>
            <w:right w:val="single" w:color="000000" w:sz="6" w:space="0"/>
            <w:insideH w:val="single" w:color="000000" w:sz="4" w:space="0"/>
            <w:insideV w:val="single" w:color="000000" w:sz="4" w:space="0"/>
          </w:tblBorders>
          <w:tblCellMar>
            <w:top w:w="0" w:type="dxa"/>
            <w:left w:w="108" w:type="dxa"/>
            <w:bottom w:w="0" w:type="dxa"/>
            <w:right w:w="108" w:type="dxa"/>
          </w:tblCellMar>
        </w:tblPrEx>
        <w:trPr>
          <w:trHeight w:val="817" w:hRule="atLeast"/>
          <w:jc w:val="center"/>
        </w:trPr>
        <w:tc>
          <w:tcPr>
            <w:tcW w:w="498" w:type="pct"/>
            <w:vMerge w:val="continue"/>
          </w:tcPr>
          <w:p>
            <w:pPr>
              <w:keepNext w:val="0"/>
              <w:keepLines w:val="0"/>
              <w:pageBreakBefore w:val="0"/>
              <w:kinsoku/>
              <w:wordWrap/>
              <w:overflowPunct/>
              <w:topLinePunct w:val="0"/>
              <w:autoSpaceDE/>
              <w:autoSpaceDN/>
              <w:bidi w:val="0"/>
              <w:adjustRightInd/>
              <w:snapToGrid/>
              <w:ind w:left="0" w:right="0"/>
              <w:jc w:val="center"/>
              <w:textAlignment w:val="auto"/>
              <w:rPr>
                <w:rFonts w:hint="eastAsia" w:ascii="宋体" w:hAnsi="宋体" w:eastAsia="宋体" w:cs="宋体"/>
                <w:color w:val="auto"/>
                <w:sz w:val="24"/>
                <w:szCs w:val="24"/>
                <w:highlight w:val="none"/>
              </w:rPr>
            </w:pPr>
          </w:p>
        </w:tc>
        <w:tc>
          <w:tcPr>
            <w:tcW w:w="0" w:type="auto"/>
          </w:tcPr>
          <w:p>
            <w:pPr>
              <w:keepNext w:val="0"/>
              <w:keepLines w:val="0"/>
              <w:pageBreakBefore w:val="0"/>
              <w:kinsoku/>
              <w:wordWrap/>
              <w:overflowPunct/>
              <w:topLinePunct w:val="0"/>
              <w:autoSpaceDE/>
              <w:autoSpaceDN/>
              <w:bidi w:val="0"/>
              <w:adjustRightInd/>
              <w:snapToGrid/>
              <w:ind w:left="0" w:right="0"/>
              <w:jc w:val="center"/>
              <w:textAlignment w:val="auto"/>
              <w:rPr>
                <w:rFonts w:hint="default"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10</w:t>
            </w:r>
          </w:p>
        </w:tc>
        <w:tc>
          <w:tcPr>
            <w:tcW w:w="0" w:type="auto"/>
            <w:vAlign w:val="center"/>
          </w:tcPr>
          <w:p>
            <w:pPr>
              <w:keepNext w:val="0"/>
              <w:keepLines w:val="0"/>
              <w:pageBreakBefore w:val="0"/>
              <w:numPr>
                <w:ilvl w:val="0"/>
                <w:numId w:val="0"/>
              </w:numPr>
              <w:kinsoku/>
              <w:wordWrap/>
              <w:overflowPunct/>
              <w:topLinePunct w:val="0"/>
              <w:autoSpaceDE/>
              <w:autoSpaceDN/>
              <w:bidi w:val="0"/>
              <w:spacing w:line="240" w:lineRule="auto"/>
              <w:ind w:left="0" w:leftChars="0" w:firstLine="0" w:firstLineChars="0"/>
              <w:jc w:val="left"/>
              <w:rPr>
                <w:rFonts w:hint="eastAsia" w:ascii="宋体" w:hAnsi="宋体" w:eastAsia="宋体" w:cs="宋体"/>
                <w:b w:val="0"/>
                <w:bCs w:val="0"/>
                <w:color w:val="auto"/>
                <w:kern w:val="2"/>
                <w:sz w:val="24"/>
                <w:szCs w:val="24"/>
                <w:highlight w:val="none"/>
                <w:lang w:val="en-US" w:eastAsia="zh-CN" w:bidi="ar-SA"/>
              </w:rPr>
            </w:pPr>
            <w:r>
              <w:rPr>
                <w:rFonts w:hint="eastAsia" w:ascii="宋体" w:hAnsi="宋体" w:eastAsia="宋体" w:cs="宋体"/>
                <w:b w:val="0"/>
                <w:bCs w:val="0"/>
                <w:color w:val="auto"/>
                <w:sz w:val="24"/>
                <w:szCs w:val="24"/>
                <w:highlight w:val="none"/>
                <w:lang w:val="en-US" w:eastAsia="zh-CN"/>
              </w:rPr>
              <w:t>T10:固废前处理车间、四溴应急池及缓冲池</w:t>
            </w:r>
          </w:p>
        </w:tc>
        <w:tc>
          <w:tcPr>
            <w:tcW w:w="1934"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N</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3</w:t>
            </w:r>
            <w:r>
              <w:rPr>
                <w:rFonts w:hint="eastAsia" w:ascii="宋体" w:hAnsi="宋体" w:eastAsia="宋体" w:cs="宋体"/>
                <w:color w:val="auto"/>
                <w:kern w:val="0"/>
                <w:sz w:val="24"/>
                <w:szCs w:val="24"/>
                <w:highlight w:val="none"/>
                <w:lang w:val="en-US" w:eastAsia="zh-CN"/>
              </w:rPr>
              <w:t>4</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40</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25.796</w:t>
            </w:r>
            <w:r>
              <w:rPr>
                <w:rFonts w:hint="eastAsia" w:ascii="宋体" w:hAnsi="宋体" w:eastAsia="宋体" w:cs="宋体"/>
                <w:color w:val="auto"/>
                <w:kern w:val="0"/>
                <w:sz w:val="24"/>
                <w:szCs w:val="24"/>
                <w:highlight w:val="none"/>
              </w:rPr>
              <w:t>''</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b w:val="0"/>
                <w:bCs w:val="0"/>
                <w:color w:val="auto"/>
                <w:spacing w:val="0"/>
                <w:kern w:val="2"/>
                <w:sz w:val="24"/>
                <w:szCs w:val="24"/>
                <w:highlight w:val="none"/>
                <w:vertAlign w:val="baseline"/>
                <w:lang w:val="zh-CN" w:eastAsia="zh-CN" w:bidi="ar-SA"/>
              </w:rPr>
            </w:pPr>
            <w:r>
              <w:rPr>
                <w:rFonts w:hint="eastAsia" w:ascii="宋体" w:hAnsi="宋体" w:eastAsia="宋体" w:cs="宋体"/>
                <w:color w:val="auto"/>
                <w:kern w:val="0"/>
                <w:sz w:val="24"/>
                <w:szCs w:val="24"/>
                <w:highlight w:val="none"/>
              </w:rPr>
              <w:t>E</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11</w:t>
            </w:r>
            <w:r>
              <w:rPr>
                <w:rFonts w:hint="eastAsia" w:ascii="宋体" w:hAnsi="宋体" w:eastAsia="宋体" w:cs="宋体"/>
                <w:color w:val="auto"/>
                <w:kern w:val="0"/>
                <w:sz w:val="24"/>
                <w:szCs w:val="24"/>
                <w:highlight w:val="none"/>
                <w:lang w:val="en-US" w:eastAsia="zh-CN"/>
              </w:rPr>
              <w:t>1</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35</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27.520</w:t>
            </w:r>
            <w:r>
              <w:rPr>
                <w:rFonts w:hint="eastAsia" w:ascii="宋体" w:hAnsi="宋体" w:eastAsia="宋体" w:cs="宋体"/>
                <w:color w:val="auto"/>
                <w:kern w:val="0"/>
                <w:sz w:val="24"/>
                <w:szCs w:val="24"/>
                <w:highlight w:val="none"/>
              </w:rPr>
              <w:t>''</w:t>
            </w:r>
          </w:p>
        </w:tc>
      </w:tr>
      <w:tr>
        <w:tblPrEx>
          <w:tblBorders>
            <w:top w:val="single" w:color="000000" w:sz="4" w:space="0"/>
            <w:left w:val="single" w:color="000000" w:sz="6" w:space="0"/>
            <w:bottom w:val="single" w:color="000000" w:sz="4" w:space="0"/>
            <w:right w:val="single" w:color="000000" w:sz="6" w:space="0"/>
            <w:insideH w:val="single" w:color="000000" w:sz="4" w:space="0"/>
            <w:insideV w:val="single" w:color="000000" w:sz="4" w:space="0"/>
          </w:tblBorders>
          <w:tblCellMar>
            <w:top w:w="0" w:type="dxa"/>
            <w:left w:w="108" w:type="dxa"/>
            <w:bottom w:w="0" w:type="dxa"/>
            <w:right w:w="108" w:type="dxa"/>
          </w:tblCellMar>
        </w:tblPrEx>
        <w:trPr>
          <w:trHeight w:val="817" w:hRule="atLeast"/>
          <w:jc w:val="center"/>
        </w:trPr>
        <w:tc>
          <w:tcPr>
            <w:tcW w:w="498" w:type="pct"/>
            <w:vMerge w:val="continue"/>
          </w:tcPr>
          <w:p>
            <w:pPr>
              <w:keepNext w:val="0"/>
              <w:keepLines w:val="0"/>
              <w:pageBreakBefore w:val="0"/>
              <w:kinsoku/>
              <w:wordWrap/>
              <w:overflowPunct/>
              <w:topLinePunct w:val="0"/>
              <w:autoSpaceDE/>
              <w:autoSpaceDN/>
              <w:bidi w:val="0"/>
              <w:adjustRightInd/>
              <w:snapToGrid/>
              <w:ind w:left="0" w:right="0"/>
              <w:jc w:val="center"/>
              <w:textAlignment w:val="auto"/>
              <w:rPr>
                <w:rFonts w:hint="eastAsia" w:ascii="宋体" w:hAnsi="宋体" w:eastAsia="宋体" w:cs="宋体"/>
                <w:color w:val="auto"/>
                <w:sz w:val="24"/>
                <w:szCs w:val="24"/>
                <w:highlight w:val="none"/>
              </w:rPr>
            </w:pPr>
          </w:p>
        </w:tc>
        <w:tc>
          <w:tcPr>
            <w:tcW w:w="0" w:type="auto"/>
          </w:tcPr>
          <w:p>
            <w:pPr>
              <w:keepNext w:val="0"/>
              <w:keepLines w:val="0"/>
              <w:pageBreakBefore w:val="0"/>
              <w:kinsoku/>
              <w:wordWrap/>
              <w:overflowPunct/>
              <w:topLinePunct w:val="0"/>
              <w:autoSpaceDE/>
              <w:autoSpaceDN/>
              <w:bidi w:val="0"/>
              <w:adjustRightInd/>
              <w:snapToGrid/>
              <w:ind w:left="0" w:right="0"/>
              <w:jc w:val="center"/>
              <w:textAlignment w:val="auto"/>
              <w:rPr>
                <w:rFonts w:hint="default"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11</w:t>
            </w:r>
          </w:p>
        </w:tc>
        <w:tc>
          <w:tcPr>
            <w:tcW w:w="0" w:type="auto"/>
            <w:vAlign w:val="center"/>
          </w:tcPr>
          <w:p>
            <w:pPr>
              <w:keepNext w:val="0"/>
              <w:keepLines w:val="0"/>
              <w:pageBreakBefore w:val="0"/>
              <w:numPr>
                <w:ilvl w:val="0"/>
                <w:numId w:val="0"/>
              </w:numPr>
              <w:kinsoku/>
              <w:wordWrap/>
              <w:overflowPunct/>
              <w:topLinePunct w:val="0"/>
              <w:autoSpaceDE/>
              <w:autoSpaceDN/>
              <w:bidi w:val="0"/>
              <w:spacing w:line="240" w:lineRule="auto"/>
              <w:ind w:left="0" w:leftChars="0" w:firstLine="0" w:firstLineChars="0"/>
              <w:jc w:val="left"/>
              <w:rPr>
                <w:rFonts w:hint="eastAsia" w:ascii="宋体" w:hAnsi="宋体" w:eastAsia="宋体" w:cs="宋体"/>
                <w:b w:val="0"/>
                <w:bCs w:val="0"/>
                <w:color w:val="auto"/>
                <w:kern w:val="2"/>
                <w:sz w:val="24"/>
                <w:szCs w:val="24"/>
                <w:highlight w:val="none"/>
                <w:vertAlign w:val="baseline"/>
                <w:lang w:val="en-US" w:eastAsia="zh-CN" w:bidi="ar-SA"/>
              </w:rPr>
            </w:pPr>
            <w:r>
              <w:rPr>
                <w:rFonts w:hint="eastAsia" w:ascii="宋体" w:hAnsi="宋体" w:cs="宋体"/>
                <w:b w:val="0"/>
                <w:bCs w:val="0"/>
                <w:color w:val="auto"/>
                <w:sz w:val="24"/>
                <w:szCs w:val="24"/>
                <w:highlight w:val="none"/>
                <w:u w:val="none"/>
                <w:lang w:val="en-US" w:eastAsia="zh-CN"/>
              </w:rPr>
              <w:t>T</w:t>
            </w:r>
            <w:r>
              <w:rPr>
                <w:rFonts w:hint="eastAsia" w:ascii="宋体" w:hAnsi="宋体" w:eastAsia="宋体" w:cs="宋体"/>
                <w:b w:val="0"/>
                <w:bCs w:val="0"/>
                <w:color w:val="auto"/>
                <w:sz w:val="24"/>
                <w:szCs w:val="24"/>
                <w:highlight w:val="none"/>
                <w:u w:val="none"/>
                <w:lang w:val="en-US" w:eastAsia="zh-CN"/>
              </w:rPr>
              <w:t>11:</w:t>
            </w:r>
            <w:r>
              <w:rPr>
                <w:rFonts w:hint="eastAsia" w:ascii="宋体" w:hAnsi="宋体" w:eastAsia="宋体" w:cs="宋体"/>
                <w:b w:val="0"/>
                <w:bCs w:val="0"/>
                <w:color w:val="auto"/>
                <w:sz w:val="24"/>
                <w:szCs w:val="24"/>
                <w:highlight w:val="none"/>
                <w:u w:val="none"/>
              </w:rPr>
              <w:t>土壤背景监测点</w:t>
            </w:r>
          </w:p>
        </w:tc>
        <w:tc>
          <w:tcPr>
            <w:tcW w:w="1934"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N</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3</w:t>
            </w:r>
            <w:r>
              <w:rPr>
                <w:rFonts w:hint="eastAsia" w:ascii="宋体" w:hAnsi="宋体" w:eastAsia="宋体" w:cs="宋体"/>
                <w:color w:val="auto"/>
                <w:kern w:val="0"/>
                <w:sz w:val="24"/>
                <w:szCs w:val="24"/>
                <w:highlight w:val="none"/>
                <w:lang w:val="en-US" w:eastAsia="zh-CN"/>
              </w:rPr>
              <w:t>4</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40</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33.435</w:t>
            </w:r>
            <w:r>
              <w:rPr>
                <w:rFonts w:hint="eastAsia" w:ascii="宋体" w:hAnsi="宋体" w:eastAsia="宋体" w:cs="宋体"/>
                <w:color w:val="auto"/>
                <w:kern w:val="0"/>
                <w:sz w:val="24"/>
                <w:szCs w:val="24"/>
                <w:highlight w:val="none"/>
              </w:rPr>
              <w:t>''</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b w:val="0"/>
                <w:bCs w:val="0"/>
                <w:color w:val="auto"/>
                <w:spacing w:val="0"/>
                <w:kern w:val="2"/>
                <w:sz w:val="24"/>
                <w:szCs w:val="24"/>
                <w:highlight w:val="none"/>
                <w:vertAlign w:val="baseline"/>
                <w:lang w:val="zh-CN" w:eastAsia="zh-CN" w:bidi="ar-SA"/>
              </w:rPr>
            </w:pPr>
            <w:r>
              <w:rPr>
                <w:rFonts w:hint="eastAsia" w:ascii="宋体" w:hAnsi="宋体" w:eastAsia="宋体" w:cs="宋体"/>
                <w:color w:val="auto"/>
                <w:kern w:val="0"/>
                <w:sz w:val="24"/>
                <w:szCs w:val="24"/>
                <w:highlight w:val="none"/>
              </w:rPr>
              <w:t>E</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11</w:t>
            </w:r>
            <w:r>
              <w:rPr>
                <w:rFonts w:hint="eastAsia" w:ascii="宋体" w:hAnsi="宋体" w:eastAsia="宋体" w:cs="宋体"/>
                <w:color w:val="auto"/>
                <w:kern w:val="0"/>
                <w:sz w:val="24"/>
                <w:szCs w:val="24"/>
                <w:highlight w:val="none"/>
                <w:lang w:val="en-US" w:eastAsia="zh-CN"/>
              </w:rPr>
              <w:t>1</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35</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24.024</w:t>
            </w:r>
            <w:r>
              <w:rPr>
                <w:rFonts w:hint="eastAsia" w:ascii="宋体" w:hAnsi="宋体" w:eastAsia="宋体" w:cs="宋体"/>
                <w:color w:val="auto"/>
                <w:kern w:val="0"/>
                <w:sz w:val="24"/>
                <w:szCs w:val="24"/>
                <w:highlight w:val="none"/>
              </w:rPr>
              <w:t>''</w:t>
            </w:r>
          </w:p>
        </w:tc>
      </w:tr>
    </w:tbl>
    <w:p>
      <w:pPr>
        <w:spacing w:line="520" w:lineRule="exact"/>
        <w:ind w:firstLine="3360" w:firstLineChars="1200"/>
        <w:jc w:val="left"/>
        <w:rPr>
          <w:rFonts w:hint="eastAsia" w:ascii="宋体" w:hAnsi="宋体" w:eastAsia="宋体" w:cs="宋体"/>
          <w:sz w:val="28"/>
          <w:lang w:val="en-US" w:eastAsia="zh-CN"/>
        </w:rPr>
      </w:pPr>
      <w:r>
        <w:rPr>
          <w:rFonts w:hint="eastAsia" w:ascii="宋体" w:hAnsi="宋体" w:eastAsia="宋体" w:cs="宋体"/>
          <w:sz w:val="28"/>
          <w:lang w:val="en-US" w:eastAsia="zh-CN"/>
        </w:rPr>
        <w:t>表7-2地下水检测内容一览表</w:t>
      </w:r>
    </w:p>
    <w:tbl>
      <w:tblPr>
        <w:tblStyle w:val="22"/>
        <w:tblW w:w="89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3"/>
        <w:gridCol w:w="2265"/>
        <w:gridCol w:w="2531"/>
        <w:gridCol w:w="29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0" w:hRule="atLeast"/>
          <w:tblHeader/>
          <w:jc w:val="center"/>
        </w:trPr>
        <w:tc>
          <w:tcPr>
            <w:tcW w:w="1183" w:type="dxa"/>
            <w:tcBorders>
              <w:tl2br w:val="nil"/>
              <w:tr2bl w:val="nil"/>
            </w:tcBorders>
            <w:vAlign w:val="center"/>
          </w:tcPr>
          <w:p>
            <w:pPr>
              <w:pStyle w:val="12"/>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eastAsia" w:ascii="宋体" w:hAnsi="宋体" w:eastAsia="宋体" w:cs="宋体"/>
                <w:b w:val="0"/>
                <w:bCs w:val="0"/>
                <w:color w:val="auto"/>
                <w:spacing w:val="0"/>
                <w:sz w:val="24"/>
                <w:szCs w:val="24"/>
                <w:highlight w:val="none"/>
                <w:vertAlign w:val="baseline"/>
                <w:lang w:val="en-US" w:eastAsia="zh-CN"/>
              </w:rPr>
            </w:pPr>
            <w:r>
              <w:rPr>
                <w:rFonts w:hint="eastAsia" w:ascii="宋体" w:hAnsi="宋体" w:eastAsia="宋体" w:cs="宋体"/>
                <w:b w:val="0"/>
                <w:bCs w:val="0"/>
                <w:color w:val="auto"/>
                <w:spacing w:val="0"/>
                <w:sz w:val="24"/>
                <w:szCs w:val="24"/>
                <w:highlight w:val="none"/>
                <w:vertAlign w:val="baseline"/>
                <w:lang w:val="en-US" w:eastAsia="zh-CN"/>
              </w:rPr>
              <w:t>类别</w:t>
            </w:r>
          </w:p>
        </w:tc>
        <w:tc>
          <w:tcPr>
            <w:tcW w:w="2265" w:type="dxa"/>
            <w:tcBorders>
              <w:tl2br w:val="nil"/>
              <w:tr2bl w:val="nil"/>
            </w:tcBorders>
            <w:vAlign w:val="center"/>
          </w:tcPr>
          <w:p>
            <w:pPr>
              <w:pStyle w:val="12"/>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eastAsia" w:ascii="宋体" w:hAnsi="宋体" w:eastAsia="宋体" w:cs="宋体"/>
                <w:b w:val="0"/>
                <w:bCs w:val="0"/>
                <w:color w:val="auto"/>
                <w:spacing w:val="0"/>
                <w:sz w:val="24"/>
                <w:szCs w:val="24"/>
                <w:highlight w:val="none"/>
                <w:vertAlign w:val="baseline"/>
                <w:lang w:val="en-US" w:eastAsia="zh-CN"/>
              </w:rPr>
            </w:pPr>
            <w:r>
              <w:rPr>
                <w:rFonts w:hint="eastAsia" w:ascii="宋体" w:hAnsi="宋体" w:eastAsia="宋体" w:cs="宋体"/>
                <w:b w:val="0"/>
                <w:bCs w:val="0"/>
                <w:color w:val="auto"/>
                <w:spacing w:val="0"/>
                <w:sz w:val="24"/>
                <w:szCs w:val="24"/>
                <w:highlight w:val="none"/>
                <w:vertAlign w:val="baseline"/>
                <w:lang w:val="en-US" w:eastAsia="zh-CN"/>
              </w:rPr>
              <w:t>点位名称</w:t>
            </w:r>
          </w:p>
        </w:tc>
        <w:tc>
          <w:tcPr>
            <w:tcW w:w="2531" w:type="dxa"/>
            <w:tcBorders>
              <w:tl2br w:val="nil"/>
              <w:tr2bl w:val="nil"/>
            </w:tcBorders>
            <w:vAlign w:val="center"/>
          </w:tcPr>
          <w:p>
            <w:pPr>
              <w:pStyle w:val="12"/>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eastAsia" w:ascii="宋体" w:hAnsi="宋体" w:eastAsia="宋体" w:cs="宋体"/>
                <w:b w:val="0"/>
                <w:bCs w:val="0"/>
                <w:color w:val="auto"/>
                <w:spacing w:val="0"/>
                <w:kern w:val="2"/>
                <w:sz w:val="24"/>
                <w:szCs w:val="24"/>
                <w:highlight w:val="none"/>
                <w:vertAlign w:val="baseline"/>
                <w:lang w:val="en-US" w:eastAsia="zh-CN" w:bidi="ar-SA"/>
              </w:rPr>
            </w:pPr>
            <w:r>
              <w:rPr>
                <w:rFonts w:hint="eastAsia" w:ascii="宋体" w:hAnsi="宋体" w:eastAsia="宋体" w:cs="宋体"/>
                <w:b w:val="0"/>
                <w:bCs w:val="0"/>
                <w:color w:val="auto"/>
                <w:spacing w:val="0"/>
                <w:sz w:val="24"/>
                <w:szCs w:val="24"/>
                <w:highlight w:val="none"/>
                <w:vertAlign w:val="baseline"/>
                <w:lang w:val="en-US" w:eastAsia="zh-CN"/>
              </w:rPr>
              <w:t>监测日期</w:t>
            </w:r>
          </w:p>
        </w:tc>
        <w:tc>
          <w:tcPr>
            <w:tcW w:w="2958" w:type="dxa"/>
            <w:tcBorders>
              <w:tl2br w:val="nil"/>
              <w:tr2bl w:val="nil"/>
            </w:tcBorders>
            <w:vAlign w:val="center"/>
          </w:tcPr>
          <w:p>
            <w:pPr>
              <w:pStyle w:val="12"/>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eastAsia" w:ascii="宋体" w:hAnsi="宋体" w:eastAsia="宋体" w:cs="宋体"/>
                <w:b w:val="0"/>
                <w:bCs w:val="0"/>
                <w:color w:val="auto"/>
                <w:spacing w:val="0"/>
                <w:sz w:val="24"/>
                <w:szCs w:val="24"/>
                <w:highlight w:val="none"/>
                <w:vertAlign w:val="baseline"/>
                <w:lang w:val="en-US" w:eastAsia="zh-CN"/>
              </w:rPr>
            </w:pPr>
            <w:r>
              <w:rPr>
                <w:rFonts w:hint="eastAsia" w:ascii="宋体" w:hAnsi="宋体" w:eastAsia="宋体" w:cs="宋体"/>
                <w:b w:val="0"/>
                <w:bCs w:val="0"/>
                <w:color w:val="auto"/>
                <w:spacing w:val="0"/>
                <w:sz w:val="24"/>
                <w:szCs w:val="24"/>
                <w:highlight w:val="none"/>
                <w:vertAlign w:val="baseline"/>
                <w:lang w:val="en-US" w:eastAsia="zh-CN"/>
              </w:rPr>
              <w:t>样品状态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0" w:hRule="atLeast"/>
          <w:jc w:val="center"/>
        </w:trPr>
        <w:tc>
          <w:tcPr>
            <w:tcW w:w="1183" w:type="dxa"/>
            <w:vMerge w:val="restart"/>
            <w:tcBorders>
              <w:tl2br w:val="nil"/>
              <w:tr2bl w:val="nil"/>
            </w:tcBorders>
            <w:vAlign w:val="center"/>
          </w:tcPr>
          <w:p>
            <w:pPr>
              <w:pStyle w:val="12"/>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eastAsia" w:ascii="宋体" w:hAnsi="宋体" w:eastAsia="宋体" w:cs="宋体"/>
                <w:b w:val="0"/>
                <w:bCs w:val="0"/>
                <w:color w:val="auto"/>
                <w:spacing w:val="0"/>
                <w:sz w:val="24"/>
                <w:szCs w:val="24"/>
                <w:highlight w:val="none"/>
                <w:vertAlign w:val="baseline"/>
                <w:lang w:val="en-US" w:eastAsia="zh-CN"/>
              </w:rPr>
            </w:pPr>
            <w:r>
              <w:rPr>
                <w:rFonts w:hint="eastAsia" w:ascii="宋体" w:hAnsi="宋体" w:eastAsia="宋体" w:cs="宋体"/>
                <w:b w:val="0"/>
                <w:bCs w:val="0"/>
                <w:color w:val="auto"/>
                <w:spacing w:val="0"/>
                <w:sz w:val="24"/>
                <w:szCs w:val="24"/>
                <w:highlight w:val="none"/>
                <w:vertAlign w:val="baseline"/>
                <w:lang w:val="en-US" w:eastAsia="zh-CN"/>
              </w:rPr>
              <w:t>地下水</w:t>
            </w:r>
          </w:p>
        </w:tc>
        <w:tc>
          <w:tcPr>
            <w:tcW w:w="2265" w:type="dxa"/>
            <w:tcBorders>
              <w:tl2br w:val="nil"/>
              <w:tr2bl w:val="nil"/>
            </w:tcBorders>
            <w:vAlign w:val="center"/>
          </w:tcPr>
          <w:p>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eastAsia" w:ascii="宋体" w:hAnsi="宋体" w:eastAsia="宋体" w:cs="宋体"/>
                <w:b w:val="0"/>
                <w:bCs w:val="0"/>
                <w:color w:val="auto"/>
                <w:spacing w:val="0"/>
                <w:sz w:val="24"/>
                <w:szCs w:val="24"/>
                <w:highlight w:val="none"/>
                <w:vertAlign w:val="baseline"/>
                <w:lang w:val="en-US" w:eastAsia="zh-CN"/>
              </w:rPr>
            </w:pPr>
            <w:r>
              <w:rPr>
                <w:rFonts w:hint="eastAsia" w:ascii="宋体" w:hAnsi="宋体" w:eastAsia="宋体" w:cs="宋体"/>
                <w:color w:val="auto"/>
                <w:spacing w:val="0"/>
                <w:sz w:val="24"/>
                <w:szCs w:val="24"/>
                <w:highlight w:val="none"/>
              </w:rPr>
              <w:t>D1</w:t>
            </w:r>
            <w:r>
              <w:rPr>
                <w:rFonts w:hint="eastAsia" w:ascii="宋体" w:hAnsi="宋体" w:eastAsia="宋体" w:cs="宋体"/>
                <w:color w:val="auto"/>
                <w:spacing w:val="0"/>
                <w:sz w:val="24"/>
                <w:szCs w:val="24"/>
                <w:highlight w:val="none"/>
                <w:lang w:eastAsia="zh-CN"/>
              </w:rPr>
              <w:t>：园区</w:t>
            </w:r>
            <w:r>
              <w:rPr>
                <w:rFonts w:hint="eastAsia" w:ascii="宋体" w:hAnsi="宋体" w:eastAsia="宋体" w:cs="宋体"/>
                <w:color w:val="auto"/>
                <w:spacing w:val="0"/>
                <w:sz w:val="24"/>
                <w:szCs w:val="24"/>
                <w:highlight w:val="none"/>
                <w:lang w:val="en-US" w:eastAsia="zh-CN"/>
              </w:rPr>
              <w:t>地下水</w:t>
            </w:r>
          </w:p>
        </w:tc>
        <w:tc>
          <w:tcPr>
            <w:tcW w:w="2531" w:type="dxa"/>
            <w:tcBorders>
              <w:tl2br w:val="nil"/>
              <w:tr2bl w:val="nil"/>
            </w:tcBorders>
            <w:vAlign w:val="center"/>
          </w:tcPr>
          <w:p>
            <w:pPr>
              <w:pStyle w:val="12"/>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eastAsia" w:ascii="宋体" w:hAnsi="宋体" w:eastAsia="宋体" w:cs="宋体"/>
                <w:b w:val="0"/>
                <w:bCs w:val="0"/>
                <w:color w:val="auto"/>
                <w:spacing w:val="0"/>
                <w:kern w:val="2"/>
                <w:sz w:val="24"/>
                <w:szCs w:val="24"/>
                <w:highlight w:val="none"/>
                <w:vertAlign w:val="baseline"/>
                <w:lang w:val="en-US" w:eastAsia="zh-CN" w:bidi="ar-SA"/>
              </w:rPr>
            </w:pPr>
            <w:r>
              <w:rPr>
                <w:rFonts w:hint="eastAsia" w:ascii="宋体" w:hAnsi="宋体" w:eastAsia="宋体" w:cs="宋体"/>
                <w:b w:val="0"/>
                <w:bCs w:val="0"/>
                <w:color w:val="auto"/>
                <w:spacing w:val="0"/>
                <w:sz w:val="24"/>
                <w:szCs w:val="24"/>
                <w:highlight w:val="none"/>
                <w:vertAlign w:val="baseline"/>
                <w:lang w:val="en-US" w:eastAsia="zh-CN"/>
              </w:rPr>
              <w:t>2023年6月8日</w:t>
            </w:r>
          </w:p>
        </w:tc>
        <w:tc>
          <w:tcPr>
            <w:tcW w:w="295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eastAsia" w:ascii="宋体" w:hAnsi="宋体" w:eastAsia="宋体" w:cs="宋体"/>
                <w:b w:val="0"/>
                <w:bCs w:val="0"/>
                <w:color w:val="auto"/>
                <w:spacing w:val="0"/>
                <w:kern w:val="2"/>
                <w:sz w:val="24"/>
                <w:szCs w:val="24"/>
                <w:highlight w:val="none"/>
                <w:vertAlign w:val="baseline"/>
                <w:lang w:val="en-US" w:eastAsia="zh-CN" w:bidi="ar-SA"/>
              </w:rPr>
            </w:pPr>
            <w:r>
              <w:rPr>
                <w:rFonts w:hint="eastAsia" w:ascii="宋体" w:hAnsi="宋体" w:eastAsia="宋体" w:cs="宋体"/>
                <w:color w:val="auto"/>
                <w:kern w:val="0"/>
                <w:sz w:val="24"/>
                <w:szCs w:val="24"/>
                <w:highlight w:val="none"/>
                <w:lang w:val="en-US" w:eastAsia="zh-CN"/>
              </w:rPr>
              <w:t>水样均为液态、无色、无味、无肉眼可见物。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9" w:hRule="atLeast"/>
          <w:jc w:val="center"/>
        </w:trPr>
        <w:tc>
          <w:tcPr>
            <w:tcW w:w="1183" w:type="dxa"/>
            <w:vMerge w:val="continue"/>
            <w:tcBorders>
              <w:tl2br w:val="nil"/>
              <w:tr2bl w:val="nil"/>
            </w:tcBorders>
            <w:vAlign w:val="center"/>
          </w:tcPr>
          <w:p>
            <w:pPr>
              <w:pStyle w:val="12"/>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eastAsia" w:ascii="宋体" w:hAnsi="宋体" w:eastAsia="宋体" w:cs="宋体"/>
                <w:b w:val="0"/>
                <w:bCs w:val="0"/>
                <w:color w:val="auto"/>
                <w:spacing w:val="0"/>
                <w:sz w:val="24"/>
                <w:szCs w:val="24"/>
                <w:highlight w:val="none"/>
                <w:vertAlign w:val="baseline"/>
                <w:lang w:val="en-US" w:eastAsia="zh-CN"/>
              </w:rPr>
            </w:pPr>
          </w:p>
        </w:tc>
        <w:tc>
          <w:tcPr>
            <w:tcW w:w="2265" w:type="dxa"/>
            <w:tcBorders>
              <w:tl2br w:val="nil"/>
              <w:tr2bl w:val="nil"/>
            </w:tcBorders>
            <w:vAlign w:val="center"/>
          </w:tcPr>
          <w:p>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eastAsia" w:ascii="宋体" w:hAnsi="宋体" w:eastAsia="宋体" w:cs="宋体"/>
                <w:b w:val="0"/>
                <w:bCs w:val="0"/>
                <w:color w:val="auto"/>
                <w:spacing w:val="0"/>
                <w:sz w:val="24"/>
                <w:szCs w:val="24"/>
                <w:highlight w:val="none"/>
                <w:vertAlign w:val="baseline"/>
                <w:lang w:val="en-US" w:eastAsia="zh-CN"/>
              </w:rPr>
            </w:pPr>
            <w:r>
              <w:rPr>
                <w:rFonts w:hint="eastAsia" w:ascii="宋体" w:hAnsi="宋体" w:eastAsia="宋体" w:cs="宋体"/>
                <w:color w:val="auto"/>
                <w:spacing w:val="0"/>
                <w:sz w:val="24"/>
                <w:szCs w:val="24"/>
                <w:highlight w:val="none"/>
              </w:rPr>
              <w:t>D2</w:t>
            </w:r>
            <w:r>
              <w:rPr>
                <w:rFonts w:hint="eastAsia" w:ascii="宋体" w:hAnsi="宋体" w:eastAsia="宋体" w:cs="宋体"/>
                <w:color w:val="auto"/>
                <w:spacing w:val="0"/>
                <w:sz w:val="24"/>
                <w:szCs w:val="24"/>
                <w:highlight w:val="none"/>
                <w:lang w:eastAsia="zh-CN"/>
              </w:rPr>
              <w:t>：厂区</w:t>
            </w:r>
            <w:r>
              <w:rPr>
                <w:rFonts w:hint="eastAsia" w:ascii="宋体" w:hAnsi="宋体" w:eastAsia="宋体" w:cs="宋体"/>
                <w:color w:val="auto"/>
                <w:spacing w:val="0"/>
                <w:sz w:val="24"/>
                <w:szCs w:val="24"/>
                <w:highlight w:val="none"/>
                <w:lang w:val="en-US" w:eastAsia="zh-CN"/>
              </w:rPr>
              <w:t>地下水</w:t>
            </w:r>
          </w:p>
        </w:tc>
        <w:tc>
          <w:tcPr>
            <w:tcW w:w="253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eastAsia" w:ascii="宋体" w:hAnsi="宋体" w:eastAsia="宋体" w:cs="宋体"/>
                <w:b w:val="0"/>
                <w:bCs w:val="0"/>
                <w:color w:val="auto"/>
                <w:spacing w:val="0"/>
                <w:kern w:val="2"/>
                <w:sz w:val="24"/>
                <w:szCs w:val="24"/>
                <w:highlight w:val="none"/>
                <w:vertAlign w:val="baseline"/>
                <w:lang w:val="en-US" w:eastAsia="zh-CN" w:bidi="ar-SA"/>
              </w:rPr>
            </w:pPr>
            <w:r>
              <w:rPr>
                <w:rFonts w:hint="eastAsia" w:ascii="宋体" w:hAnsi="宋体" w:eastAsia="宋体" w:cs="宋体"/>
                <w:b w:val="0"/>
                <w:bCs w:val="0"/>
                <w:color w:val="auto"/>
                <w:spacing w:val="0"/>
                <w:sz w:val="24"/>
                <w:szCs w:val="24"/>
                <w:highlight w:val="none"/>
                <w:vertAlign w:val="baseline"/>
                <w:lang w:val="en-US" w:eastAsia="zh-CN"/>
              </w:rPr>
              <w:t>2023年6月8日</w:t>
            </w:r>
          </w:p>
        </w:tc>
        <w:tc>
          <w:tcPr>
            <w:tcW w:w="295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eastAsia" w:ascii="宋体" w:hAnsi="宋体" w:eastAsia="宋体" w:cs="宋体"/>
                <w:b w:val="0"/>
                <w:bCs w:val="0"/>
                <w:color w:val="auto"/>
                <w:spacing w:val="0"/>
                <w:kern w:val="2"/>
                <w:sz w:val="24"/>
                <w:szCs w:val="24"/>
                <w:highlight w:val="none"/>
                <w:vertAlign w:val="baseline"/>
                <w:lang w:val="en-US" w:eastAsia="zh-CN" w:bidi="ar-SA"/>
              </w:rPr>
            </w:pPr>
            <w:r>
              <w:rPr>
                <w:rFonts w:hint="eastAsia" w:ascii="宋体" w:hAnsi="宋体" w:eastAsia="宋体" w:cs="宋体"/>
                <w:color w:val="auto"/>
                <w:kern w:val="0"/>
                <w:sz w:val="24"/>
                <w:szCs w:val="24"/>
                <w:highlight w:val="none"/>
                <w:lang w:val="en-US" w:eastAsia="zh-CN"/>
              </w:rPr>
              <w:t>水样均为液态、无色、无味、无肉眼可见物。</w:t>
            </w:r>
          </w:p>
        </w:tc>
      </w:tr>
    </w:tbl>
    <w:p>
      <w:pPr>
        <w:keepNext/>
        <w:keepLines/>
        <w:widowControl w:val="0"/>
        <w:numPr>
          <w:ilvl w:val="1"/>
          <w:numId w:val="1"/>
        </w:numPr>
        <w:bidi w:val="0"/>
        <w:spacing w:line="520" w:lineRule="exact"/>
        <w:ind w:firstLine="0" w:firstLineChars="0"/>
        <w:jc w:val="left"/>
        <w:outlineLvl w:val="1"/>
        <w:rPr>
          <w:rFonts w:hint="eastAsia" w:ascii="宋体" w:hAnsi="宋体" w:eastAsia="宋体" w:cs="宋体"/>
          <w:snapToGrid/>
          <w:spacing w:val="6"/>
          <w:kern w:val="0"/>
          <w:sz w:val="28"/>
          <w:szCs w:val="22"/>
          <w:lang w:val="en-US" w:eastAsia="zh-CN" w:bidi="ar"/>
        </w:rPr>
      </w:pPr>
      <w:bookmarkStart w:id="217" w:name="_Toc1797"/>
      <w:r>
        <w:rPr>
          <w:rFonts w:hint="eastAsia" w:ascii="宋体" w:hAnsi="宋体" w:eastAsia="宋体" w:cs="宋体"/>
          <w:b/>
          <w:bCs/>
          <w:kern w:val="2"/>
          <w:sz w:val="28"/>
          <w:szCs w:val="32"/>
          <w:lang w:val="en-US" w:eastAsia="zh-CN" w:bidi="ar-SA"/>
        </w:rPr>
        <w:t>7.2现场采样工作流程</w:t>
      </w:r>
      <w:bookmarkEnd w:id="215"/>
      <w:bookmarkEnd w:id="216"/>
      <w:bookmarkEnd w:id="217"/>
    </w:p>
    <w:p>
      <w:pPr>
        <w:pageBreakBefore w:val="0"/>
        <w:kinsoku/>
        <w:wordWrap/>
        <w:overflowPunct/>
        <w:topLinePunct w:val="0"/>
        <w:autoSpaceDE/>
        <w:autoSpaceDN/>
        <w:bidi w:val="0"/>
        <w:spacing w:line="360" w:lineRule="auto"/>
        <w:ind w:left="0" w:leftChars="0" w:right="0" w:firstLine="0" w:firstLineChars="0"/>
        <w:textAlignment w:val="auto"/>
        <w:outlineLvl w:val="3"/>
        <w:rPr>
          <w:rFonts w:hint="eastAsia" w:ascii="宋体" w:hAnsi="宋体" w:eastAsia="宋体" w:cs="宋体"/>
          <w:color w:val="auto"/>
          <w:sz w:val="28"/>
          <w:szCs w:val="28"/>
          <w:highlight w:val="none"/>
          <w:u w:val="none"/>
        </w:rPr>
      </w:pPr>
      <w:bookmarkStart w:id="218" w:name="_Toc24631_WPSOffice_Level3"/>
      <w:bookmarkStart w:id="219" w:name="_Toc17162"/>
      <w:bookmarkStart w:id="220" w:name="_Toc9163"/>
      <w:bookmarkStart w:id="221" w:name="_Toc20246"/>
      <w:bookmarkStart w:id="222" w:name="_Toc8921"/>
      <w:r>
        <w:rPr>
          <w:rFonts w:hint="eastAsia" w:ascii="宋体" w:hAnsi="宋体" w:eastAsia="宋体" w:cs="宋体"/>
          <w:color w:val="auto"/>
          <w:sz w:val="28"/>
          <w:szCs w:val="28"/>
          <w:highlight w:val="none"/>
          <w:u w:val="none"/>
          <w:lang w:val="en-US" w:eastAsia="zh-CN"/>
        </w:rPr>
        <w:t>7.2.1</w:t>
      </w:r>
      <w:r>
        <w:rPr>
          <w:rFonts w:hint="eastAsia" w:ascii="宋体" w:hAnsi="宋体" w:eastAsia="宋体" w:cs="宋体"/>
          <w:color w:val="auto"/>
          <w:sz w:val="28"/>
          <w:szCs w:val="28"/>
          <w:highlight w:val="none"/>
          <w:u w:val="none"/>
        </w:rPr>
        <w:t>土壤采样</w:t>
      </w:r>
    </w:p>
    <w:p>
      <w:pPr>
        <w:pageBreakBefore w:val="0"/>
        <w:kinsoku/>
        <w:wordWrap/>
        <w:overflowPunct/>
        <w:topLinePunct w:val="0"/>
        <w:autoSpaceDE/>
        <w:autoSpaceDN/>
        <w:bidi w:val="0"/>
        <w:spacing w:line="360" w:lineRule="auto"/>
        <w:ind w:left="0" w:leftChars="0" w:right="0" w:firstLine="560" w:firstLineChars="200"/>
        <w:textAlignment w:val="auto"/>
        <w:rPr>
          <w:rFonts w:hint="eastAsia" w:ascii="宋体" w:hAnsi="宋体" w:eastAsia="宋体" w:cs="宋体"/>
          <w:color w:val="auto"/>
          <w:sz w:val="28"/>
          <w:szCs w:val="28"/>
          <w:highlight w:val="none"/>
          <w:u w:val="none"/>
        </w:rPr>
      </w:pPr>
      <w:r>
        <w:rPr>
          <w:rFonts w:hint="eastAsia" w:ascii="宋体" w:hAnsi="宋体" w:eastAsia="宋体" w:cs="宋体"/>
          <w:color w:val="auto"/>
          <w:sz w:val="28"/>
          <w:szCs w:val="28"/>
          <w:highlight w:val="none"/>
          <w:u w:val="none"/>
        </w:rPr>
        <w:t>土壤样品采集、保存、转运检测等环节质量控制（保证）按《</w:t>
      </w:r>
      <w:r>
        <w:rPr>
          <w:rFonts w:hint="eastAsia" w:ascii="宋体" w:hAnsi="宋体" w:eastAsia="宋体" w:cs="宋体"/>
          <w:color w:val="auto"/>
          <w:kern w:val="2"/>
          <w:sz w:val="28"/>
          <w:szCs w:val="28"/>
          <w:highlight w:val="none"/>
          <w:u w:val="none"/>
          <w:lang w:val="en-US" w:eastAsia="zh-CN" w:bidi="ar-SA"/>
        </w:rPr>
        <w:t>建设用地土壤污染状况调查技术导则</w:t>
      </w:r>
      <w:r>
        <w:rPr>
          <w:rFonts w:hint="eastAsia" w:ascii="宋体" w:hAnsi="宋体" w:eastAsia="宋体" w:cs="宋体"/>
          <w:color w:val="auto"/>
          <w:sz w:val="28"/>
          <w:szCs w:val="28"/>
          <w:highlight w:val="none"/>
          <w:u w:val="none"/>
        </w:rPr>
        <w:t>》(H</w:t>
      </w:r>
      <w:r>
        <w:rPr>
          <w:rFonts w:hint="eastAsia" w:ascii="宋体" w:hAnsi="宋体" w:eastAsia="宋体" w:cs="宋体"/>
          <w:color w:val="auto"/>
          <w:sz w:val="28"/>
          <w:szCs w:val="28"/>
          <w:highlight w:val="none"/>
          <w:u w:val="none"/>
          <w:lang w:val="en-US" w:eastAsia="zh-CN"/>
        </w:rPr>
        <w:t>J</w:t>
      </w:r>
      <w:r>
        <w:rPr>
          <w:rFonts w:hint="eastAsia" w:ascii="宋体" w:hAnsi="宋体" w:eastAsia="宋体" w:cs="宋体"/>
          <w:color w:val="auto"/>
          <w:sz w:val="28"/>
          <w:szCs w:val="28"/>
          <w:highlight w:val="none"/>
          <w:u w:val="none"/>
        </w:rPr>
        <w:t>25.1-201</w:t>
      </w:r>
      <w:r>
        <w:rPr>
          <w:rFonts w:hint="eastAsia" w:ascii="宋体" w:hAnsi="宋体" w:eastAsia="宋体" w:cs="宋体"/>
          <w:color w:val="auto"/>
          <w:sz w:val="28"/>
          <w:szCs w:val="28"/>
          <w:highlight w:val="none"/>
          <w:u w:val="none"/>
          <w:lang w:val="en-US" w:eastAsia="zh-CN"/>
        </w:rPr>
        <w:t>9</w:t>
      </w:r>
      <w:r>
        <w:rPr>
          <w:rFonts w:hint="eastAsia" w:ascii="宋体" w:hAnsi="宋体" w:eastAsia="宋体" w:cs="宋体"/>
          <w:color w:val="auto"/>
          <w:sz w:val="28"/>
          <w:szCs w:val="28"/>
          <w:highlight w:val="none"/>
          <w:u w:val="none"/>
        </w:rPr>
        <w:t>)；《</w:t>
      </w:r>
      <w:r>
        <w:rPr>
          <w:rFonts w:hint="eastAsia" w:ascii="宋体" w:hAnsi="宋体" w:eastAsia="宋体" w:cs="宋体"/>
          <w:color w:val="auto"/>
          <w:kern w:val="2"/>
          <w:sz w:val="28"/>
          <w:szCs w:val="28"/>
          <w:highlight w:val="none"/>
          <w:u w:val="none"/>
          <w:lang w:val="en-US" w:eastAsia="zh-CN" w:bidi="ar-SA"/>
        </w:rPr>
        <w:t>建设用地土壤污染风险管控和修复监测技术导则</w:t>
      </w:r>
      <w:r>
        <w:rPr>
          <w:rFonts w:hint="eastAsia" w:ascii="宋体" w:hAnsi="宋体" w:eastAsia="宋体" w:cs="宋体"/>
          <w:color w:val="auto"/>
          <w:sz w:val="28"/>
          <w:szCs w:val="28"/>
          <w:highlight w:val="none"/>
          <w:u w:val="none"/>
        </w:rPr>
        <w:t>》(HJ25.2-201</w:t>
      </w:r>
      <w:r>
        <w:rPr>
          <w:rFonts w:hint="eastAsia" w:ascii="宋体" w:hAnsi="宋体" w:eastAsia="宋体" w:cs="宋体"/>
          <w:color w:val="auto"/>
          <w:sz w:val="28"/>
          <w:szCs w:val="28"/>
          <w:highlight w:val="none"/>
          <w:u w:val="none"/>
          <w:lang w:val="en-US" w:eastAsia="zh-CN"/>
        </w:rPr>
        <w:t>9</w:t>
      </w:r>
      <w:r>
        <w:rPr>
          <w:rFonts w:hint="eastAsia" w:ascii="宋体" w:hAnsi="宋体" w:eastAsia="宋体" w:cs="宋体"/>
          <w:color w:val="auto"/>
          <w:sz w:val="28"/>
          <w:szCs w:val="28"/>
          <w:highlight w:val="none"/>
          <w:u w:val="none"/>
        </w:rPr>
        <w:t>)；《</w:t>
      </w:r>
      <w:r>
        <w:rPr>
          <w:rFonts w:hint="eastAsia" w:ascii="宋体" w:hAnsi="宋体" w:eastAsia="宋体" w:cs="宋体"/>
          <w:color w:val="auto"/>
          <w:kern w:val="2"/>
          <w:sz w:val="28"/>
          <w:szCs w:val="28"/>
          <w:highlight w:val="none"/>
          <w:u w:val="none"/>
          <w:lang w:val="en-US" w:eastAsia="zh-CN" w:bidi="ar-SA"/>
        </w:rPr>
        <w:t>建设用地土壤污染风险评估技术导则</w:t>
      </w:r>
      <w:r>
        <w:rPr>
          <w:rFonts w:hint="eastAsia" w:ascii="宋体" w:hAnsi="宋体" w:eastAsia="宋体" w:cs="宋体"/>
          <w:color w:val="auto"/>
          <w:sz w:val="28"/>
          <w:szCs w:val="28"/>
          <w:highlight w:val="none"/>
          <w:u w:val="none"/>
        </w:rPr>
        <w:t>》（HJ25.3-201</w:t>
      </w:r>
      <w:r>
        <w:rPr>
          <w:rFonts w:hint="eastAsia" w:ascii="宋体" w:hAnsi="宋体" w:eastAsia="宋体" w:cs="宋体"/>
          <w:color w:val="auto"/>
          <w:sz w:val="28"/>
          <w:szCs w:val="28"/>
          <w:highlight w:val="none"/>
          <w:u w:val="none"/>
          <w:lang w:val="en-US" w:eastAsia="zh-CN"/>
        </w:rPr>
        <w:t>9</w:t>
      </w:r>
      <w:r>
        <w:rPr>
          <w:rFonts w:hint="eastAsia" w:ascii="宋体" w:hAnsi="宋体" w:eastAsia="宋体" w:cs="宋体"/>
          <w:color w:val="auto"/>
          <w:sz w:val="28"/>
          <w:szCs w:val="28"/>
          <w:highlight w:val="none"/>
          <w:u w:val="none"/>
        </w:rPr>
        <w:t>）;《土壤环境监测技术规范》（HJ/T166-2004）要求开展工作。</w:t>
      </w:r>
    </w:p>
    <w:p>
      <w:pPr>
        <w:keepNext w:val="0"/>
        <w:keepLines w:val="0"/>
        <w:pageBreakBefore w:val="0"/>
        <w:widowControl w:val="0"/>
        <w:kinsoku/>
        <w:wordWrap/>
        <w:overflowPunct/>
        <w:topLinePunct w:val="0"/>
        <w:autoSpaceDE/>
        <w:autoSpaceDN/>
        <w:bidi w:val="0"/>
        <w:adjustRightInd/>
        <w:snapToGrid/>
        <w:spacing w:line="360" w:lineRule="auto"/>
        <w:ind w:left="0" w:leftChars="0" w:right="0" w:firstLine="560" w:firstLineChars="200"/>
        <w:textAlignment w:val="auto"/>
        <w:rPr>
          <w:rFonts w:hint="eastAsia" w:ascii="宋体" w:hAnsi="宋体" w:eastAsia="宋体" w:cs="宋体"/>
          <w:color w:val="auto"/>
          <w:sz w:val="28"/>
          <w:szCs w:val="28"/>
          <w:highlight w:val="none"/>
          <w:u w:val="none"/>
        </w:rPr>
      </w:pPr>
      <w:r>
        <w:rPr>
          <w:rFonts w:hint="eastAsia" w:ascii="宋体" w:hAnsi="宋体" w:eastAsia="宋体" w:cs="宋体"/>
          <w:color w:val="auto"/>
          <w:sz w:val="28"/>
          <w:szCs w:val="28"/>
          <w:highlight w:val="none"/>
          <w:u w:val="none"/>
        </w:rPr>
        <w:t>①工作流程前期准备</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0" w:leftChars="0" w:right="0" w:firstLine="560" w:firstLineChars="200"/>
        <w:textAlignment w:val="auto"/>
        <w:rPr>
          <w:rFonts w:hint="eastAsia" w:ascii="宋体" w:hAnsi="宋体" w:eastAsia="宋体" w:cs="宋体"/>
          <w:color w:val="auto"/>
          <w:sz w:val="28"/>
          <w:szCs w:val="28"/>
          <w:highlight w:val="none"/>
          <w:u w:val="none"/>
        </w:rPr>
      </w:pPr>
      <w:r>
        <w:rPr>
          <w:rFonts w:hint="eastAsia" w:ascii="宋体" w:hAnsi="宋体" w:eastAsia="宋体" w:cs="宋体"/>
          <w:color w:val="auto"/>
          <w:sz w:val="28"/>
          <w:szCs w:val="28"/>
          <w:highlight w:val="none"/>
          <w:u w:val="none"/>
        </w:rPr>
        <w:t>前期资料准备：</w:t>
      </w:r>
    </w:p>
    <w:p>
      <w:pPr>
        <w:keepNext w:val="0"/>
        <w:keepLines w:val="0"/>
        <w:pageBreakBefore w:val="0"/>
        <w:widowControl w:val="0"/>
        <w:kinsoku/>
        <w:wordWrap/>
        <w:overflowPunct/>
        <w:topLinePunct w:val="0"/>
        <w:autoSpaceDE/>
        <w:autoSpaceDN/>
        <w:bidi w:val="0"/>
        <w:adjustRightInd/>
        <w:snapToGrid/>
        <w:spacing w:line="360" w:lineRule="auto"/>
        <w:ind w:left="0" w:leftChars="0" w:right="0" w:firstLine="560" w:firstLineChars="200"/>
        <w:textAlignment w:val="auto"/>
        <w:rPr>
          <w:rFonts w:hint="eastAsia" w:ascii="宋体" w:hAnsi="宋体" w:eastAsia="宋体" w:cs="宋体"/>
          <w:color w:val="auto"/>
          <w:sz w:val="28"/>
          <w:szCs w:val="28"/>
          <w:highlight w:val="none"/>
          <w:u w:val="none"/>
        </w:rPr>
      </w:pPr>
      <w:r>
        <w:rPr>
          <w:rFonts w:hint="eastAsia" w:ascii="宋体" w:hAnsi="宋体" w:eastAsia="宋体" w:cs="宋体"/>
          <w:color w:val="auto"/>
          <w:sz w:val="28"/>
          <w:szCs w:val="28"/>
          <w:highlight w:val="none"/>
          <w:u w:val="none"/>
        </w:rPr>
        <w:t>采样点位确定：现场勘察确定各采样点位（坐标），竖好点位标识牌，并做好记录（包括影像记录）；各采样点位深度、采样层数及分层标识，并做好记录（包括影像记录）。</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0" w:leftChars="0" w:right="0" w:firstLine="560" w:firstLineChars="200"/>
        <w:textAlignment w:val="auto"/>
        <w:rPr>
          <w:rFonts w:hint="eastAsia" w:ascii="宋体" w:hAnsi="宋体" w:eastAsia="宋体" w:cs="宋体"/>
          <w:color w:val="auto"/>
          <w:sz w:val="28"/>
          <w:szCs w:val="28"/>
          <w:highlight w:val="none"/>
          <w:u w:val="none"/>
        </w:rPr>
      </w:pPr>
      <w:r>
        <w:rPr>
          <w:rFonts w:hint="eastAsia" w:ascii="宋体" w:hAnsi="宋体" w:eastAsia="宋体" w:cs="宋体"/>
          <w:color w:val="auto"/>
          <w:sz w:val="28"/>
          <w:szCs w:val="28"/>
          <w:highlight w:val="none"/>
          <w:u w:val="none"/>
        </w:rPr>
        <w:t>采样工具：</w:t>
      </w:r>
    </w:p>
    <w:p>
      <w:pPr>
        <w:keepNext w:val="0"/>
        <w:keepLines w:val="0"/>
        <w:pageBreakBefore w:val="0"/>
        <w:widowControl w:val="0"/>
        <w:kinsoku/>
        <w:wordWrap/>
        <w:overflowPunct/>
        <w:topLinePunct w:val="0"/>
        <w:autoSpaceDE/>
        <w:autoSpaceDN/>
        <w:bidi w:val="0"/>
        <w:adjustRightInd/>
        <w:snapToGrid/>
        <w:spacing w:line="360" w:lineRule="auto"/>
        <w:ind w:left="0" w:leftChars="0" w:right="0" w:firstLine="560" w:firstLineChars="200"/>
        <w:textAlignment w:val="auto"/>
        <w:rPr>
          <w:rFonts w:hint="eastAsia" w:ascii="宋体" w:hAnsi="宋体" w:eastAsia="宋体" w:cs="宋体"/>
          <w:color w:val="auto"/>
          <w:sz w:val="28"/>
          <w:szCs w:val="28"/>
          <w:highlight w:val="none"/>
          <w:u w:val="none"/>
        </w:rPr>
      </w:pPr>
      <w:r>
        <w:rPr>
          <w:rFonts w:hint="eastAsia" w:ascii="宋体" w:hAnsi="宋体" w:eastAsia="宋体" w:cs="宋体"/>
          <w:color w:val="auto"/>
          <w:sz w:val="28"/>
          <w:szCs w:val="28"/>
          <w:highlight w:val="none"/>
          <w:u w:val="none"/>
        </w:rPr>
        <w:t>园状取土钻、螺旋取土钻、铁锹、铁铲、洛阳铲、竹片、竹刀、毛刷、采样洗涤装置。</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0" w:leftChars="0" w:right="0" w:firstLine="560" w:firstLineChars="200"/>
        <w:textAlignment w:val="auto"/>
        <w:rPr>
          <w:rFonts w:hint="eastAsia" w:ascii="宋体" w:hAnsi="宋体" w:eastAsia="宋体" w:cs="宋体"/>
          <w:color w:val="auto"/>
          <w:sz w:val="28"/>
          <w:szCs w:val="28"/>
          <w:highlight w:val="none"/>
          <w:u w:val="none"/>
        </w:rPr>
      </w:pPr>
      <w:r>
        <w:rPr>
          <w:rFonts w:hint="eastAsia" w:ascii="宋体" w:hAnsi="宋体" w:eastAsia="宋体" w:cs="宋体"/>
          <w:color w:val="auto"/>
          <w:sz w:val="28"/>
          <w:szCs w:val="28"/>
          <w:highlight w:val="none"/>
          <w:u w:val="none"/>
        </w:rPr>
        <w:t>样品包装用品</w:t>
      </w:r>
    </w:p>
    <w:p>
      <w:pPr>
        <w:keepNext w:val="0"/>
        <w:keepLines w:val="0"/>
        <w:pageBreakBefore w:val="0"/>
        <w:widowControl w:val="0"/>
        <w:kinsoku/>
        <w:wordWrap/>
        <w:overflowPunct/>
        <w:topLinePunct w:val="0"/>
        <w:autoSpaceDE/>
        <w:autoSpaceDN/>
        <w:bidi w:val="0"/>
        <w:adjustRightInd/>
        <w:snapToGrid/>
        <w:spacing w:line="360" w:lineRule="auto"/>
        <w:ind w:left="0" w:leftChars="0" w:right="0" w:firstLine="560" w:firstLineChars="200"/>
        <w:textAlignment w:val="auto"/>
        <w:rPr>
          <w:rFonts w:hint="eastAsia" w:ascii="宋体" w:hAnsi="宋体" w:eastAsia="宋体" w:cs="宋体"/>
          <w:color w:val="auto"/>
          <w:sz w:val="28"/>
          <w:szCs w:val="28"/>
          <w:highlight w:val="none"/>
          <w:u w:val="none"/>
        </w:rPr>
      </w:pPr>
      <w:r>
        <w:rPr>
          <w:rFonts w:hint="eastAsia" w:ascii="宋体" w:hAnsi="宋体" w:eastAsia="宋体" w:cs="宋体"/>
          <w:color w:val="auto"/>
          <w:sz w:val="28"/>
          <w:szCs w:val="28"/>
          <w:highlight w:val="none"/>
          <w:u w:val="none"/>
        </w:rPr>
        <w:t>样品袋（聚乙烯）、棕色广口瓶（500ml）、样品现场暂存箱（冷链要求）。</w:t>
      </w:r>
    </w:p>
    <w:p>
      <w:pPr>
        <w:keepNext w:val="0"/>
        <w:keepLines w:val="0"/>
        <w:pageBreakBefore w:val="0"/>
        <w:widowControl w:val="0"/>
        <w:kinsoku/>
        <w:wordWrap/>
        <w:overflowPunct/>
        <w:topLinePunct w:val="0"/>
        <w:autoSpaceDE/>
        <w:autoSpaceDN/>
        <w:bidi w:val="0"/>
        <w:adjustRightInd/>
        <w:snapToGrid/>
        <w:spacing w:line="360" w:lineRule="auto"/>
        <w:ind w:left="0" w:leftChars="0" w:right="0" w:firstLine="560" w:firstLineChars="200"/>
        <w:textAlignment w:val="auto"/>
        <w:rPr>
          <w:rFonts w:hint="eastAsia" w:ascii="宋体" w:hAnsi="宋体" w:eastAsia="宋体" w:cs="宋体"/>
          <w:color w:val="auto"/>
          <w:sz w:val="28"/>
          <w:szCs w:val="28"/>
          <w:highlight w:val="none"/>
          <w:u w:val="none"/>
        </w:rPr>
      </w:pPr>
      <w:r>
        <w:rPr>
          <w:rFonts w:hint="eastAsia" w:ascii="宋体" w:hAnsi="宋体" w:eastAsia="宋体" w:cs="宋体"/>
          <w:color w:val="auto"/>
          <w:sz w:val="28"/>
          <w:szCs w:val="28"/>
          <w:highlight w:val="none"/>
          <w:u w:val="none"/>
        </w:rPr>
        <w:t>4）记录工具</w:t>
      </w:r>
    </w:p>
    <w:p>
      <w:pPr>
        <w:keepNext w:val="0"/>
        <w:keepLines w:val="0"/>
        <w:pageBreakBefore w:val="0"/>
        <w:widowControl w:val="0"/>
        <w:kinsoku/>
        <w:wordWrap/>
        <w:overflowPunct/>
        <w:topLinePunct w:val="0"/>
        <w:autoSpaceDE/>
        <w:autoSpaceDN/>
        <w:bidi w:val="0"/>
        <w:adjustRightInd/>
        <w:snapToGrid/>
        <w:spacing w:line="360" w:lineRule="auto"/>
        <w:ind w:left="0" w:leftChars="0" w:right="0" w:firstLine="560" w:firstLineChars="200"/>
        <w:textAlignment w:val="auto"/>
        <w:rPr>
          <w:rFonts w:hint="eastAsia" w:ascii="宋体" w:hAnsi="宋体" w:eastAsia="宋体" w:cs="宋体"/>
          <w:color w:val="auto"/>
          <w:sz w:val="28"/>
          <w:szCs w:val="28"/>
          <w:highlight w:val="none"/>
          <w:u w:val="none"/>
        </w:rPr>
      </w:pPr>
      <w:r>
        <w:rPr>
          <w:rFonts w:hint="eastAsia" w:ascii="宋体" w:hAnsi="宋体" w:eastAsia="宋体" w:cs="宋体"/>
          <w:color w:val="auto"/>
          <w:sz w:val="28"/>
          <w:szCs w:val="28"/>
          <w:highlight w:val="none"/>
          <w:u w:val="none"/>
        </w:rPr>
        <w:t>GPS、罗盘、照相机、录像机、样品监控记录仪、卷尺、皮尺、自由夹、样品现场记录表、样品标签、点位标识牌。</w:t>
      </w:r>
    </w:p>
    <w:p>
      <w:pPr>
        <w:keepNext w:val="0"/>
        <w:keepLines w:val="0"/>
        <w:pageBreakBefore w:val="0"/>
        <w:widowControl w:val="0"/>
        <w:kinsoku/>
        <w:wordWrap/>
        <w:overflowPunct/>
        <w:topLinePunct w:val="0"/>
        <w:autoSpaceDE/>
        <w:autoSpaceDN/>
        <w:bidi w:val="0"/>
        <w:adjustRightInd/>
        <w:snapToGrid/>
        <w:spacing w:line="360" w:lineRule="auto"/>
        <w:ind w:left="0" w:leftChars="0" w:right="0" w:firstLine="560" w:firstLineChars="200"/>
        <w:textAlignment w:val="auto"/>
        <w:rPr>
          <w:rFonts w:hint="eastAsia" w:ascii="宋体" w:hAnsi="宋体" w:eastAsia="宋体" w:cs="宋体"/>
          <w:color w:val="auto"/>
          <w:sz w:val="28"/>
          <w:szCs w:val="28"/>
          <w:highlight w:val="none"/>
          <w:u w:val="none"/>
        </w:rPr>
      </w:pPr>
      <w:r>
        <w:rPr>
          <w:rFonts w:hint="eastAsia" w:ascii="宋体" w:hAnsi="宋体" w:eastAsia="宋体" w:cs="宋体"/>
          <w:color w:val="auto"/>
          <w:sz w:val="28"/>
          <w:szCs w:val="28"/>
          <w:highlight w:val="none"/>
          <w:u w:val="none"/>
        </w:rPr>
        <w:t>5）其他材料</w:t>
      </w:r>
    </w:p>
    <w:p>
      <w:pPr>
        <w:keepNext w:val="0"/>
        <w:keepLines w:val="0"/>
        <w:pageBreakBefore w:val="0"/>
        <w:widowControl w:val="0"/>
        <w:kinsoku/>
        <w:wordWrap/>
        <w:overflowPunct/>
        <w:topLinePunct w:val="0"/>
        <w:autoSpaceDE/>
        <w:autoSpaceDN/>
        <w:bidi w:val="0"/>
        <w:adjustRightInd/>
        <w:snapToGrid/>
        <w:spacing w:line="360" w:lineRule="auto"/>
        <w:ind w:left="0" w:leftChars="0" w:right="0" w:firstLine="560" w:firstLineChars="200"/>
        <w:textAlignment w:val="auto"/>
        <w:rPr>
          <w:rFonts w:hint="eastAsia" w:ascii="宋体" w:hAnsi="宋体" w:eastAsia="宋体" w:cs="宋体"/>
          <w:color w:val="auto"/>
          <w:sz w:val="28"/>
          <w:szCs w:val="28"/>
          <w:highlight w:val="none"/>
          <w:u w:val="none"/>
          <w:lang w:eastAsia="zh-CN"/>
        </w:rPr>
      </w:pPr>
      <w:r>
        <w:rPr>
          <w:rFonts w:hint="eastAsia" w:ascii="宋体" w:hAnsi="宋体" w:eastAsia="宋体" w:cs="宋体"/>
          <w:color w:val="auto"/>
          <w:sz w:val="28"/>
          <w:szCs w:val="28"/>
          <w:highlight w:val="none"/>
          <w:u w:val="none"/>
        </w:rPr>
        <w:t>药品箱、工作服、工作鞋、</w:t>
      </w:r>
      <w:bookmarkStart w:id="223" w:name="_Toc19612_WPSOffice_Level1"/>
      <w:r>
        <w:rPr>
          <w:rFonts w:hint="eastAsia" w:ascii="宋体" w:hAnsi="宋体" w:eastAsia="宋体" w:cs="宋体"/>
          <w:color w:val="auto"/>
          <w:sz w:val="28"/>
          <w:szCs w:val="28"/>
          <w:highlight w:val="none"/>
          <w:u w:val="none"/>
        </w:rPr>
        <w:t>手套等。</w:t>
      </w:r>
    </w:p>
    <w:bookmarkEnd w:id="223"/>
    <w:p>
      <w:pPr>
        <w:keepNext w:val="0"/>
        <w:keepLines w:val="0"/>
        <w:pageBreakBefore w:val="0"/>
        <w:widowControl w:val="0"/>
        <w:kinsoku/>
        <w:wordWrap/>
        <w:overflowPunct/>
        <w:topLinePunct w:val="0"/>
        <w:autoSpaceDE/>
        <w:autoSpaceDN/>
        <w:bidi w:val="0"/>
        <w:adjustRightInd/>
        <w:snapToGrid/>
        <w:spacing w:line="360" w:lineRule="auto"/>
        <w:ind w:left="0" w:leftChars="0" w:right="0" w:firstLine="560" w:firstLineChars="200"/>
        <w:textAlignment w:val="auto"/>
        <w:rPr>
          <w:rFonts w:hint="eastAsia" w:ascii="宋体" w:hAnsi="宋体" w:eastAsia="宋体" w:cs="宋体"/>
          <w:color w:val="auto"/>
          <w:sz w:val="28"/>
          <w:szCs w:val="28"/>
          <w:highlight w:val="none"/>
          <w:u w:val="none"/>
          <w:lang w:eastAsia="zh-CN"/>
        </w:rPr>
      </w:pPr>
      <w:r>
        <w:rPr>
          <w:rFonts w:hint="eastAsia" w:ascii="宋体" w:hAnsi="宋体" w:eastAsia="宋体" w:cs="宋体"/>
          <w:color w:val="auto"/>
          <w:sz w:val="28"/>
          <w:szCs w:val="28"/>
          <w:highlight w:val="none"/>
          <w:u w:val="none"/>
        </w:rPr>
        <w:t>②采样：影像记录点位标识牌，样品现场记录表开始记录，并做好采样全程记录；</w:t>
      </w:r>
    </w:p>
    <w:p>
      <w:pPr>
        <w:keepNext w:val="0"/>
        <w:keepLines w:val="0"/>
        <w:pageBreakBefore w:val="0"/>
        <w:widowControl w:val="0"/>
        <w:kinsoku/>
        <w:wordWrap/>
        <w:overflowPunct/>
        <w:topLinePunct w:val="0"/>
        <w:autoSpaceDE/>
        <w:autoSpaceDN/>
        <w:bidi w:val="0"/>
        <w:adjustRightInd/>
        <w:snapToGrid/>
        <w:spacing w:line="360" w:lineRule="auto"/>
        <w:ind w:left="0" w:leftChars="0" w:right="0" w:firstLine="560" w:firstLineChars="200"/>
        <w:textAlignment w:val="auto"/>
        <w:rPr>
          <w:rFonts w:hint="eastAsia" w:ascii="宋体" w:hAnsi="宋体" w:eastAsia="宋体" w:cs="宋体"/>
          <w:color w:val="auto"/>
          <w:sz w:val="28"/>
          <w:szCs w:val="28"/>
          <w:highlight w:val="none"/>
          <w:u w:val="none"/>
        </w:rPr>
      </w:pPr>
      <w:r>
        <w:rPr>
          <w:rFonts w:hint="eastAsia" w:ascii="宋体" w:hAnsi="宋体" w:eastAsia="宋体" w:cs="宋体"/>
          <w:color w:val="auto"/>
          <w:sz w:val="28"/>
          <w:szCs w:val="28"/>
          <w:highlight w:val="none"/>
          <w:u w:val="none"/>
        </w:rPr>
        <w:t>使用园状取土钻直接钻取到该点位要求的最深层，钻取结束取出柱状土样，按从下到上次序用竹片（竹刀）除去与金属采样器接触的部分土壤，再依次取样，装满棕色广口瓶，每个样品需加采一个付样（可用聚乙烯样品袋）；及时放入样品现场暂存箱（冷链要求）。</w:t>
      </w:r>
    </w:p>
    <w:p>
      <w:pPr>
        <w:keepNext w:val="0"/>
        <w:keepLines w:val="0"/>
        <w:pageBreakBefore w:val="0"/>
        <w:widowControl w:val="0"/>
        <w:kinsoku/>
        <w:wordWrap/>
        <w:overflowPunct/>
        <w:topLinePunct w:val="0"/>
        <w:autoSpaceDE/>
        <w:autoSpaceDN/>
        <w:bidi w:val="0"/>
        <w:adjustRightInd/>
        <w:snapToGrid/>
        <w:spacing w:line="360" w:lineRule="auto"/>
        <w:ind w:left="0" w:leftChars="0" w:right="0" w:firstLine="560" w:firstLineChars="200"/>
        <w:textAlignment w:val="auto"/>
        <w:rPr>
          <w:rFonts w:hint="eastAsia" w:ascii="宋体" w:hAnsi="宋体" w:eastAsia="宋体" w:cs="宋体"/>
          <w:color w:val="auto"/>
          <w:sz w:val="28"/>
          <w:szCs w:val="28"/>
          <w:highlight w:val="none"/>
          <w:u w:val="none"/>
          <w:lang w:eastAsia="zh-CN"/>
        </w:rPr>
      </w:pPr>
      <w:r>
        <w:rPr>
          <w:rFonts w:hint="eastAsia" w:ascii="宋体" w:hAnsi="宋体" w:eastAsia="宋体" w:cs="宋体"/>
          <w:color w:val="auto"/>
          <w:sz w:val="28"/>
          <w:szCs w:val="28"/>
          <w:highlight w:val="none"/>
          <w:u w:val="none"/>
        </w:rPr>
        <w:t>③样品暂存及管理</w:t>
      </w:r>
    </w:p>
    <w:p>
      <w:pPr>
        <w:keepNext w:val="0"/>
        <w:keepLines w:val="0"/>
        <w:pageBreakBefore w:val="0"/>
        <w:widowControl w:val="0"/>
        <w:kinsoku/>
        <w:wordWrap/>
        <w:overflowPunct/>
        <w:topLinePunct w:val="0"/>
        <w:autoSpaceDE/>
        <w:autoSpaceDN/>
        <w:bidi w:val="0"/>
        <w:adjustRightInd/>
        <w:snapToGrid/>
        <w:spacing w:line="360" w:lineRule="auto"/>
        <w:ind w:left="0" w:leftChars="0" w:right="0" w:firstLine="560" w:firstLineChars="200"/>
        <w:textAlignment w:val="auto"/>
        <w:rPr>
          <w:rFonts w:hint="eastAsia" w:ascii="宋体" w:hAnsi="宋体" w:eastAsia="宋体" w:cs="宋体"/>
          <w:color w:val="auto"/>
          <w:sz w:val="28"/>
          <w:szCs w:val="28"/>
          <w:highlight w:val="none"/>
          <w:u w:val="none"/>
        </w:rPr>
      </w:pPr>
      <w:r>
        <w:rPr>
          <w:rFonts w:hint="eastAsia" w:ascii="宋体" w:hAnsi="宋体" w:eastAsia="宋体" w:cs="宋体"/>
          <w:color w:val="auto"/>
          <w:sz w:val="28"/>
          <w:szCs w:val="28"/>
          <w:highlight w:val="none"/>
          <w:u w:val="none"/>
        </w:rPr>
        <w:t>样品现场采集后应及时送至样品暂存室冷链保存，同时填写好入室单（交接单）；样品暂存室监控记录仪时刻记录样品存放状况。</w:t>
      </w:r>
    </w:p>
    <w:p>
      <w:pPr>
        <w:keepNext w:val="0"/>
        <w:keepLines w:val="0"/>
        <w:pageBreakBefore w:val="0"/>
        <w:widowControl w:val="0"/>
        <w:kinsoku/>
        <w:wordWrap/>
        <w:overflowPunct/>
        <w:topLinePunct w:val="0"/>
        <w:autoSpaceDE/>
        <w:autoSpaceDN/>
        <w:bidi w:val="0"/>
        <w:adjustRightInd/>
        <w:snapToGrid/>
        <w:spacing w:line="360" w:lineRule="auto"/>
        <w:ind w:left="0" w:leftChars="0" w:right="0" w:firstLine="560" w:firstLineChars="200"/>
        <w:textAlignment w:val="auto"/>
        <w:rPr>
          <w:rFonts w:hint="eastAsia" w:ascii="宋体" w:hAnsi="宋体" w:eastAsia="宋体" w:cs="宋体"/>
          <w:color w:val="auto"/>
          <w:sz w:val="28"/>
          <w:szCs w:val="28"/>
          <w:highlight w:val="none"/>
          <w:u w:val="none"/>
        </w:rPr>
      </w:pPr>
      <w:r>
        <w:rPr>
          <w:rFonts w:hint="eastAsia" w:ascii="宋体" w:hAnsi="宋体" w:eastAsia="宋体" w:cs="宋体"/>
          <w:color w:val="auto"/>
          <w:sz w:val="28"/>
          <w:szCs w:val="28"/>
          <w:highlight w:val="none"/>
          <w:u w:val="none"/>
        </w:rPr>
        <w:t>④样品现场记录表、样品标签、点位标识牌、样品入室记录（交接单）、样品出室记录（交接单）等内容。</w:t>
      </w:r>
    </w:p>
    <w:p>
      <w:pPr>
        <w:keepNext w:val="0"/>
        <w:keepLines w:val="0"/>
        <w:pageBreakBefore w:val="0"/>
        <w:widowControl w:val="0"/>
        <w:kinsoku/>
        <w:wordWrap/>
        <w:overflowPunct/>
        <w:topLinePunct w:val="0"/>
        <w:autoSpaceDE/>
        <w:autoSpaceDN/>
        <w:bidi w:val="0"/>
        <w:adjustRightInd/>
        <w:snapToGrid/>
        <w:spacing w:line="360" w:lineRule="auto"/>
        <w:ind w:left="0" w:leftChars="0" w:right="0" w:firstLine="560" w:firstLineChars="200"/>
        <w:textAlignment w:val="auto"/>
        <w:rPr>
          <w:rFonts w:hint="eastAsia" w:ascii="宋体" w:hAnsi="宋体" w:eastAsia="宋体" w:cs="宋体"/>
          <w:color w:val="auto"/>
          <w:sz w:val="28"/>
          <w:szCs w:val="28"/>
          <w:highlight w:val="none"/>
          <w:u w:val="none"/>
        </w:rPr>
      </w:pPr>
      <w:r>
        <w:rPr>
          <w:rFonts w:hint="eastAsia" w:ascii="宋体" w:hAnsi="宋体" w:eastAsia="宋体" w:cs="宋体"/>
          <w:color w:val="auto"/>
          <w:sz w:val="28"/>
          <w:szCs w:val="28"/>
          <w:highlight w:val="none"/>
          <w:u w:val="none"/>
        </w:rPr>
        <w:t>⑤样品流转</w:t>
      </w:r>
    </w:p>
    <w:p>
      <w:pPr>
        <w:keepNext w:val="0"/>
        <w:keepLines w:val="0"/>
        <w:pageBreakBefore w:val="0"/>
        <w:widowControl w:val="0"/>
        <w:kinsoku/>
        <w:wordWrap/>
        <w:overflowPunct/>
        <w:topLinePunct w:val="0"/>
        <w:autoSpaceDE/>
        <w:autoSpaceDN/>
        <w:bidi w:val="0"/>
        <w:adjustRightInd/>
        <w:snapToGrid/>
        <w:spacing w:line="360" w:lineRule="auto"/>
        <w:ind w:left="0" w:leftChars="0" w:right="0" w:firstLine="560" w:firstLineChars="200"/>
        <w:textAlignment w:val="auto"/>
        <w:rPr>
          <w:rFonts w:hint="eastAsia" w:ascii="宋体" w:hAnsi="宋体" w:eastAsia="宋体" w:cs="宋体"/>
          <w:color w:val="auto"/>
          <w:sz w:val="28"/>
          <w:szCs w:val="28"/>
          <w:highlight w:val="none"/>
          <w:u w:val="none"/>
        </w:rPr>
      </w:pPr>
      <w:r>
        <w:rPr>
          <w:rFonts w:hint="eastAsia" w:ascii="宋体" w:hAnsi="宋体" w:eastAsia="宋体" w:cs="宋体"/>
          <w:color w:val="auto"/>
          <w:sz w:val="28"/>
          <w:szCs w:val="28"/>
          <w:highlight w:val="none"/>
          <w:u w:val="none"/>
        </w:rPr>
        <w:t>样品应在规定的时间内送至实验室进行检测；</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0" w:leftChars="0" w:right="0" w:firstLine="560" w:firstLineChars="200"/>
        <w:textAlignment w:val="auto"/>
        <w:rPr>
          <w:rFonts w:hint="eastAsia" w:ascii="宋体" w:hAnsi="宋体" w:eastAsia="宋体" w:cs="宋体"/>
          <w:color w:val="auto"/>
          <w:sz w:val="28"/>
          <w:szCs w:val="28"/>
          <w:highlight w:val="none"/>
          <w:u w:val="none"/>
        </w:rPr>
      </w:pPr>
      <w:r>
        <w:rPr>
          <w:rFonts w:hint="eastAsia" w:ascii="宋体" w:hAnsi="宋体" w:eastAsia="宋体" w:cs="宋体"/>
          <w:color w:val="auto"/>
          <w:sz w:val="28"/>
          <w:szCs w:val="28"/>
          <w:highlight w:val="none"/>
          <w:u w:val="none"/>
        </w:rPr>
        <w:t>转运前核对</w:t>
      </w:r>
    </w:p>
    <w:p>
      <w:pPr>
        <w:keepNext w:val="0"/>
        <w:keepLines w:val="0"/>
        <w:pageBreakBefore w:val="0"/>
        <w:widowControl w:val="0"/>
        <w:kinsoku/>
        <w:wordWrap/>
        <w:overflowPunct/>
        <w:topLinePunct w:val="0"/>
        <w:autoSpaceDE/>
        <w:autoSpaceDN/>
        <w:bidi w:val="0"/>
        <w:adjustRightInd/>
        <w:snapToGrid/>
        <w:spacing w:line="360" w:lineRule="auto"/>
        <w:ind w:left="0" w:leftChars="0" w:right="0" w:firstLine="560" w:firstLineChars="200"/>
        <w:textAlignment w:val="auto"/>
        <w:rPr>
          <w:rFonts w:hint="eastAsia" w:ascii="宋体" w:hAnsi="宋体" w:eastAsia="宋体" w:cs="宋体"/>
          <w:color w:val="auto"/>
          <w:sz w:val="28"/>
          <w:szCs w:val="28"/>
          <w:highlight w:val="none"/>
          <w:u w:val="none"/>
        </w:rPr>
      </w:pPr>
      <w:r>
        <w:rPr>
          <w:rFonts w:hint="eastAsia" w:ascii="宋体" w:hAnsi="宋体" w:eastAsia="宋体" w:cs="宋体"/>
          <w:color w:val="auto"/>
          <w:sz w:val="28"/>
          <w:szCs w:val="28"/>
          <w:highlight w:val="none"/>
          <w:u w:val="none"/>
        </w:rPr>
        <w:t>样品从暂存室出库前必须逐件与样品标签、样品入室记录（交接单）进行核对，核对无误并填写好样品出室记录（交接单）后分类装箱；样品入室记录（交接单）、样品出室记录（交接单）均一式两份，分别由送样、押运人员和样品暂存室保存。</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0" w:leftChars="0" w:right="0" w:firstLine="560" w:firstLineChars="200"/>
        <w:textAlignment w:val="auto"/>
        <w:rPr>
          <w:rFonts w:hint="eastAsia" w:ascii="宋体" w:hAnsi="宋体" w:eastAsia="宋体" w:cs="宋体"/>
          <w:color w:val="auto"/>
          <w:sz w:val="28"/>
          <w:szCs w:val="28"/>
          <w:highlight w:val="none"/>
          <w:u w:val="none"/>
        </w:rPr>
      </w:pPr>
      <w:r>
        <w:rPr>
          <w:rFonts w:hint="eastAsia" w:ascii="宋体" w:hAnsi="宋体" w:eastAsia="宋体" w:cs="宋体"/>
          <w:color w:val="auto"/>
          <w:sz w:val="28"/>
          <w:szCs w:val="28"/>
          <w:highlight w:val="none"/>
          <w:u w:val="none"/>
        </w:rPr>
        <w:t>样品转运：样品转运需全程保持冷链（&lt;4℃）；专人送样。</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0" w:leftChars="0" w:right="0" w:firstLine="560" w:firstLineChars="200"/>
        <w:textAlignment w:val="auto"/>
        <w:rPr>
          <w:rFonts w:hint="eastAsia" w:ascii="宋体" w:hAnsi="宋体" w:eastAsia="宋体" w:cs="宋体"/>
          <w:color w:val="auto"/>
          <w:sz w:val="28"/>
          <w:szCs w:val="28"/>
          <w:highlight w:val="none"/>
          <w:u w:val="none"/>
        </w:rPr>
      </w:pPr>
      <w:r>
        <w:rPr>
          <w:rFonts w:hint="eastAsia" w:ascii="宋体" w:hAnsi="宋体" w:eastAsia="宋体" w:cs="宋体"/>
          <w:color w:val="auto"/>
          <w:sz w:val="28"/>
          <w:szCs w:val="28"/>
          <w:highlight w:val="none"/>
          <w:u w:val="none"/>
        </w:rPr>
        <w:t>样品交接：样品送达实验室后，送样人员和实验室接样人员必须逐件对样品标签和样品出室记录（交接单）核对；样品名称、采样地点、样品数量、包装、外观形态是否一致、完好；样品是否有损坏、污染；当样品有异议时，实验室接样人员应及时向送样人员询问，实验室接样人员应记录有关说明及处理意见；</w:t>
      </w:r>
    </w:p>
    <w:p>
      <w:pPr>
        <w:keepNext w:val="0"/>
        <w:keepLines w:val="0"/>
        <w:pageBreakBefore w:val="0"/>
        <w:widowControl w:val="0"/>
        <w:kinsoku/>
        <w:wordWrap/>
        <w:overflowPunct/>
        <w:topLinePunct w:val="0"/>
        <w:autoSpaceDE/>
        <w:autoSpaceDN/>
        <w:bidi w:val="0"/>
        <w:adjustRightInd/>
        <w:snapToGrid/>
        <w:spacing w:line="360" w:lineRule="auto"/>
        <w:ind w:left="0" w:leftChars="0" w:right="0" w:firstLine="560" w:firstLineChars="200"/>
        <w:textAlignment w:val="auto"/>
        <w:rPr>
          <w:rFonts w:hint="eastAsia" w:ascii="宋体" w:hAnsi="宋体" w:eastAsia="宋体" w:cs="宋体"/>
          <w:color w:val="auto"/>
          <w:sz w:val="28"/>
          <w:szCs w:val="28"/>
          <w:highlight w:val="none"/>
          <w:u w:val="none"/>
        </w:rPr>
      </w:pPr>
      <w:r>
        <w:rPr>
          <w:rFonts w:hint="eastAsia" w:ascii="宋体" w:hAnsi="宋体" w:eastAsia="宋体" w:cs="宋体"/>
          <w:color w:val="auto"/>
          <w:sz w:val="28"/>
          <w:szCs w:val="28"/>
          <w:highlight w:val="none"/>
          <w:u w:val="none"/>
        </w:rPr>
        <w:t>在上述工作完成后，送样人员和实验室接样人员在样品交接单上签字后即完成样品交接。</w:t>
      </w:r>
    </w:p>
    <w:bookmarkEnd w:id="218"/>
    <w:p>
      <w:pPr>
        <w:pStyle w:val="9"/>
        <w:pageBreakBefore w:val="0"/>
        <w:numPr>
          <w:ilvl w:val="2"/>
          <w:numId w:val="0"/>
        </w:numPr>
        <w:kinsoku/>
        <w:wordWrap/>
        <w:overflowPunct/>
        <w:topLinePunct w:val="0"/>
        <w:autoSpaceDE/>
        <w:autoSpaceDN/>
        <w:bidi w:val="0"/>
        <w:spacing w:before="0" w:beforeLines="0" w:after="0" w:afterLines="0" w:line="360" w:lineRule="auto"/>
        <w:ind w:left="0" w:leftChars="0" w:right="0"/>
        <w:textAlignment w:val="auto"/>
        <w:outlineLvl w:val="2"/>
        <w:rPr>
          <w:rFonts w:hint="eastAsia" w:ascii="宋体" w:hAnsi="宋体" w:eastAsia="宋体" w:cs="宋体"/>
          <w:color w:val="auto"/>
          <w:sz w:val="28"/>
          <w:szCs w:val="22"/>
          <w:highlight w:val="none"/>
          <w:u w:val="none"/>
          <w:lang w:val="en-US" w:eastAsia="zh-CN"/>
        </w:rPr>
      </w:pPr>
      <w:bookmarkStart w:id="224" w:name="4.6 现场质量控制与保障计划"/>
      <w:bookmarkEnd w:id="224"/>
      <w:bookmarkStart w:id="225" w:name="_Toc14610"/>
      <w:bookmarkStart w:id="226" w:name="_Toc6878"/>
      <w:bookmarkStart w:id="227" w:name="_Toc26004785"/>
      <w:bookmarkStart w:id="228" w:name="_Toc9622_WPSOffice_Level2"/>
      <w:bookmarkStart w:id="229" w:name="_Toc4809"/>
      <w:bookmarkStart w:id="230" w:name="_Toc32312"/>
      <w:r>
        <w:rPr>
          <w:rFonts w:hint="eastAsia" w:ascii="宋体" w:hAnsi="宋体" w:eastAsia="宋体" w:cs="宋体"/>
          <w:color w:val="auto"/>
          <w:sz w:val="28"/>
          <w:szCs w:val="22"/>
          <w:highlight w:val="none"/>
          <w:u w:val="none"/>
          <w:lang w:val="en-US" w:eastAsia="zh-CN"/>
        </w:rPr>
        <w:t>7.3实验室质量保证</w:t>
      </w:r>
      <w:bookmarkEnd w:id="225"/>
      <w:bookmarkEnd w:id="226"/>
      <w:bookmarkEnd w:id="227"/>
      <w:bookmarkEnd w:id="228"/>
      <w:bookmarkEnd w:id="229"/>
      <w:bookmarkEnd w:id="230"/>
    </w:p>
    <w:p>
      <w:pPr>
        <w:pageBreakBefore w:val="0"/>
        <w:kinsoku/>
        <w:wordWrap/>
        <w:overflowPunct/>
        <w:topLinePunct w:val="0"/>
        <w:autoSpaceDE/>
        <w:autoSpaceDN/>
        <w:bidi w:val="0"/>
        <w:spacing w:line="360" w:lineRule="auto"/>
        <w:ind w:left="0" w:leftChars="0" w:right="0" w:firstLine="560" w:firstLineChars="200"/>
        <w:textAlignment w:val="auto"/>
        <w:rPr>
          <w:rFonts w:hint="eastAsia" w:ascii="宋体" w:hAnsi="宋体" w:eastAsia="宋体" w:cs="宋体"/>
          <w:color w:val="auto"/>
          <w:sz w:val="28"/>
          <w:szCs w:val="28"/>
          <w:highlight w:val="none"/>
          <w:u w:val="none"/>
        </w:rPr>
      </w:pPr>
      <w:r>
        <w:rPr>
          <w:rFonts w:hint="eastAsia" w:ascii="宋体" w:hAnsi="宋体" w:eastAsia="宋体" w:cs="宋体"/>
          <w:color w:val="auto"/>
          <w:sz w:val="28"/>
          <w:szCs w:val="28"/>
          <w:highlight w:val="none"/>
          <w:u w:val="none"/>
        </w:rPr>
        <w:t>（1）监测人员严格执行环境监测技术规范，监测人员具有土壤监测证书，监测所用仪器、量器经参加培训的人员进行校准。</w:t>
      </w:r>
    </w:p>
    <w:p>
      <w:pPr>
        <w:pageBreakBefore w:val="0"/>
        <w:kinsoku/>
        <w:wordWrap/>
        <w:overflowPunct/>
        <w:topLinePunct w:val="0"/>
        <w:autoSpaceDE/>
        <w:autoSpaceDN/>
        <w:bidi w:val="0"/>
        <w:spacing w:line="360" w:lineRule="auto"/>
        <w:ind w:left="0" w:leftChars="0" w:right="0" w:firstLine="560" w:firstLineChars="200"/>
        <w:textAlignment w:val="auto"/>
        <w:rPr>
          <w:rFonts w:hint="eastAsia" w:ascii="宋体" w:hAnsi="宋体" w:eastAsia="宋体" w:cs="宋体"/>
          <w:color w:val="auto"/>
          <w:sz w:val="28"/>
          <w:szCs w:val="28"/>
          <w:highlight w:val="none"/>
          <w:u w:val="none"/>
        </w:rPr>
      </w:pPr>
      <w:r>
        <w:rPr>
          <w:rFonts w:hint="eastAsia" w:ascii="宋体" w:hAnsi="宋体" w:eastAsia="宋体" w:cs="宋体"/>
          <w:color w:val="auto"/>
          <w:sz w:val="28"/>
          <w:szCs w:val="28"/>
          <w:highlight w:val="none"/>
          <w:u w:val="none"/>
        </w:rPr>
        <w:t>（2）每批次样品分析时，应进行空白试验。分析测试方法有规定的，按分析测试方法的规定进行；分析测试方法无规定时，要求每批样品或每10个样品应至少做1次空白试验。</w:t>
      </w:r>
    </w:p>
    <w:p>
      <w:pPr>
        <w:pageBreakBefore w:val="0"/>
        <w:kinsoku/>
        <w:wordWrap/>
        <w:overflowPunct/>
        <w:topLinePunct w:val="0"/>
        <w:autoSpaceDE/>
        <w:autoSpaceDN/>
        <w:bidi w:val="0"/>
        <w:spacing w:line="360" w:lineRule="auto"/>
        <w:ind w:left="0" w:leftChars="0" w:right="0" w:firstLine="560" w:firstLineChars="200"/>
        <w:textAlignment w:val="auto"/>
        <w:rPr>
          <w:rFonts w:hint="eastAsia" w:ascii="宋体" w:hAnsi="宋体" w:eastAsia="宋体" w:cs="宋体"/>
          <w:color w:val="auto"/>
          <w:sz w:val="28"/>
          <w:szCs w:val="28"/>
          <w:highlight w:val="none"/>
          <w:u w:val="none"/>
        </w:rPr>
      </w:pPr>
      <w:r>
        <w:rPr>
          <w:rFonts w:hint="eastAsia" w:ascii="宋体" w:hAnsi="宋体" w:eastAsia="宋体" w:cs="宋体"/>
          <w:color w:val="auto"/>
          <w:sz w:val="28"/>
          <w:szCs w:val="28"/>
          <w:highlight w:val="none"/>
          <w:u w:val="none"/>
        </w:rPr>
        <w:t>（3）每批次样品分析时，每个检测项目均须做平行双样分析。在每批次分析样品中，应随机抽取10%的样品进行平行双样分析（有机因子除外）；当批次样品数＜10时，应至少随机抽取1个样品进行平行双样分析。</w:t>
      </w:r>
    </w:p>
    <w:p>
      <w:pPr>
        <w:pageBreakBefore w:val="0"/>
        <w:kinsoku/>
        <w:wordWrap/>
        <w:overflowPunct/>
        <w:topLinePunct w:val="0"/>
        <w:autoSpaceDE/>
        <w:autoSpaceDN/>
        <w:bidi w:val="0"/>
        <w:spacing w:line="360" w:lineRule="auto"/>
        <w:ind w:left="0" w:leftChars="0" w:right="0" w:firstLine="560" w:firstLineChars="200"/>
        <w:textAlignment w:val="auto"/>
        <w:rPr>
          <w:rFonts w:hint="eastAsia" w:ascii="宋体" w:hAnsi="宋体" w:eastAsia="宋体" w:cs="宋体"/>
          <w:color w:val="auto"/>
          <w:sz w:val="28"/>
          <w:szCs w:val="28"/>
          <w:highlight w:val="none"/>
          <w:u w:val="none"/>
        </w:rPr>
      </w:pPr>
      <w:r>
        <w:rPr>
          <w:rFonts w:hint="eastAsia" w:ascii="宋体" w:hAnsi="宋体" w:eastAsia="宋体" w:cs="宋体"/>
          <w:color w:val="auto"/>
          <w:sz w:val="28"/>
          <w:szCs w:val="28"/>
          <w:highlight w:val="none"/>
          <w:u w:val="none"/>
        </w:rPr>
        <w:t>（4）被测土壤样品应在每批次样品分析时同步均匀插入有证标准物质与被测样品同步进行分析测试。每批次同类型分析样品要求按样品数10%的比例插入标准物质样品；当批次分析样品数＜10时，应至少插入1个标准物质样品。</w:t>
      </w:r>
    </w:p>
    <w:p>
      <w:pPr>
        <w:pageBreakBefore w:val="0"/>
        <w:kinsoku/>
        <w:wordWrap/>
        <w:overflowPunct/>
        <w:topLinePunct w:val="0"/>
        <w:autoSpaceDE/>
        <w:autoSpaceDN/>
        <w:bidi w:val="0"/>
        <w:spacing w:line="360" w:lineRule="auto"/>
        <w:ind w:left="0" w:leftChars="0" w:right="0" w:firstLine="560" w:firstLineChars="200"/>
        <w:textAlignment w:val="auto"/>
        <w:outlineLvl w:val="3"/>
        <w:rPr>
          <w:rFonts w:hint="eastAsia" w:ascii="宋体" w:hAnsi="宋体" w:eastAsia="宋体" w:cs="宋体"/>
          <w:color w:val="auto"/>
          <w:sz w:val="28"/>
          <w:szCs w:val="28"/>
          <w:highlight w:val="none"/>
          <w:u w:val="none"/>
        </w:rPr>
      </w:pPr>
      <w:r>
        <w:rPr>
          <w:rFonts w:hint="eastAsia" w:ascii="宋体" w:hAnsi="宋体" w:eastAsia="宋体" w:cs="宋体"/>
          <w:color w:val="auto"/>
          <w:sz w:val="28"/>
          <w:szCs w:val="28"/>
          <w:highlight w:val="none"/>
          <w:u w:val="none"/>
        </w:rPr>
        <w:t>（5）监测数据严格实行三级审核制度。</w:t>
      </w:r>
    </w:p>
    <w:p>
      <w:pPr>
        <w:keepNext/>
        <w:keepLines/>
        <w:snapToGrid w:val="0"/>
        <w:ind w:left="0" w:leftChars="0" w:firstLine="0" w:firstLineChars="0"/>
        <w:jc w:val="center"/>
        <w:outlineLvl w:val="9"/>
        <w:rPr>
          <w:rFonts w:hint="eastAsia" w:ascii="宋体" w:hAnsi="宋体" w:eastAsia="宋体" w:cs="宋体"/>
          <w:b/>
          <w:bCs/>
          <w:color w:val="auto"/>
          <w:spacing w:val="0"/>
          <w:sz w:val="30"/>
          <w:szCs w:val="30"/>
          <w:highlight w:val="none"/>
        </w:rPr>
      </w:pPr>
      <w:r>
        <w:rPr>
          <w:rFonts w:hint="eastAsia" w:ascii="宋体" w:hAnsi="宋体" w:eastAsia="宋体" w:cs="宋体"/>
          <w:b/>
          <w:color w:val="auto"/>
          <w:sz w:val="24"/>
          <w:highlight w:val="none"/>
          <w:lang w:val="en-US" w:eastAsia="zh-CN"/>
        </w:rPr>
        <w:t xml:space="preserve">表7-2 </w:t>
      </w:r>
      <w:bookmarkEnd w:id="219"/>
      <w:bookmarkEnd w:id="220"/>
      <w:bookmarkEnd w:id="221"/>
      <w:bookmarkEnd w:id="222"/>
      <w:bookmarkStart w:id="231" w:name="_Toc25764"/>
      <w:bookmarkStart w:id="232" w:name="_Toc19180"/>
      <w:r>
        <w:rPr>
          <w:rFonts w:hint="eastAsia" w:ascii="宋体" w:hAnsi="宋体" w:eastAsia="宋体" w:cs="宋体"/>
          <w:b/>
          <w:bCs/>
          <w:color w:val="auto"/>
          <w:spacing w:val="0"/>
          <w:sz w:val="28"/>
          <w:szCs w:val="28"/>
          <w:highlight w:val="none"/>
          <w:lang w:val="en-US" w:eastAsia="zh-CN"/>
        </w:rPr>
        <w:t>地下水和土壤</w:t>
      </w:r>
      <w:r>
        <w:rPr>
          <w:rFonts w:hint="eastAsia" w:ascii="宋体" w:hAnsi="宋体" w:eastAsia="宋体" w:cs="宋体"/>
          <w:b/>
          <w:bCs/>
          <w:color w:val="auto"/>
          <w:spacing w:val="0"/>
          <w:sz w:val="28"/>
          <w:szCs w:val="28"/>
          <w:highlight w:val="none"/>
        </w:rPr>
        <w:t>检测分析方法及仪器</w:t>
      </w:r>
    </w:p>
    <w:tbl>
      <w:tblPr>
        <w:tblStyle w:val="21"/>
        <w:tblW w:w="9077" w:type="dxa"/>
        <w:jc w:val="center"/>
        <w:tblBorders>
          <w:top w:val="double" w:color="auto" w:sz="4" w:space="0"/>
          <w:left w:val="none" w:color="auto" w:sz="0" w:space="0"/>
          <w:bottom w:val="doub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359"/>
        <w:gridCol w:w="3844"/>
        <w:gridCol w:w="2405"/>
        <w:gridCol w:w="1456"/>
        <w:gridCol w:w="13"/>
      </w:tblGrid>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61" w:hRule="atLeast"/>
          <w:jc w:val="center"/>
        </w:trPr>
        <w:tc>
          <w:tcPr>
            <w:tcW w:w="135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color w:val="auto"/>
                <w:spacing w:val="0"/>
                <w:sz w:val="21"/>
                <w:szCs w:val="21"/>
                <w:highlight w:val="none"/>
              </w:rPr>
            </w:pPr>
            <w:r>
              <w:rPr>
                <w:rFonts w:hint="eastAsia" w:ascii="宋体" w:hAnsi="宋体" w:eastAsia="宋体" w:cs="宋体"/>
                <w:b/>
                <w:color w:val="auto"/>
                <w:spacing w:val="0"/>
                <w:sz w:val="21"/>
                <w:szCs w:val="21"/>
                <w:highlight w:val="none"/>
              </w:rPr>
              <w:t>检测项目</w:t>
            </w:r>
          </w:p>
        </w:tc>
        <w:tc>
          <w:tcPr>
            <w:tcW w:w="384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color w:val="auto"/>
                <w:spacing w:val="0"/>
                <w:sz w:val="21"/>
                <w:szCs w:val="21"/>
                <w:highlight w:val="none"/>
              </w:rPr>
            </w:pPr>
            <w:r>
              <w:rPr>
                <w:rFonts w:hint="eastAsia" w:ascii="宋体" w:hAnsi="宋体" w:eastAsia="宋体" w:cs="宋体"/>
                <w:b/>
                <w:color w:val="auto"/>
                <w:spacing w:val="0"/>
                <w:sz w:val="21"/>
                <w:szCs w:val="21"/>
                <w:highlight w:val="none"/>
              </w:rPr>
              <w:t>检测方法</w:t>
            </w:r>
          </w:p>
        </w:tc>
        <w:tc>
          <w:tcPr>
            <w:tcW w:w="2405"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color w:val="auto"/>
                <w:spacing w:val="0"/>
                <w:sz w:val="21"/>
                <w:szCs w:val="21"/>
                <w:highlight w:val="none"/>
              </w:rPr>
            </w:pPr>
            <w:r>
              <w:rPr>
                <w:rFonts w:hint="eastAsia" w:ascii="宋体" w:hAnsi="宋体" w:eastAsia="宋体" w:cs="宋体"/>
                <w:b/>
                <w:color w:val="auto"/>
                <w:spacing w:val="0"/>
                <w:sz w:val="21"/>
                <w:szCs w:val="21"/>
                <w:highlight w:val="none"/>
              </w:rPr>
              <w:t>检测分析仪器及型号</w:t>
            </w:r>
          </w:p>
        </w:tc>
        <w:tc>
          <w:tcPr>
            <w:tcW w:w="1469" w:type="dxa"/>
            <w:gridSpan w:val="2"/>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color w:val="auto"/>
                <w:spacing w:val="0"/>
                <w:sz w:val="21"/>
                <w:szCs w:val="21"/>
                <w:highlight w:val="none"/>
              </w:rPr>
            </w:pPr>
            <w:r>
              <w:rPr>
                <w:rFonts w:hint="eastAsia" w:ascii="宋体" w:hAnsi="宋体" w:eastAsia="宋体" w:cs="宋体"/>
                <w:b/>
                <w:color w:val="auto"/>
                <w:spacing w:val="0"/>
                <w:sz w:val="21"/>
                <w:szCs w:val="21"/>
                <w:highlight w:val="none"/>
              </w:rPr>
              <w:t>检出限</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59" w:type="dxa"/>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b w:val="0"/>
                <w:bCs/>
                <w:color w:val="auto"/>
                <w:spacing w:val="0"/>
                <w:kern w:val="0"/>
                <w:sz w:val="21"/>
                <w:szCs w:val="21"/>
                <w:highlight w:val="none"/>
                <w:lang w:val="en-US" w:eastAsia="zh-CN"/>
              </w:rPr>
            </w:pPr>
            <w:r>
              <w:rPr>
                <w:rFonts w:hint="eastAsia" w:ascii="宋体" w:hAnsi="宋体" w:eastAsia="宋体" w:cs="宋体"/>
                <w:color w:val="auto"/>
                <w:spacing w:val="0"/>
                <w:kern w:val="0"/>
                <w:sz w:val="21"/>
                <w:szCs w:val="21"/>
                <w:highlight w:val="none"/>
              </w:rPr>
              <w:t>pH值</w:t>
            </w:r>
          </w:p>
        </w:tc>
        <w:tc>
          <w:tcPr>
            <w:tcW w:w="3844" w:type="dxa"/>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水质pH值的测定电极法</w:t>
            </w:r>
          </w:p>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b w:val="0"/>
                <w:bCs/>
                <w:color w:val="auto"/>
                <w:spacing w:val="0"/>
                <w:kern w:val="0"/>
                <w:sz w:val="21"/>
                <w:szCs w:val="21"/>
                <w:highlight w:val="none"/>
              </w:rPr>
            </w:pPr>
            <w:r>
              <w:rPr>
                <w:rFonts w:hint="eastAsia" w:ascii="宋体" w:hAnsi="宋体" w:eastAsia="宋体" w:cs="宋体"/>
                <w:color w:val="auto"/>
                <w:spacing w:val="0"/>
                <w:kern w:val="0"/>
                <w:sz w:val="21"/>
                <w:szCs w:val="21"/>
                <w:highlight w:val="none"/>
              </w:rPr>
              <w:t>HJ1147-2020</w:t>
            </w:r>
          </w:p>
        </w:tc>
        <w:tc>
          <w:tcPr>
            <w:tcW w:w="2405" w:type="dxa"/>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便携式多参数仪SX836</w:t>
            </w:r>
          </w:p>
        </w:tc>
        <w:tc>
          <w:tcPr>
            <w:tcW w:w="1469" w:type="dxa"/>
            <w:gridSpan w:val="2"/>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lang w:val="en-US" w:eastAsia="zh-CN"/>
              </w:rPr>
            </w:pPr>
            <w:r>
              <w:rPr>
                <w:rFonts w:hint="eastAsia" w:ascii="宋体" w:hAnsi="宋体" w:eastAsia="宋体" w:cs="宋体"/>
                <w:color w:val="auto"/>
                <w:spacing w:val="0"/>
                <w:kern w:val="0"/>
                <w:sz w:val="21"/>
                <w:szCs w:val="21"/>
                <w:highlight w:val="none"/>
              </w:rPr>
              <w:t>/</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02" w:hRule="atLeast"/>
          <w:jc w:val="center"/>
        </w:trPr>
        <w:tc>
          <w:tcPr>
            <w:tcW w:w="1359"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b w:val="0"/>
                <w:bCs/>
                <w:color w:val="auto"/>
                <w:spacing w:val="0"/>
                <w:kern w:val="0"/>
                <w:sz w:val="21"/>
                <w:szCs w:val="21"/>
                <w:highlight w:val="none"/>
                <w:lang w:val="en-US" w:eastAsia="zh-CN"/>
              </w:rPr>
            </w:pPr>
            <w:r>
              <w:rPr>
                <w:rFonts w:hint="eastAsia" w:ascii="宋体" w:hAnsi="宋体" w:eastAsia="宋体" w:cs="宋体"/>
                <w:color w:val="auto"/>
                <w:spacing w:val="0"/>
                <w:kern w:val="0"/>
                <w:sz w:val="21"/>
                <w:szCs w:val="21"/>
                <w:highlight w:val="none"/>
              </w:rPr>
              <w:t>氨氮</w:t>
            </w:r>
          </w:p>
        </w:tc>
        <w:tc>
          <w:tcPr>
            <w:tcW w:w="3844"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b w:val="0"/>
                <w:bCs/>
                <w:color w:val="auto"/>
                <w:spacing w:val="0"/>
                <w:kern w:val="0"/>
                <w:sz w:val="21"/>
                <w:szCs w:val="21"/>
                <w:highlight w:val="none"/>
              </w:rPr>
            </w:pPr>
            <w:r>
              <w:rPr>
                <w:rFonts w:hint="eastAsia" w:ascii="宋体" w:hAnsi="宋体" w:eastAsia="宋体" w:cs="宋体"/>
                <w:color w:val="auto"/>
                <w:spacing w:val="0"/>
                <w:kern w:val="0"/>
                <w:sz w:val="21"/>
                <w:szCs w:val="21"/>
                <w:highlight w:val="none"/>
              </w:rPr>
              <w:t>水质氨氮的测定纳氏试剂分光光度法HJ535-2009</w:t>
            </w:r>
          </w:p>
        </w:tc>
        <w:tc>
          <w:tcPr>
            <w:tcW w:w="2405"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紫外可见分光度计TU-1810</w:t>
            </w:r>
          </w:p>
        </w:tc>
        <w:tc>
          <w:tcPr>
            <w:tcW w:w="1469" w:type="dxa"/>
            <w:gridSpan w:val="2"/>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lang w:val="en-US" w:eastAsia="zh-CN"/>
              </w:rPr>
            </w:pPr>
            <w:r>
              <w:rPr>
                <w:rFonts w:hint="eastAsia" w:ascii="宋体" w:hAnsi="宋体" w:eastAsia="宋体" w:cs="宋体"/>
                <w:color w:val="auto"/>
                <w:spacing w:val="0"/>
                <w:kern w:val="0"/>
                <w:sz w:val="21"/>
                <w:szCs w:val="21"/>
                <w:highlight w:val="none"/>
              </w:rPr>
              <w:t>0.025mg/L</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53" w:hRule="atLeast"/>
          <w:jc w:val="center"/>
        </w:trPr>
        <w:tc>
          <w:tcPr>
            <w:tcW w:w="1359" w:type="dxa"/>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b w:val="0"/>
                <w:bCs/>
                <w:color w:val="auto"/>
                <w:spacing w:val="0"/>
                <w:kern w:val="0"/>
                <w:sz w:val="21"/>
                <w:szCs w:val="21"/>
                <w:highlight w:val="none"/>
                <w:lang w:val="en-US" w:eastAsia="zh-CN"/>
              </w:rPr>
            </w:pPr>
            <w:r>
              <w:rPr>
                <w:rFonts w:hint="eastAsia" w:ascii="宋体" w:hAnsi="宋体" w:eastAsia="宋体" w:cs="宋体"/>
                <w:color w:val="auto"/>
                <w:spacing w:val="0"/>
                <w:kern w:val="0"/>
                <w:sz w:val="21"/>
                <w:szCs w:val="21"/>
                <w:highlight w:val="none"/>
              </w:rPr>
              <w:t>钾、钠</w:t>
            </w:r>
          </w:p>
        </w:tc>
        <w:tc>
          <w:tcPr>
            <w:tcW w:w="3844" w:type="dxa"/>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b w:val="0"/>
                <w:bCs/>
                <w:color w:val="auto"/>
                <w:spacing w:val="0"/>
                <w:kern w:val="0"/>
                <w:sz w:val="21"/>
                <w:szCs w:val="21"/>
                <w:highlight w:val="none"/>
              </w:rPr>
            </w:pPr>
            <w:r>
              <w:rPr>
                <w:rFonts w:hint="eastAsia" w:ascii="宋体" w:hAnsi="宋体" w:eastAsia="宋体" w:cs="宋体"/>
                <w:color w:val="auto"/>
                <w:spacing w:val="0"/>
                <w:kern w:val="0"/>
                <w:sz w:val="21"/>
                <w:szCs w:val="21"/>
                <w:highlight w:val="none"/>
              </w:rPr>
              <w:t>水质钾和钠的测定火焰原子吸收分光光度法GB/T11904-1989</w:t>
            </w:r>
          </w:p>
        </w:tc>
        <w:tc>
          <w:tcPr>
            <w:tcW w:w="2405" w:type="dxa"/>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原子吸收分光光度计</w:t>
            </w:r>
          </w:p>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TAS-990AFG</w:t>
            </w:r>
          </w:p>
        </w:tc>
        <w:tc>
          <w:tcPr>
            <w:tcW w:w="1469" w:type="dxa"/>
            <w:gridSpan w:val="2"/>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钾0.05mg/L；</w:t>
            </w:r>
          </w:p>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lang w:val="en-US" w:eastAsia="zh-CN"/>
              </w:rPr>
            </w:pPr>
            <w:r>
              <w:rPr>
                <w:rFonts w:hint="eastAsia" w:ascii="宋体" w:hAnsi="宋体" w:eastAsia="宋体" w:cs="宋体"/>
                <w:color w:val="auto"/>
                <w:spacing w:val="0"/>
                <w:kern w:val="0"/>
                <w:sz w:val="21"/>
                <w:szCs w:val="21"/>
                <w:highlight w:val="none"/>
              </w:rPr>
              <w:t>钠：0.01mg/L</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31" w:hRule="atLeast"/>
          <w:jc w:val="center"/>
        </w:trPr>
        <w:tc>
          <w:tcPr>
            <w:tcW w:w="1359" w:type="dxa"/>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b w:val="0"/>
                <w:bCs/>
                <w:color w:val="auto"/>
                <w:spacing w:val="0"/>
                <w:kern w:val="0"/>
                <w:sz w:val="21"/>
                <w:szCs w:val="21"/>
                <w:highlight w:val="none"/>
                <w:lang w:val="en-US" w:eastAsia="zh-CN"/>
              </w:rPr>
            </w:pPr>
            <w:r>
              <w:rPr>
                <w:rFonts w:hint="eastAsia" w:ascii="宋体" w:hAnsi="宋体" w:eastAsia="宋体" w:cs="宋体"/>
                <w:color w:val="auto"/>
                <w:spacing w:val="0"/>
                <w:kern w:val="0"/>
                <w:sz w:val="21"/>
                <w:szCs w:val="21"/>
                <w:highlight w:val="none"/>
              </w:rPr>
              <w:t>镁</w:t>
            </w:r>
          </w:p>
        </w:tc>
        <w:tc>
          <w:tcPr>
            <w:tcW w:w="3844" w:type="dxa"/>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b w:val="0"/>
                <w:bCs/>
                <w:color w:val="auto"/>
                <w:spacing w:val="0"/>
                <w:kern w:val="0"/>
                <w:sz w:val="21"/>
                <w:szCs w:val="21"/>
                <w:highlight w:val="none"/>
              </w:rPr>
            </w:pPr>
            <w:r>
              <w:rPr>
                <w:rFonts w:hint="eastAsia" w:ascii="宋体" w:hAnsi="宋体" w:eastAsia="宋体" w:cs="宋体"/>
                <w:color w:val="auto"/>
                <w:spacing w:val="0"/>
                <w:kern w:val="0"/>
                <w:sz w:val="21"/>
                <w:szCs w:val="21"/>
                <w:highlight w:val="none"/>
              </w:rPr>
              <w:t>水质钙和镁的测定原子吸收分光光度法GB/T11905-1989</w:t>
            </w:r>
          </w:p>
        </w:tc>
        <w:tc>
          <w:tcPr>
            <w:tcW w:w="2405" w:type="dxa"/>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原子吸收分光光度计</w:t>
            </w:r>
          </w:p>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TAS-990AFG</w:t>
            </w:r>
          </w:p>
        </w:tc>
        <w:tc>
          <w:tcPr>
            <w:tcW w:w="1469" w:type="dxa"/>
            <w:gridSpan w:val="2"/>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lang w:val="en-US" w:eastAsia="zh-CN"/>
              </w:rPr>
            </w:pPr>
            <w:r>
              <w:rPr>
                <w:rFonts w:hint="eastAsia" w:ascii="宋体" w:hAnsi="宋体" w:eastAsia="宋体" w:cs="宋体"/>
                <w:color w:val="auto"/>
                <w:spacing w:val="0"/>
                <w:kern w:val="0"/>
                <w:sz w:val="21"/>
                <w:szCs w:val="21"/>
                <w:highlight w:val="none"/>
              </w:rPr>
              <w:t>0.002mg/L</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35" w:hRule="atLeast"/>
          <w:jc w:val="center"/>
        </w:trPr>
        <w:tc>
          <w:tcPr>
            <w:tcW w:w="1359" w:type="dxa"/>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b w:val="0"/>
                <w:bCs/>
                <w:color w:val="auto"/>
                <w:spacing w:val="0"/>
                <w:kern w:val="0"/>
                <w:sz w:val="21"/>
                <w:szCs w:val="21"/>
                <w:highlight w:val="none"/>
                <w:lang w:val="en-US" w:eastAsia="zh-CN"/>
              </w:rPr>
            </w:pPr>
            <w:r>
              <w:rPr>
                <w:rFonts w:hint="eastAsia" w:ascii="宋体" w:hAnsi="宋体" w:eastAsia="宋体" w:cs="宋体"/>
                <w:color w:val="auto"/>
                <w:spacing w:val="0"/>
                <w:kern w:val="0"/>
                <w:sz w:val="21"/>
                <w:szCs w:val="21"/>
                <w:highlight w:val="none"/>
              </w:rPr>
              <w:t>钙</w:t>
            </w:r>
          </w:p>
        </w:tc>
        <w:tc>
          <w:tcPr>
            <w:tcW w:w="3844" w:type="dxa"/>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水质钙的测定EDTA滴定法</w:t>
            </w:r>
          </w:p>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b w:val="0"/>
                <w:bCs/>
                <w:color w:val="auto"/>
                <w:spacing w:val="0"/>
                <w:kern w:val="0"/>
                <w:sz w:val="21"/>
                <w:szCs w:val="21"/>
                <w:highlight w:val="none"/>
              </w:rPr>
            </w:pPr>
            <w:r>
              <w:rPr>
                <w:rFonts w:hint="eastAsia" w:ascii="宋体" w:hAnsi="宋体" w:eastAsia="宋体" w:cs="宋体"/>
                <w:color w:val="auto"/>
                <w:spacing w:val="0"/>
                <w:kern w:val="0"/>
                <w:sz w:val="21"/>
                <w:szCs w:val="21"/>
                <w:highlight w:val="none"/>
              </w:rPr>
              <w:t>GB/T7476-1987</w:t>
            </w:r>
          </w:p>
        </w:tc>
        <w:tc>
          <w:tcPr>
            <w:tcW w:w="2405" w:type="dxa"/>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滴定管</w:t>
            </w:r>
          </w:p>
        </w:tc>
        <w:tc>
          <w:tcPr>
            <w:tcW w:w="1469" w:type="dxa"/>
            <w:gridSpan w:val="2"/>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lang w:val="en-US" w:eastAsia="zh-CN"/>
              </w:rPr>
            </w:pPr>
            <w:r>
              <w:rPr>
                <w:rFonts w:hint="eastAsia" w:ascii="宋体" w:hAnsi="宋体" w:eastAsia="宋体" w:cs="宋体"/>
                <w:color w:val="auto"/>
                <w:spacing w:val="0"/>
                <w:kern w:val="0"/>
                <w:sz w:val="21"/>
                <w:szCs w:val="21"/>
                <w:highlight w:val="none"/>
              </w:rPr>
              <w:t>2mg/L</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73" w:hRule="atLeast"/>
          <w:jc w:val="center"/>
        </w:trPr>
        <w:tc>
          <w:tcPr>
            <w:tcW w:w="1359" w:type="dxa"/>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b w:val="0"/>
                <w:bCs/>
                <w:color w:val="auto"/>
                <w:spacing w:val="0"/>
                <w:kern w:val="0"/>
                <w:sz w:val="21"/>
                <w:szCs w:val="21"/>
                <w:highlight w:val="none"/>
                <w:lang w:val="en-US" w:eastAsia="zh-CN"/>
              </w:rPr>
            </w:pPr>
            <w:r>
              <w:rPr>
                <w:rFonts w:hint="eastAsia" w:ascii="宋体" w:hAnsi="宋体" w:eastAsia="宋体" w:cs="宋体"/>
                <w:color w:val="auto"/>
                <w:spacing w:val="0"/>
                <w:kern w:val="0"/>
                <w:sz w:val="21"/>
                <w:szCs w:val="21"/>
                <w:highlight w:val="none"/>
              </w:rPr>
              <w:t>砷</w:t>
            </w:r>
            <w:r>
              <w:rPr>
                <w:rFonts w:hint="eastAsia" w:ascii="宋体" w:hAnsi="宋体" w:eastAsia="宋体" w:cs="宋体"/>
                <w:color w:val="auto"/>
                <w:spacing w:val="0"/>
                <w:kern w:val="0"/>
                <w:sz w:val="21"/>
                <w:szCs w:val="21"/>
                <w:highlight w:val="none"/>
                <w:lang w:val="zh-CN"/>
              </w:rPr>
              <w:t>、</w:t>
            </w:r>
            <w:r>
              <w:rPr>
                <w:rFonts w:hint="eastAsia" w:ascii="宋体" w:hAnsi="宋体" w:eastAsia="宋体" w:cs="宋体"/>
                <w:color w:val="auto"/>
                <w:spacing w:val="0"/>
                <w:kern w:val="0"/>
                <w:sz w:val="21"/>
                <w:szCs w:val="21"/>
                <w:highlight w:val="none"/>
              </w:rPr>
              <w:t>汞</w:t>
            </w:r>
          </w:p>
        </w:tc>
        <w:tc>
          <w:tcPr>
            <w:tcW w:w="3844" w:type="dxa"/>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水质汞、砷、硒、铋和锑的测定</w:t>
            </w:r>
          </w:p>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b w:val="0"/>
                <w:bCs/>
                <w:color w:val="auto"/>
                <w:spacing w:val="0"/>
                <w:kern w:val="0"/>
                <w:sz w:val="21"/>
                <w:szCs w:val="21"/>
                <w:highlight w:val="none"/>
              </w:rPr>
            </w:pPr>
            <w:r>
              <w:rPr>
                <w:rFonts w:hint="eastAsia" w:ascii="宋体" w:hAnsi="宋体" w:eastAsia="宋体" w:cs="宋体"/>
                <w:color w:val="auto"/>
                <w:spacing w:val="0"/>
                <w:kern w:val="0"/>
                <w:sz w:val="21"/>
                <w:szCs w:val="21"/>
                <w:highlight w:val="none"/>
              </w:rPr>
              <w:t>原子荧光法HJ694-2014</w:t>
            </w:r>
          </w:p>
        </w:tc>
        <w:tc>
          <w:tcPr>
            <w:tcW w:w="2405" w:type="dxa"/>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原子荧光光度计</w:t>
            </w:r>
          </w:p>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PF31</w:t>
            </w:r>
          </w:p>
        </w:tc>
        <w:tc>
          <w:tcPr>
            <w:tcW w:w="1469" w:type="dxa"/>
            <w:gridSpan w:val="2"/>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砷:0.3μg/L;</w:t>
            </w:r>
          </w:p>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lang w:val="en-US" w:eastAsia="zh-CN"/>
              </w:rPr>
            </w:pPr>
            <w:r>
              <w:rPr>
                <w:rFonts w:hint="eastAsia" w:ascii="宋体" w:hAnsi="宋体" w:eastAsia="宋体" w:cs="宋体"/>
                <w:color w:val="auto"/>
                <w:spacing w:val="0"/>
                <w:kern w:val="0"/>
                <w:sz w:val="21"/>
                <w:szCs w:val="21"/>
                <w:highlight w:val="none"/>
              </w:rPr>
              <w:t>汞:0.04μg/L</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32" w:hRule="atLeast"/>
          <w:jc w:val="center"/>
        </w:trPr>
        <w:tc>
          <w:tcPr>
            <w:tcW w:w="1359"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b w:val="0"/>
                <w:bCs/>
                <w:color w:val="auto"/>
                <w:spacing w:val="0"/>
                <w:kern w:val="0"/>
                <w:sz w:val="21"/>
                <w:szCs w:val="21"/>
                <w:highlight w:val="none"/>
                <w:lang w:val="en-US" w:eastAsia="zh-CN"/>
              </w:rPr>
            </w:pPr>
            <w:r>
              <w:rPr>
                <w:rFonts w:hint="eastAsia" w:ascii="宋体" w:hAnsi="宋体" w:eastAsia="宋体" w:cs="宋体"/>
                <w:color w:val="auto"/>
                <w:spacing w:val="0"/>
                <w:kern w:val="0"/>
                <w:sz w:val="21"/>
                <w:szCs w:val="21"/>
                <w:highlight w:val="none"/>
              </w:rPr>
              <w:t>铅</w:t>
            </w:r>
          </w:p>
        </w:tc>
        <w:tc>
          <w:tcPr>
            <w:tcW w:w="3844"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生活饮用水标准检验方法金属指标（11.1无火焰原子吸收分光光度法）</w:t>
            </w:r>
          </w:p>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b w:val="0"/>
                <w:bCs/>
                <w:color w:val="auto"/>
                <w:spacing w:val="0"/>
                <w:kern w:val="0"/>
                <w:sz w:val="21"/>
                <w:szCs w:val="21"/>
                <w:highlight w:val="none"/>
              </w:rPr>
            </w:pPr>
            <w:r>
              <w:rPr>
                <w:rFonts w:hint="eastAsia" w:ascii="宋体" w:hAnsi="宋体" w:eastAsia="宋体" w:cs="宋体"/>
                <w:color w:val="auto"/>
                <w:spacing w:val="0"/>
                <w:kern w:val="0"/>
                <w:sz w:val="21"/>
                <w:szCs w:val="21"/>
                <w:highlight w:val="none"/>
              </w:rPr>
              <w:t>GB/T5750.6-2006</w:t>
            </w:r>
          </w:p>
        </w:tc>
        <w:tc>
          <w:tcPr>
            <w:tcW w:w="2405"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原子吸收分光光度计</w:t>
            </w:r>
          </w:p>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TAS-990AFG</w:t>
            </w:r>
          </w:p>
        </w:tc>
        <w:tc>
          <w:tcPr>
            <w:tcW w:w="1469" w:type="dxa"/>
            <w:gridSpan w:val="2"/>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lang w:val="en-US" w:eastAsia="zh-CN"/>
              </w:rPr>
            </w:pPr>
            <w:r>
              <w:rPr>
                <w:rFonts w:hint="eastAsia" w:ascii="宋体" w:hAnsi="宋体" w:eastAsia="宋体" w:cs="宋体"/>
                <w:color w:val="auto"/>
                <w:spacing w:val="0"/>
                <w:kern w:val="0"/>
                <w:sz w:val="21"/>
                <w:szCs w:val="21"/>
                <w:highlight w:val="none"/>
                <w:lang w:val="en-US" w:eastAsia="zh-CN"/>
              </w:rPr>
              <w:t>2.5</w:t>
            </w:r>
            <w:r>
              <w:rPr>
                <w:rFonts w:hint="eastAsia" w:ascii="宋体" w:hAnsi="宋体" w:eastAsia="宋体" w:cs="宋体"/>
                <w:color w:val="auto"/>
                <w:spacing w:val="0"/>
                <w:kern w:val="0"/>
                <w:sz w:val="21"/>
                <w:szCs w:val="21"/>
                <w:highlight w:val="none"/>
              </w:rPr>
              <w:t>μg/L</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31" w:hRule="atLeast"/>
          <w:jc w:val="center"/>
        </w:trPr>
        <w:tc>
          <w:tcPr>
            <w:tcW w:w="135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铬（六价）</w:t>
            </w:r>
          </w:p>
        </w:tc>
        <w:tc>
          <w:tcPr>
            <w:tcW w:w="384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生活饮用水标准检验方法金属指标（10.1二苯碳酰二肼分光光度法）</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GB/T5750.6-2006</w:t>
            </w:r>
          </w:p>
        </w:tc>
        <w:tc>
          <w:tcPr>
            <w:tcW w:w="2405"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紫外可见分光度计TU-1810</w:t>
            </w:r>
          </w:p>
        </w:tc>
        <w:tc>
          <w:tcPr>
            <w:tcW w:w="1469" w:type="dxa"/>
            <w:gridSpan w:val="2"/>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lang w:val="en-US" w:eastAsia="zh-CN"/>
              </w:rPr>
            </w:pPr>
            <w:r>
              <w:rPr>
                <w:rFonts w:hint="eastAsia" w:ascii="宋体" w:hAnsi="宋体" w:eastAsia="宋体" w:cs="宋体"/>
                <w:color w:val="auto"/>
                <w:spacing w:val="0"/>
                <w:kern w:val="0"/>
                <w:sz w:val="21"/>
                <w:szCs w:val="21"/>
                <w:highlight w:val="none"/>
              </w:rPr>
              <w:t>0.004mg/L</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053" w:hRule="atLeast"/>
          <w:jc w:val="center"/>
        </w:trPr>
        <w:tc>
          <w:tcPr>
            <w:tcW w:w="1359"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镉</w:t>
            </w:r>
          </w:p>
        </w:tc>
        <w:tc>
          <w:tcPr>
            <w:tcW w:w="3844"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sz w:val="21"/>
                <w:szCs w:val="21"/>
                <w:highlight w:val="none"/>
              </w:rPr>
              <w:t>生</w:t>
            </w:r>
            <w:r>
              <w:rPr>
                <w:rFonts w:hint="eastAsia" w:ascii="宋体" w:hAnsi="宋体" w:eastAsia="宋体" w:cs="宋体"/>
                <w:color w:val="auto"/>
                <w:spacing w:val="0"/>
                <w:kern w:val="0"/>
                <w:sz w:val="21"/>
                <w:szCs w:val="21"/>
                <w:highlight w:val="none"/>
              </w:rPr>
              <w:t>活饮用水标准检验方法金属指标（9.1无火焰原子吸收分光光度法）GB/T5750.6-2006</w:t>
            </w:r>
          </w:p>
        </w:tc>
        <w:tc>
          <w:tcPr>
            <w:tcW w:w="2405"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原子吸收分光光度计</w:t>
            </w:r>
          </w:p>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TAS-990AFG</w:t>
            </w:r>
          </w:p>
        </w:tc>
        <w:tc>
          <w:tcPr>
            <w:tcW w:w="1469" w:type="dxa"/>
            <w:gridSpan w:val="2"/>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lang w:val="en-US" w:eastAsia="zh-CN"/>
              </w:rPr>
              <w:t>0.5</w:t>
            </w:r>
            <w:r>
              <w:rPr>
                <w:rFonts w:hint="eastAsia" w:ascii="宋体" w:hAnsi="宋体" w:eastAsia="宋体" w:cs="宋体"/>
                <w:color w:val="auto"/>
                <w:spacing w:val="0"/>
                <w:kern w:val="0"/>
                <w:sz w:val="21"/>
                <w:szCs w:val="21"/>
                <w:highlight w:val="none"/>
              </w:rPr>
              <w:t>μg/L</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47" w:hRule="atLeast"/>
          <w:jc w:val="center"/>
        </w:trPr>
        <w:tc>
          <w:tcPr>
            <w:tcW w:w="1359"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lang w:val="zh-CN"/>
              </w:rPr>
              <w:t>锌</w:t>
            </w:r>
          </w:p>
        </w:tc>
        <w:tc>
          <w:tcPr>
            <w:tcW w:w="3844"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水质铜、锌、铅、镉的测定原子吸收分光光度法GB/T7475-1987</w:t>
            </w:r>
          </w:p>
        </w:tc>
        <w:tc>
          <w:tcPr>
            <w:tcW w:w="2405"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原子吸收分光光度计</w:t>
            </w:r>
          </w:p>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TAS-990AFG</w:t>
            </w:r>
          </w:p>
        </w:tc>
        <w:tc>
          <w:tcPr>
            <w:tcW w:w="1469" w:type="dxa"/>
            <w:gridSpan w:val="2"/>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lang w:val="zh-CN"/>
              </w:rPr>
              <w:t>锌</w:t>
            </w:r>
            <w:r>
              <w:rPr>
                <w:rFonts w:hint="eastAsia" w:ascii="宋体" w:hAnsi="宋体" w:eastAsia="宋体" w:cs="宋体"/>
                <w:color w:val="auto"/>
                <w:spacing w:val="0"/>
                <w:kern w:val="0"/>
                <w:sz w:val="21"/>
                <w:szCs w:val="21"/>
                <w:highlight w:val="none"/>
              </w:rPr>
              <w:t>:0.05mg/L;</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36" w:hRule="atLeast"/>
          <w:jc w:val="center"/>
        </w:trPr>
        <w:tc>
          <w:tcPr>
            <w:tcW w:w="1359" w:type="dxa"/>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锰</w:t>
            </w:r>
          </w:p>
        </w:tc>
        <w:tc>
          <w:tcPr>
            <w:tcW w:w="3844" w:type="dxa"/>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水质铁、锰的测定火焰原子吸收分光光度法GB/T11911-1989</w:t>
            </w:r>
          </w:p>
        </w:tc>
        <w:tc>
          <w:tcPr>
            <w:tcW w:w="2405" w:type="dxa"/>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原子吸收分光光度计</w:t>
            </w:r>
          </w:p>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TAS-990AFG</w:t>
            </w:r>
          </w:p>
        </w:tc>
        <w:tc>
          <w:tcPr>
            <w:tcW w:w="1469" w:type="dxa"/>
            <w:gridSpan w:val="2"/>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锰:0.01mg/L</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31" w:hRule="atLeast"/>
          <w:jc w:val="center"/>
        </w:trPr>
        <w:tc>
          <w:tcPr>
            <w:tcW w:w="1359"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耗氧量</w:t>
            </w:r>
          </w:p>
        </w:tc>
        <w:tc>
          <w:tcPr>
            <w:tcW w:w="3844"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生活饮用水标准检验方法有机物综合指标（1.1酸性高锰酸钾滴定法）</w:t>
            </w:r>
          </w:p>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GB/T5750.7-2006</w:t>
            </w:r>
          </w:p>
        </w:tc>
        <w:tc>
          <w:tcPr>
            <w:tcW w:w="2405"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滴定管</w:t>
            </w:r>
          </w:p>
        </w:tc>
        <w:tc>
          <w:tcPr>
            <w:tcW w:w="1469" w:type="dxa"/>
            <w:gridSpan w:val="2"/>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0.05mg/L</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32" w:hRule="atLeast"/>
          <w:jc w:val="center"/>
        </w:trPr>
        <w:tc>
          <w:tcPr>
            <w:tcW w:w="1359"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碱度</w:t>
            </w:r>
          </w:p>
        </w:tc>
        <w:tc>
          <w:tcPr>
            <w:tcW w:w="3844"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碱度酸碱指示剂滴定法《水和废水监测分析方法》（第四版增补版）国家环境保护总局（2002）</w:t>
            </w:r>
          </w:p>
        </w:tc>
        <w:tc>
          <w:tcPr>
            <w:tcW w:w="2405"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滴定管</w:t>
            </w:r>
          </w:p>
        </w:tc>
        <w:tc>
          <w:tcPr>
            <w:tcW w:w="1469" w:type="dxa"/>
            <w:gridSpan w:val="2"/>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51" w:hRule="atLeast"/>
          <w:jc w:val="center"/>
        </w:trPr>
        <w:tc>
          <w:tcPr>
            <w:tcW w:w="1359"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氯化物</w:t>
            </w:r>
          </w:p>
        </w:tc>
        <w:tc>
          <w:tcPr>
            <w:tcW w:w="3844" w:type="dxa"/>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生活饮用水标准检验方法无机非金属指标（2.1硝酸银容量法）</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GB/T5750.5-2006</w:t>
            </w:r>
          </w:p>
        </w:tc>
        <w:tc>
          <w:tcPr>
            <w:tcW w:w="2405" w:type="dxa"/>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滴定管</w:t>
            </w:r>
          </w:p>
        </w:tc>
        <w:tc>
          <w:tcPr>
            <w:tcW w:w="1469" w:type="dxa"/>
            <w:gridSpan w:val="2"/>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lang w:val="en-US" w:eastAsia="zh-CN"/>
              </w:rPr>
              <w:t>1.0</w:t>
            </w:r>
            <w:r>
              <w:rPr>
                <w:rFonts w:hint="eastAsia" w:ascii="宋体" w:hAnsi="宋体" w:eastAsia="宋体" w:cs="宋体"/>
                <w:color w:val="auto"/>
                <w:spacing w:val="0"/>
                <w:kern w:val="0"/>
                <w:sz w:val="21"/>
                <w:szCs w:val="21"/>
                <w:highlight w:val="none"/>
              </w:rPr>
              <w:t>mg/L</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58" w:hRule="atLeast"/>
          <w:jc w:val="center"/>
        </w:trPr>
        <w:tc>
          <w:tcPr>
            <w:tcW w:w="1359"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b/>
                <w:color w:val="auto"/>
                <w:spacing w:val="0"/>
                <w:kern w:val="2"/>
                <w:sz w:val="21"/>
                <w:szCs w:val="21"/>
                <w:highlight w:val="none"/>
                <w:lang w:val="en-US" w:eastAsia="zh-CN" w:bidi="ar-SA"/>
              </w:rPr>
            </w:pPr>
            <w:r>
              <w:rPr>
                <w:rFonts w:hint="eastAsia" w:ascii="宋体" w:hAnsi="宋体" w:eastAsia="宋体" w:cs="宋体"/>
                <w:color w:val="auto"/>
                <w:spacing w:val="0"/>
                <w:kern w:val="0"/>
                <w:sz w:val="21"/>
                <w:szCs w:val="21"/>
                <w:highlight w:val="none"/>
              </w:rPr>
              <w:t>硫酸盐</w:t>
            </w:r>
          </w:p>
        </w:tc>
        <w:tc>
          <w:tcPr>
            <w:tcW w:w="3844" w:type="dxa"/>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eastAsia" w:ascii="宋体" w:hAnsi="宋体" w:eastAsia="宋体" w:cs="宋体"/>
                <w:b/>
                <w:color w:val="auto"/>
                <w:spacing w:val="0"/>
                <w:kern w:val="2"/>
                <w:sz w:val="21"/>
                <w:szCs w:val="21"/>
                <w:highlight w:val="none"/>
                <w:lang w:val="en-US" w:eastAsia="zh-CN" w:bidi="ar-SA"/>
              </w:rPr>
            </w:pPr>
            <w:r>
              <w:rPr>
                <w:rFonts w:hint="eastAsia" w:ascii="宋体" w:hAnsi="宋体" w:eastAsia="宋体" w:cs="宋体"/>
                <w:color w:val="auto"/>
                <w:spacing w:val="0"/>
                <w:kern w:val="0"/>
                <w:sz w:val="21"/>
                <w:szCs w:val="21"/>
                <w:highlight w:val="none"/>
              </w:rPr>
              <w:t>水质硫酸盐的测定铬酸钡分光光度法（试行）HJ/T342-2007</w:t>
            </w:r>
          </w:p>
        </w:tc>
        <w:tc>
          <w:tcPr>
            <w:tcW w:w="2405"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宋体" w:hAnsi="宋体" w:eastAsia="宋体" w:cs="宋体"/>
                <w:b/>
                <w:color w:val="auto"/>
                <w:spacing w:val="0"/>
                <w:kern w:val="2"/>
                <w:sz w:val="21"/>
                <w:szCs w:val="21"/>
                <w:highlight w:val="none"/>
                <w:lang w:val="en-US" w:eastAsia="zh-CN" w:bidi="ar-SA"/>
              </w:rPr>
            </w:pPr>
            <w:r>
              <w:rPr>
                <w:rFonts w:hint="eastAsia" w:ascii="宋体" w:hAnsi="宋体" w:eastAsia="宋体" w:cs="宋体"/>
                <w:color w:val="auto"/>
                <w:spacing w:val="0"/>
                <w:kern w:val="0"/>
                <w:sz w:val="21"/>
                <w:szCs w:val="21"/>
                <w:highlight w:val="none"/>
              </w:rPr>
              <w:t>紫外可见分光度计TU-1810</w:t>
            </w:r>
          </w:p>
        </w:tc>
        <w:tc>
          <w:tcPr>
            <w:tcW w:w="1469" w:type="dxa"/>
            <w:gridSpan w:val="2"/>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lang w:val="en-US" w:eastAsia="zh-CN"/>
              </w:rPr>
            </w:pPr>
            <w:r>
              <w:rPr>
                <w:rFonts w:hint="eastAsia" w:ascii="宋体" w:hAnsi="宋体" w:eastAsia="宋体" w:cs="宋体"/>
                <w:color w:val="auto"/>
                <w:spacing w:val="0"/>
                <w:kern w:val="0"/>
                <w:sz w:val="21"/>
                <w:szCs w:val="21"/>
                <w:highlight w:val="none"/>
                <w:lang w:val="en-US" w:eastAsia="zh-CN"/>
              </w:rPr>
              <w:t>8</w:t>
            </w:r>
            <w:r>
              <w:rPr>
                <w:rFonts w:hint="eastAsia" w:ascii="宋体" w:hAnsi="宋体" w:eastAsia="宋体" w:cs="宋体"/>
                <w:color w:val="auto"/>
                <w:spacing w:val="0"/>
                <w:kern w:val="0"/>
                <w:sz w:val="21"/>
                <w:szCs w:val="21"/>
                <w:highlight w:val="none"/>
              </w:rPr>
              <w:t>mg/L</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42" w:hRule="atLeast"/>
          <w:jc w:val="center"/>
        </w:trPr>
        <w:tc>
          <w:tcPr>
            <w:tcW w:w="1359"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lang w:val="en-US" w:eastAsia="zh-CN"/>
              </w:rPr>
              <w:t>硝酸盐</w:t>
            </w:r>
          </w:p>
        </w:tc>
        <w:tc>
          <w:tcPr>
            <w:tcW w:w="3844" w:type="dxa"/>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b w:val="0"/>
                <w:bCs/>
                <w:color w:val="auto"/>
                <w:spacing w:val="0"/>
                <w:kern w:val="2"/>
                <w:sz w:val="21"/>
                <w:szCs w:val="21"/>
                <w:highlight w:val="none"/>
                <w:lang w:val="en-US" w:eastAsia="zh-CN" w:bidi="ar-SA"/>
              </w:rPr>
              <w:t>水质硝酸盐氮的测定紫外分光光度法（试行）HJ/T346-2007</w:t>
            </w:r>
          </w:p>
        </w:tc>
        <w:tc>
          <w:tcPr>
            <w:tcW w:w="2405"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紫外可见分光度计TU-1810</w:t>
            </w:r>
          </w:p>
        </w:tc>
        <w:tc>
          <w:tcPr>
            <w:tcW w:w="1469" w:type="dxa"/>
            <w:gridSpan w:val="2"/>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lang w:val="en-US" w:eastAsia="zh-CN"/>
              </w:rPr>
              <w:t>0.08</w:t>
            </w:r>
            <w:r>
              <w:rPr>
                <w:rFonts w:hint="eastAsia" w:ascii="宋体" w:hAnsi="宋体" w:eastAsia="宋体" w:cs="宋体"/>
                <w:color w:val="auto"/>
                <w:spacing w:val="0"/>
                <w:kern w:val="0"/>
                <w:sz w:val="21"/>
                <w:szCs w:val="21"/>
                <w:highlight w:val="none"/>
              </w:rPr>
              <w:t>mg/L</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31" w:hRule="atLeast"/>
          <w:jc w:val="center"/>
        </w:trPr>
        <w:tc>
          <w:tcPr>
            <w:tcW w:w="1359"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b/>
                <w:color w:val="auto"/>
                <w:spacing w:val="0"/>
                <w:sz w:val="21"/>
                <w:szCs w:val="21"/>
                <w:highlight w:val="none"/>
              </w:rPr>
            </w:pPr>
            <w:r>
              <w:rPr>
                <w:rFonts w:hint="eastAsia" w:ascii="宋体" w:hAnsi="宋体" w:eastAsia="宋体" w:cs="宋体"/>
                <w:color w:val="auto"/>
                <w:spacing w:val="0"/>
                <w:kern w:val="0"/>
                <w:sz w:val="21"/>
                <w:szCs w:val="21"/>
                <w:highlight w:val="none"/>
                <w:lang w:val="en-US" w:eastAsia="zh-CN"/>
              </w:rPr>
              <w:t>亚硝酸盐</w:t>
            </w:r>
          </w:p>
        </w:tc>
        <w:tc>
          <w:tcPr>
            <w:tcW w:w="3844"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水质亚硝酸盐氮的测定分光光度法</w:t>
            </w:r>
          </w:p>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b/>
                <w:color w:val="auto"/>
                <w:spacing w:val="0"/>
                <w:sz w:val="21"/>
                <w:szCs w:val="21"/>
                <w:highlight w:val="none"/>
              </w:rPr>
            </w:pPr>
            <w:r>
              <w:rPr>
                <w:rFonts w:hint="eastAsia" w:ascii="宋体" w:hAnsi="宋体" w:eastAsia="宋体" w:cs="宋体"/>
                <w:color w:val="auto"/>
                <w:spacing w:val="0"/>
                <w:kern w:val="0"/>
                <w:sz w:val="21"/>
                <w:szCs w:val="21"/>
                <w:highlight w:val="none"/>
              </w:rPr>
              <w:t>GB/T7493-1987</w:t>
            </w:r>
          </w:p>
        </w:tc>
        <w:tc>
          <w:tcPr>
            <w:tcW w:w="2405"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宋体" w:hAnsi="宋体" w:eastAsia="宋体" w:cs="宋体"/>
                <w:b/>
                <w:color w:val="auto"/>
                <w:spacing w:val="0"/>
                <w:sz w:val="21"/>
                <w:szCs w:val="21"/>
                <w:highlight w:val="none"/>
              </w:rPr>
            </w:pPr>
            <w:r>
              <w:rPr>
                <w:rFonts w:hint="eastAsia" w:ascii="宋体" w:hAnsi="宋体" w:eastAsia="宋体" w:cs="宋体"/>
                <w:color w:val="auto"/>
                <w:spacing w:val="0"/>
                <w:kern w:val="0"/>
                <w:sz w:val="21"/>
                <w:szCs w:val="21"/>
                <w:highlight w:val="none"/>
              </w:rPr>
              <w:t>紫外可见分光度计TU-1810</w:t>
            </w:r>
          </w:p>
        </w:tc>
        <w:tc>
          <w:tcPr>
            <w:tcW w:w="1469" w:type="dxa"/>
            <w:gridSpan w:val="2"/>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lang w:val="en-US" w:eastAsia="zh-CN"/>
              </w:rPr>
              <w:t>0.003</w:t>
            </w:r>
            <w:r>
              <w:rPr>
                <w:rFonts w:hint="eastAsia" w:ascii="宋体" w:hAnsi="宋体" w:eastAsia="宋体" w:cs="宋体"/>
                <w:color w:val="auto"/>
                <w:spacing w:val="0"/>
                <w:kern w:val="0"/>
                <w:sz w:val="21"/>
                <w:szCs w:val="21"/>
                <w:highlight w:val="none"/>
              </w:rPr>
              <w:t>mg/L</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54" w:hRule="atLeast"/>
          <w:jc w:val="center"/>
        </w:trPr>
        <w:tc>
          <w:tcPr>
            <w:tcW w:w="135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lang w:val="en-US" w:eastAsia="zh-CN"/>
              </w:rPr>
            </w:pPr>
            <w:r>
              <w:rPr>
                <w:rFonts w:hint="eastAsia" w:ascii="宋体" w:hAnsi="宋体" w:eastAsia="宋体" w:cs="宋体"/>
                <w:color w:val="auto"/>
                <w:spacing w:val="0"/>
                <w:kern w:val="0"/>
                <w:sz w:val="21"/>
                <w:szCs w:val="21"/>
                <w:highlight w:val="none"/>
              </w:rPr>
              <w:t>总硬度</w:t>
            </w:r>
          </w:p>
        </w:tc>
        <w:tc>
          <w:tcPr>
            <w:tcW w:w="384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水质钙和镁总量的测定EDTA滴定法GB/T7477-1987</w:t>
            </w:r>
          </w:p>
        </w:tc>
        <w:tc>
          <w:tcPr>
            <w:tcW w:w="2405"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滴定管</w:t>
            </w:r>
          </w:p>
        </w:tc>
        <w:tc>
          <w:tcPr>
            <w:tcW w:w="1469" w:type="dxa"/>
            <w:gridSpan w:val="2"/>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0.</w:t>
            </w:r>
            <w:r>
              <w:rPr>
                <w:rFonts w:hint="eastAsia" w:ascii="宋体" w:hAnsi="宋体" w:eastAsia="宋体" w:cs="宋体"/>
                <w:color w:val="auto"/>
                <w:spacing w:val="0"/>
                <w:kern w:val="0"/>
                <w:sz w:val="21"/>
                <w:szCs w:val="21"/>
                <w:highlight w:val="none"/>
                <w:lang w:val="en-US" w:eastAsia="zh-CN"/>
              </w:rPr>
              <w:t>05mmol</w:t>
            </w:r>
            <w:r>
              <w:rPr>
                <w:rFonts w:hint="eastAsia" w:ascii="宋体" w:hAnsi="宋体" w:eastAsia="宋体" w:cs="宋体"/>
                <w:color w:val="auto"/>
                <w:spacing w:val="0"/>
                <w:kern w:val="0"/>
                <w:sz w:val="21"/>
                <w:szCs w:val="21"/>
                <w:highlight w:val="none"/>
              </w:rPr>
              <w:t>/L</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67" w:hRule="atLeast"/>
          <w:jc w:val="center"/>
        </w:trPr>
        <w:tc>
          <w:tcPr>
            <w:tcW w:w="1359"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b/>
                <w:color w:val="auto"/>
                <w:spacing w:val="0"/>
                <w:sz w:val="21"/>
                <w:szCs w:val="21"/>
                <w:highlight w:val="none"/>
              </w:rPr>
            </w:pPr>
            <w:r>
              <w:rPr>
                <w:rFonts w:hint="eastAsia" w:ascii="宋体" w:hAnsi="宋体" w:eastAsia="宋体" w:cs="宋体"/>
                <w:color w:val="auto"/>
                <w:spacing w:val="0"/>
                <w:kern w:val="0"/>
                <w:sz w:val="21"/>
                <w:szCs w:val="21"/>
                <w:highlight w:val="none"/>
              </w:rPr>
              <w:t>溶解性总固体</w:t>
            </w:r>
          </w:p>
        </w:tc>
        <w:tc>
          <w:tcPr>
            <w:tcW w:w="3844"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b/>
                <w:color w:val="auto"/>
                <w:spacing w:val="0"/>
                <w:sz w:val="21"/>
                <w:szCs w:val="21"/>
                <w:highlight w:val="none"/>
              </w:rPr>
            </w:pPr>
            <w:r>
              <w:rPr>
                <w:rFonts w:hint="eastAsia" w:ascii="宋体" w:hAnsi="宋体" w:eastAsia="宋体" w:cs="宋体"/>
                <w:color w:val="auto"/>
                <w:spacing w:val="0"/>
                <w:kern w:val="0"/>
                <w:sz w:val="21"/>
                <w:szCs w:val="21"/>
                <w:highlight w:val="none"/>
              </w:rPr>
              <w:t>重量法《水和废水监测分析方法》（第四版增补版）国家环境保护总局（2002）</w:t>
            </w:r>
          </w:p>
        </w:tc>
        <w:tc>
          <w:tcPr>
            <w:tcW w:w="2405"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b/>
                <w:color w:val="auto"/>
                <w:spacing w:val="0"/>
                <w:sz w:val="21"/>
                <w:szCs w:val="21"/>
                <w:highlight w:val="none"/>
              </w:rPr>
            </w:pPr>
            <w:r>
              <w:rPr>
                <w:rFonts w:hint="eastAsia" w:ascii="宋体" w:hAnsi="宋体" w:eastAsia="宋体" w:cs="宋体"/>
                <w:color w:val="auto"/>
                <w:spacing w:val="0"/>
                <w:kern w:val="0"/>
                <w:sz w:val="21"/>
                <w:szCs w:val="21"/>
                <w:highlight w:val="none"/>
              </w:rPr>
              <w:t>电子分析天平BSA224S</w:t>
            </w:r>
          </w:p>
        </w:tc>
        <w:tc>
          <w:tcPr>
            <w:tcW w:w="1469" w:type="dxa"/>
            <w:gridSpan w:val="2"/>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lang w:val="en-US" w:eastAsia="zh-CN"/>
              </w:rPr>
              <w:t>/</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36" w:hRule="atLeast"/>
          <w:jc w:val="center"/>
        </w:trPr>
        <w:tc>
          <w:tcPr>
            <w:tcW w:w="135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挥发酚</w:t>
            </w:r>
          </w:p>
        </w:tc>
        <w:tc>
          <w:tcPr>
            <w:tcW w:w="384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水质挥发酚的测定4-氨基安替比林分光光度法HJ503-2009</w:t>
            </w:r>
          </w:p>
        </w:tc>
        <w:tc>
          <w:tcPr>
            <w:tcW w:w="2405"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紫外可见分光度计TU-1810</w:t>
            </w:r>
          </w:p>
        </w:tc>
        <w:tc>
          <w:tcPr>
            <w:tcW w:w="1469" w:type="dxa"/>
            <w:gridSpan w:val="2"/>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lang w:val="en-US" w:eastAsia="zh-CN"/>
              </w:rPr>
              <w:t>0.0003</w:t>
            </w:r>
            <w:r>
              <w:rPr>
                <w:rFonts w:hint="eastAsia" w:ascii="宋体" w:hAnsi="宋体" w:eastAsia="宋体" w:cs="宋体"/>
                <w:color w:val="auto"/>
                <w:spacing w:val="0"/>
                <w:kern w:val="0"/>
                <w:sz w:val="21"/>
                <w:szCs w:val="21"/>
                <w:highlight w:val="none"/>
              </w:rPr>
              <w:t>mg/L</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37" w:hRule="atLeast"/>
          <w:jc w:val="center"/>
        </w:trPr>
        <w:tc>
          <w:tcPr>
            <w:tcW w:w="135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氰化物</w:t>
            </w:r>
          </w:p>
        </w:tc>
        <w:tc>
          <w:tcPr>
            <w:tcW w:w="384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生活饮用水标准检验方法无机非金属指标（4.1异烟酸-吡唑酮分光光度法）</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GB/T5750.5-2006</w:t>
            </w:r>
          </w:p>
        </w:tc>
        <w:tc>
          <w:tcPr>
            <w:tcW w:w="2405"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紫外可见分光度计TU-1810</w:t>
            </w:r>
          </w:p>
        </w:tc>
        <w:tc>
          <w:tcPr>
            <w:tcW w:w="1469" w:type="dxa"/>
            <w:gridSpan w:val="2"/>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0.00</w:t>
            </w:r>
            <w:r>
              <w:rPr>
                <w:rFonts w:hint="eastAsia" w:ascii="宋体" w:hAnsi="宋体" w:eastAsia="宋体" w:cs="宋体"/>
                <w:color w:val="auto"/>
                <w:spacing w:val="0"/>
                <w:kern w:val="0"/>
                <w:sz w:val="21"/>
                <w:szCs w:val="21"/>
                <w:highlight w:val="none"/>
                <w:lang w:val="en-US" w:eastAsia="zh-CN"/>
              </w:rPr>
              <w:t>2</w:t>
            </w:r>
            <w:r>
              <w:rPr>
                <w:rFonts w:hint="eastAsia" w:ascii="宋体" w:hAnsi="宋体" w:eastAsia="宋体" w:cs="宋体"/>
                <w:color w:val="auto"/>
                <w:spacing w:val="0"/>
                <w:kern w:val="0"/>
                <w:sz w:val="21"/>
                <w:szCs w:val="21"/>
                <w:highlight w:val="none"/>
              </w:rPr>
              <w:t>mg/L</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31" w:hRule="atLeast"/>
          <w:jc w:val="center"/>
        </w:trPr>
        <w:tc>
          <w:tcPr>
            <w:tcW w:w="1359" w:type="dxa"/>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氟化物</w:t>
            </w:r>
          </w:p>
        </w:tc>
        <w:tc>
          <w:tcPr>
            <w:tcW w:w="3844" w:type="dxa"/>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水质氟化物的测定离子选择电极法</w:t>
            </w:r>
          </w:p>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GB/T7484-1987</w:t>
            </w:r>
          </w:p>
        </w:tc>
        <w:tc>
          <w:tcPr>
            <w:tcW w:w="2405" w:type="dxa"/>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台式pH计</w:t>
            </w:r>
          </w:p>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PHS-3E</w:t>
            </w:r>
          </w:p>
        </w:tc>
        <w:tc>
          <w:tcPr>
            <w:tcW w:w="1469" w:type="dxa"/>
            <w:gridSpan w:val="2"/>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0.05mg/L</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305" w:hRule="atLeast"/>
          <w:jc w:val="center"/>
        </w:trPr>
        <w:tc>
          <w:tcPr>
            <w:tcW w:w="1359" w:type="dxa"/>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lang w:val="en-US" w:eastAsia="zh-CN" w:bidi="ar-SA"/>
              </w:rPr>
              <w:t>总大肠菌群</w:t>
            </w:r>
          </w:p>
        </w:tc>
        <w:tc>
          <w:tcPr>
            <w:tcW w:w="3844" w:type="dxa"/>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lang w:val="en-US" w:eastAsia="zh-CN" w:bidi="ar-SA"/>
              </w:rPr>
              <w:t>水中总大肠菌群的测定多管发酵法《水和废水监测分析方法》（第四版增补版）国家环境保护总局（2002）</w:t>
            </w:r>
          </w:p>
        </w:tc>
        <w:tc>
          <w:tcPr>
            <w:tcW w:w="2405" w:type="dxa"/>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lang w:val="en-US" w:eastAsia="zh-CN" w:bidi="ar-SA"/>
              </w:rPr>
              <w:t>电热恒温培养箱HN-40BS</w:t>
            </w:r>
          </w:p>
        </w:tc>
        <w:tc>
          <w:tcPr>
            <w:tcW w:w="1469" w:type="dxa"/>
            <w:gridSpan w:val="2"/>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lang w:val="en-US" w:eastAsia="zh-CN"/>
              </w:rPr>
              <w:t>/</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3" w:hRule="atLeast"/>
          <w:jc w:val="center"/>
        </w:trPr>
        <w:tc>
          <w:tcPr>
            <w:tcW w:w="1359" w:type="dxa"/>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细菌总数</w:t>
            </w:r>
          </w:p>
        </w:tc>
        <w:tc>
          <w:tcPr>
            <w:tcW w:w="3844" w:type="dxa"/>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水质细菌总数的测定平皿计数法</w:t>
            </w:r>
          </w:p>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HJ1000-2018</w:t>
            </w:r>
          </w:p>
        </w:tc>
        <w:tc>
          <w:tcPr>
            <w:tcW w:w="2405" w:type="dxa"/>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电热恒温培养箱HN-40BS</w:t>
            </w:r>
          </w:p>
        </w:tc>
        <w:tc>
          <w:tcPr>
            <w:tcW w:w="1469" w:type="dxa"/>
            <w:gridSpan w:val="2"/>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lang w:val="en-US" w:eastAsia="zh-CN"/>
              </w:rPr>
              <w:t>1CFU/mL</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23" w:hRule="atLeast"/>
          <w:jc w:val="center"/>
        </w:trPr>
        <w:tc>
          <w:tcPr>
            <w:tcW w:w="1359"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pH值</w:t>
            </w:r>
          </w:p>
        </w:tc>
        <w:tc>
          <w:tcPr>
            <w:tcW w:w="3844"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土壤pH值的测定电位法</w:t>
            </w:r>
          </w:p>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HJ962-2018</w:t>
            </w:r>
          </w:p>
        </w:tc>
        <w:tc>
          <w:tcPr>
            <w:tcW w:w="2405"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台式pH计</w:t>
            </w:r>
          </w:p>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PHS-3E</w:t>
            </w:r>
          </w:p>
        </w:tc>
        <w:tc>
          <w:tcPr>
            <w:tcW w:w="1469" w:type="dxa"/>
            <w:gridSpan w:val="2"/>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31" w:hRule="atLeast"/>
          <w:jc w:val="center"/>
        </w:trPr>
        <w:tc>
          <w:tcPr>
            <w:tcW w:w="1359"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镉</w:t>
            </w:r>
          </w:p>
        </w:tc>
        <w:tc>
          <w:tcPr>
            <w:tcW w:w="3844"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土壤质量铅、镉的测定石墨炉原子吸收分光光度法GB/T17141-1997</w:t>
            </w:r>
          </w:p>
        </w:tc>
        <w:tc>
          <w:tcPr>
            <w:tcW w:w="2405"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原子吸收分光光度计</w:t>
            </w:r>
          </w:p>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TAS-990AFG</w:t>
            </w:r>
          </w:p>
        </w:tc>
        <w:tc>
          <w:tcPr>
            <w:tcW w:w="1469" w:type="dxa"/>
            <w:gridSpan w:val="2"/>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0.01mg/kg</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73" w:hRule="atLeast"/>
          <w:jc w:val="center"/>
        </w:trPr>
        <w:tc>
          <w:tcPr>
            <w:tcW w:w="1359"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汞、砷</w:t>
            </w:r>
          </w:p>
        </w:tc>
        <w:tc>
          <w:tcPr>
            <w:tcW w:w="3844"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土壤和沉积物汞、砷、硒、铋、锑的测定原子荧光法HJ680-2013</w:t>
            </w:r>
          </w:p>
        </w:tc>
        <w:tc>
          <w:tcPr>
            <w:tcW w:w="2405"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原子荧光光度计</w:t>
            </w:r>
          </w:p>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PF31</w:t>
            </w:r>
          </w:p>
        </w:tc>
        <w:tc>
          <w:tcPr>
            <w:tcW w:w="1469" w:type="dxa"/>
            <w:gridSpan w:val="2"/>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汞:0.002mg/kg;</w:t>
            </w:r>
          </w:p>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砷:0.01mg/kg</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74" w:hRule="atLeast"/>
          <w:jc w:val="center"/>
        </w:trPr>
        <w:tc>
          <w:tcPr>
            <w:tcW w:w="1359"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铬（六价）</w:t>
            </w:r>
          </w:p>
        </w:tc>
        <w:tc>
          <w:tcPr>
            <w:tcW w:w="3844"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土壤和沉积物六价铬的测定碱溶液提取-火焰原子吸收分光光度法</w:t>
            </w:r>
          </w:p>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HJ1082-2019</w:t>
            </w:r>
          </w:p>
        </w:tc>
        <w:tc>
          <w:tcPr>
            <w:tcW w:w="2405"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原子吸收分光光度计</w:t>
            </w:r>
          </w:p>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TAS-990AFG</w:t>
            </w:r>
          </w:p>
        </w:tc>
        <w:tc>
          <w:tcPr>
            <w:tcW w:w="1469" w:type="dxa"/>
            <w:gridSpan w:val="2"/>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0.5mg/kg</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449" w:hRule="atLeast"/>
          <w:jc w:val="center"/>
        </w:trPr>
        <w:tc>
          <w:tcPr>
            <w:tcW w:w="1359"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铅、铜、镍</w:t>
            </w:r>
          </w:p>
        </w:tc>
        <w:tc>
          <w:tcPr>
            <w:tcW w:w="3844"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土壤和沉积物铜、锌、铅、镍、铬的测定火焰原子吸收分光光度法</w:t>
            </w:r>
          </w:p>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HJ491-2019</w:t>
            </w:r>
          </w:p>
        </w:tc>
        <w:tc>
          <w:tcPr>
            <w:tcW w:w="2405"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原子吸收分光光度计</w:t>
            </w:r>
          </w:p>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TAS-990AFG</w:t>
            </w:r>
          </w:p>
        </w:tc>
        <w:tc>
          <w:tcPr>
            <w:tcW w:w="1469" w:type="dxa"/>
            <w:gridSpan w:val="2"/>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铅:10mg/kg;</w:t>
            </w:r>
          </w:p>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铜:1mg/kg;</w:t>
            </w:r>
          </w:p>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镍:3mg/kg</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31" w:hRule="atLeast"/>
          <w:jc w:val="center"/>
        </w:trPr>
        <w:tc>
          <w:tcPr>
            <w:tcW w:w="1359" w:type="dxa"/>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lang w:val="en-US" w:eastAsia="zh-CN" w:bidi="ar-SA"/>
              </w:rPr>
              <w:t>石油烃</w:t>
            </w:r>
          </w:p>
        </w:tc>
        <w:tc>
          <w:tcPr>
            <w:tcW w:w="3844" w:type="dxa"/>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eastAsia" w:ascii="宋体" w:hAnsi="宋体" w:eastAsia="宋体" w:cs="宋体"/>
                <w:color w:val="auto"/>
                <w:spacing w:val="0"/>
                <w:kern w:val="0"/>
                <w:sz w:val="21"/>
                <w:szCs w:val="21"/>
                <w:highlight w:val="none"/>
                <w:lang w:val="en-US" w:eastAsia="zh-CN" w:bidi="ar-SA"/>
              </w:rPr>
            </w:pPr>
            <w:r>
              <w:rPr>
                <w:rFonts w:hint="eastAsia" w:ascii="宋体" w:hAnsi="宋体" w:eastAsia="宋体" w:cs="宋体"/>
                <w:color w:val="auto"/>
                <w:spacing w:val="0"/>
                <w:kern w:val="0"/>
                <w:sz w:val="21"/>
                <w:szCs w:val="21"/>
                <w:highlight w:val="none"/>
                <w:lang w:val="en-US" w:eastAsia="zh-CN" w:bidi="ar-SA"/>
              </w:rPr>
              <w:t>土壤中石油烃（C</w:t>
            </w:r>
            <w:r>
              <w:rPr>
                <w:rFonts w:hint="eastAsia" w:ascii="宋体" w:hAnsi="宋体" w:eastAsia="宋体" w:cs="宋体"/>
                <w:color w:val="auto"/>
                <w:spacing w:val="0"/>
                <w:kern w:val="0"/>
                <w:sz w:val="21"/>
                <w:szCs w:val="21"/>
                <w:highlight w:val="none"/>
                <w:vertAlign w:val="subscript"/>
                <w:lang w:val="en-US" w:eastAsia="zh-CN" w:bidi="ar-SA"/>
              </w:rPr>
              <w:t>10</w:t>
            </w:r>
            <w:r>
              <w:rPr>
                <w:rFonts w:hint="eastAsia" w:ascii="宋体" w:hAnsi="宋体" w:eastAsia="宋体" w:cs="宋体"/>
                <w:color w:val="auto"/>
                <w:spacing w:val="0"/>
                <w:kern w:val="0"/>
                <w:sz w:val="21"/>
                <w:szCs w:val="21"/>
                <w:highlight w:val="none"/>
                <w:lang w:val="en-US" w:eastAsia="zh-CN" w:bidi="ar-SA"/>
              </w:rPr>
              <w:t>-C</w:t>
            </w:r>
            <w:r>
              <w:rPr>
                <w:rFonts w:hint="eastAsia" w:ascii="宋体" w:hAnsi="宋体" w:eastAsia="宋体" w:cs="宋体"/>
                <w:color w:val="auto"/>
                <w:spacing w:val="0"/>
                <w:kern w:val="0"/>
                <w:sz w:val="21"/>
                <w:szCs w:val="21"/>
                <w:highlight w:val="none"/>
                <w:vertAlign w:val="subscript"/>
                <w:lang w:val="en-US" w:eastAsia="zh-CN" w:bidi="ar-SA"/>
              </w:rPr>
              <w:t>40</w:t>
            </w:r>
            <w:r>
              <w:rPr>
                <w:rFonts w:hint="eastAsia" w:ascii="宋体" w:hAnsi="宋体" w:eastAsia="宋体" w:cs="宋体"/>
                <w:color w:val="auto"/>
                <w:spacing w:val="0"/>
                <w:kern w:val="0"/>
                <w:sz w:val="21"/>
                <w:szCs w:val="21"/>
                <w:highlight w:val="none"/>
                <w:lang w:val="en-US" w:eastAsia="zh-CN" w:bidi="ar-SA"/>
              </w:rPr>
              <w:t>）含量的测定</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lang w:val="en-US" w:eastAsia="zh-CN" w:bidi="ar-SA"/>
              </w:rPr>
              <w:t>气相色谱法HJ1021-2019</w:t>
            </w:r>
          </w:p>
        </w:tc>
        <w:tc>
          <w:tcPr>
            <w:tcW w:w="2405" w:type="dxa"/>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eastAsia" w:ascii="宋体" w:hAnsi="宋体" w:eastAsia="宋体" w:cs="宋体"/>
                <w:color w:val="auto"/>
                <w:spacing w:val="0"/>
                <w:kern w:val="0"/>
                <w:sz w:val="21"/>
                <w:szCs w:val="21"/>
                <w:highlight w:val="none"/>
                <w:lang w:val="en-US" w:eastAsia="zh-CN" w:bidi="ar-SA"/>
              </w:rPr>
            </w:pPr>
            <w:r>
              <w:rPr>
                <w:rFonts w:hint="eastAsia" w:ascii="宋体" w:hAnsi="宋体" w:eastAsia="宋体" w:cs="宋体"/>
                <w:color w:val="auto"/>
                <w:spacing w:val="0"/>
                <w:kern w:val="0"/>
                <w:sz w:val="21"/>
                <w:szCs w:val="21"/>
                <w:highlight w:val="none"/>
                <w:lang w:val="en-US" w:eastAsia="zh-CN" w:bidi="ar-SA"/>
              </w:rPr>
              <w:t>气相色谱仪</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lang w:val="en-US" w:eastAsia="zh-CN" w:bidi="ar-SA"/>
              </w:rPr>
              <w:t>A91PLUS</w:t>
            </w:r>
          </w:p>
        </w:tc>
        <w:tc>
          <w:tcPr>
            <w:tcW w:w="1469" w:type="dxa"/>
            <w:gridSpan w:val="2"/>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lang w:val="en-US" w:eastAsia="zh-CN"/>
              </w:rPr>
              <w:t>6mg/kg</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3" w:type="dxa"/>
          <w:trHeight w:val="633" w:hRule="atLeast"/>
          <w:jc w:val="center"/>
        </w:trPr>
        <w:tc>
          <w:tcPr>
            <w:tcW w:w="1359"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lang w:val="en-US" w:eastAsia="zh-CN" w:bidi="ar-SA"/>
              </w:rPr>
            </w:pPr>
            <w:r>
              <w:rPr>
                <w:rFonts w:hint="eastAsia" w:ascii="宋体" w:hAnsi="宋体" w:eastAsia="宋体" w:cs="宋体"/>
                <w:color w:val="auto"/>
                <w:spacing w:val="0"/>
                <w:kern w:val="0"/>
                <w:sz w:val="21"/>
                <w:szCs w:val="21"/>
                <w:highlight w:val="none"/>
              </w:rPr>
              <w:t>四氯化碳</w:t>
            </w:r>
          </w:p>
        </w:tc>
        <w:tc>
          <w:tcPr>
            <w:tcW w:w="3844"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lang w:val="en-US" w:eastAsia="zh-CN" w:bidi="ar-SA"/>
              </w:rPr>
            </w:pPr>
            <w:r>
              <w:rPr>
                <w:rFonts w:hint="eastAsia" w:ascii="宋体" w:hAnsi="宋体" w:eastAsia="宋体" w:cs="宋体"/>
                <w:color w:val="auto"/>
                <w:spacing w:val="0"/>
                <w:kern w:val="0"/>
                <w:sz w:val="21"/>
                <w:szCs w:val="21"/>
                <w:highlight w:val="none"/>
              </w:rPr>
              <w:t>土壤和沉积物挥发性有机物的测定吹扫捕集/气相色谱-质谱法HJ605-2011</w:t>
            </w:r>
          </w:p>
        </w:tc>
        <w:tc>
          <w:tcPr>
            <w:tcW w:w="2405"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气相色谱质谱联用仪Agilent8860/5977B</w:t>
            </w:r>
          </w:p>
        </w:tc>
        <w:tc>
          <w:tcPr>
            <w:tcW w:w="1456" w:type="dxa"/>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lang w:val="en-US" w:eastAsia="zh-CN"/>
              </w:rPr>
            </w:pPr>
            <w:r>
              <w:rPr>
                <w:rFonts w:hint="eastAsia" w:ascii="宋体" w:hAnsi="宋体" w:eastAsia="宋体" w:cs="宋体"/>
                <w:color w:val="auto"/>
                <w:spacing w:val="0"/>
                <w:kern w:val="0"/>
                <w:sz w:val="21"/>
                <w:szCs w:val="21"/>
                <w:highlight w:val="none"/>
              </w:rPr>
              <w:t>1.3μg/kg</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3" w:type="dxa"/>
          <w:trHeight w:val="650" w:hRule="atLeast"/>
          <w:jc w:val="center"/>
        </w:trPr>
        <w:tc>
          <w:tcPr>
            <w:tcW w:w="1359"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氯仿</w:t>
            </w:r>
          </w:p>
        </w:tc>
        <w:tc>
          <w:tcPr>
            <w:tcW w:w="3844"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土壤和沉积物挥发性有机物的测定吹扫捕集/气相色谱-质谱法HJ605-2011</w:t>
            </w:r>
          </w:p>
        </w:tc>
        <w:tc>
          <w:tcPr>
            <w:tcW w:w="2405"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气相色谱质谱联用仪Agilent8860/5977B</w:t>
            </w:r>
          </w:p>
        </w:tc>
        <w:tc>
          <w:tcPr>
            <w:tcW w:w="1456" w:type="dxa"/>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1.1μg/kg</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3" w:type="dxa"/>
          <w:trHeight w:val="633" w:hRule="atLeast"/>
          <w:jc w:val="center"/>
        </w:trPr>
        <w:tc>
          <w:tcPr>
            <w:tcW w:w="1359"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氯甲烷</w:t>
            </w:r>
          </w:p>
        </w:tc>
        <w:tc>
          <w:tcPr>
            <w:tcW w:w="3844"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土壤和沉积物挥发性有机物的测定吹扫捕集/气相色谱-质谱法HJ605-2011</w:t>
            </w:r>
          </w:p>
        </w:tc>
        <w:tc>
          <w:tcPr>
            <w:tcW w:w="2405"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气相色谱质谱联用仪Agilent8860/5977B</w:t>
            </w:r>
          </w:p>
        </w:tc>
        <w:tc>
          <w:tcPr>
            <w:tcW w:w="1456" w:type="dxa"/>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1.0μg/kg</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3" w:type="dxa"/>
          <w:trHeight w:val="633" w:hRule="atLeast"/>
          <w:jc w:val="center"/>
        </w:trPr>
        <w:tc>
          <w:tcPr>
            <w:tcW w:w="1359"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1,1-二氯乙烷</w:t>
            </w:r>
          </w:p>
        </w:tc>
        <w:tc>
          <w:tcPr>
            <w:tcW w:w="3844"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土壤和沉积物挥发性有机物的测定吹扫捕集/气相色谱-质谱法HJ605-2011</w:t>
            </w:r>
          </w:p>
        </w:tc>
        <w:tc>
          <w:tcPr>
            <w:tcW w:w="2405"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气相色谱质谱联用仪Agilent8860/5977B</w:t>
            </w:r>
          </w:p>
        </w:tc>
        <w:tc>
          <w:tcPr>
            <w:tcW w:w="1456" w:type="dxa"/>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1.2μg/kg</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3" w:type="dxa"/>
          <w:trHeight w:val="633" w:hRule="atLeast"/>
          <w:jc w:val="center"/>
        </w:trPr>
        <w:tc>
          <w:tcPr>
            <w:tcW w:w="1359"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1,2-二氯乙烷</w:t>
            </w:r>
          </w:p>
        </w:tc>
        <w:tc>
          <w:tcPr>
            <w:tcW w:w="3844"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土壤和沉积物挥发性有机物的测定吹扫捕集/气相色谱-质谱法HJ605-2011</w:t>
            </w:r>
          </w:p>
        </w:tc>
        <w:tc>
          <w:tcPr>
            <w:tcW w:w="2405"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气相色谱质谱联用仪Agilent8860/5977B</w:t>
            </w:r>
          </w:p>
        </w:tc>
        <w:tc>
          <w:tcPr>
            <w:tcW w:w="1456" w:type="dxa"/>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1.3μg/kg</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3" w:type="dxa"/>
          <w:trHeight w:val="633" w:hRule="atLeast"/>
          <w:jc w:val="center"/>
        </w:trPr>
        <w:tc>
          <w:tcPr>
            <w:tcW w:w="1359"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1,1-二氯乙烯</w:t>
            </w:r>
          </w:p>
        </w:tc>
        <w:tc>
          <w:tcPr>
            <w:tcW w:w="3844"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土壤和沉积物挥发性有机物的测定吹扫捕集/气相色谱-质谱法HJ605-2011</w:t>
            </w:r>
          </w:p>
        </w:tc>
        <w:tc>
          <w:tcPr>
            <w:tcW w:w="2405"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气相色谱质谱联用仪Agilent8860/5977B</w:t>
            </w:r>
          </w:p>
        </w:tc>
        <w:tc>
          <w:tcPr>
            <w:tcW w:w="1456" w:type="dxa"/>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1.0μg/kg</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3" w:type="dxa"/>
          <w:trHeight w:val="633" w:hRule="atLeast"/>
          <w:jc w:val="center"/>
        </w:trPr>
        <w:tc>
          <w:tcPr>
            <w:tcW w:w="1359"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顺-1,2-二氯乙烯</w:t>
            </w:r>
          </w:p>
        </w:tc>
        <w:tc>
          <w:tcPr>
            <w:tcW w:w="3844"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土壤和沉积物挥发性有机物的测定吹扫捕集/气相色谱-质谱法HJ605-2011</w:t>
            </w:r>
          </w:p>
        </w:tc>
        <w:tc>
          <w:tcPr>
            <w:tcW w:w="2405"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气相色谱质谱联用仪Agilent8860/5977B</w:t>
            </w:r>
          </w:p>
        </w:tc>
        <w:tc>
          <w:tcPr>
            <w:tcW w:w="1456" w:type="dxa"/>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1.3μg/kg</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3" w:type="dxa"/>
          <w:trHeight w:val="643" w:hRule="atLeast"/>
          <w:jc w:val="center"/>
        </w:trPr>
        <w:tc>
          <w:tcPr>
            <w:tcW w:w="1359"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反-1,2-二氯乙烯</w:t>
            </w:r>
          </w:p>
        </w:tc>
        <w:tc>
          <w:tcPr>
            <w:tcW w:w="3844"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土壤和沉积物挥发性有机物的测定吹扫捕集/气相色谱-质谱法HJ605-2011</w:t>
            </w:r>
          </w:p>
        </w:tc>
        <w:tc>
          <w:tcPr>
            <w:tcW w:w="2405"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气相色谱质谱联用仪Agilent8860/5977B</w:t>
            </w:r>
          </w:p>
        </w:tc>
        <w:tc>
          <w:tcPr>
            <w:tcW w:w="1456" w:type="dxa"/>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1.4μg/kg</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3" w:type="dxa"/>
          <w:trHeight w:val="633" w:hRule="atLeast"/>
          <w:jc w:val="center"/>
        </w:trPr>
        <w:tc>
          <w:tcPr>
            <w:tcW w:w="1359"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b/>
                <w:color w:val="auto"/>
                <w:spacing w:val="0"/>
                <w:kern w:val="2"/>
                <w:sz w:val="21"/>
                <w:szCs w:val="21"/>
                <w:highlight w:val="none"/>
                <w:lang w:val="en-US" w:eastAsia="zh-CN" w:bidi="ar-SA"/>
              </w:rPr>
            </w:pPr>
            <w:r>
              <w:rPr>
                <w:rFonts w:hint="eastAsia" w:ascii="宋体" w:hAnsi="宋体" w:eastAsia="宋体" w:cs="宋体"/>
                <w:color w:val="auto"/>
                <w:spacing w:val="0"/>
                <w:kern w:val="0"/>
                <w:sz w:val="21"/>
                <w:szCs w:val="21"/>
                <w:highlight w:val="none"/>
              </w:rPr>
              <w:t>二氯甲烷</w:t>
            </w:r>
          </w:p>
        </w:tc>
        <w:tc>
          <w:tcPr>
            <w:tcW w:w="3844"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b/>
                <w:color w:val="auto"/>
                <w:spacing w:val="0"/>
                <w:kern w:val="2"/>
                <w:sz w:val="21"/>
                <w:szCs w:val="21"/>
                <w:highlight w:val="none"/>
                <w:lang w:val="en-US" w:eastAsia="zh-CN" w:bidi="ar-SA"/>
              </w:rPr>
            </w:pPr>
            <w:r>
              <w:rPr>
                <w:rFonts w:hint="eastAsia" w:ascii="宋体" w:hAnsi="宋体" w:eastAsia="宋体" w:cs="宋体"/>
                <w:color w:val="auto"/>
                <w:spacing w:val="0"/>
                <w:kern w:val="0"/>
                <w:sz w:val="21"/>
                <w:szCs w:val="21"/>
                <w:highlight w:val="none"/>
              </w:rPr>
              <w:t>土壤和沉积物挥发性有机物的测定吹扫捕集/气相色谱-质谱法HJ605-2011</w:t>
            </w:r>
          </w:p>
        </w:tc>
        <w:tc>
          <w:tcPr>
            <w:tcW w:w="2405"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b/>
                <w:color w:val="auto"/>
                <w:spacing w:val="0"/>
                <w:kern w:val="2"/>
                <w:sz w:val="21"/>
                <w:szCs w:val="21"/>
                <w:highlight w:val="none"/>
                <w:lang w:val="en-US" w:eastAsia="zh-CN" w:bidi="ar-SA"/>
              </w:rPr>
            </w:pPr>
            <w:r>
              <w:rPr>
                <w:rFonts w:hint="eastAsia" w:ascii="宋体" w:hAnsi="宋体" w:eastAsia="宋体" w:cs="宋体"/>
                <w:color w:val="auto"/>
                <w:spacing w:val="0"/>
                <w:kern w:val="0"/>
                <w:sz w:val="21"/>
                <w:szCs w:val="21"/>
                <w:highlight w:val="none"/>
              </w:rPr>
              <w:t>气相色谱质谱联用仪Agilent8860/5977B</w:t>
            </w:r>
          </w:p>
        </w:tc>
        <w:tc>
          <w:tcPr>
            <w:tcW w:w="1456" w:type="dxa"/>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lang w:val="en-US" w:eastAsia="zh-CN"/>
              </w:rPr>
            </w:pPr>
            <w:r>
              <w:rPr>
                <w:rFonts w:hint="eastAsia" w:ascii="宋体" w:hAnsi="宋体" w:eastAsia="宋体" w:cs="宋体"/>
                <w:color w:val="auto"/>
                <w:spacing w:val="0"/>
                <w:kern w:val="0"/>
                <w:sz w:val="21"/>
                <w:szCs w:val="21"/>
                <w:highlight w:val="none"/>
              </w:rPr>
              <w:t>1.5μg/kg</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3" w:type="dxa"/>
          <w:trHeight w:val="633" w:hRule="atLeast"/>
          <w:jc w:val="center"/>
        </w:trPr>
        <w:tc>
          <w:tcPr>
            <w:tcW w:w="1359"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b/>
                <w:color w:val="auto"/>
                <w:spacing w:val="0"/>
                <w:kern w:val="2"/>
                <w:sz w:val="21"/>
                <w:szCs w:val="21"/>
                <w:highlight w:val="none"/>
                <w:lang w:val="en-US" w:eastAsia="zh-CN" w:bidi="ar-SA"/>
              </w:rPr>
            </w:pPr>
            <w:r>
              <w:rPr>
                <w:rFonts w:hint="eastAsia" w:ascii="宋体" w:hAnsi="宋体" w:eastAsia="宋体" w:cs="宋体"/>
                <w:color w:val="auto"/>
                <w:spacing w:val="0"/>
                <w:kern w:val="0"/>
                <w:sz w:val="21"/>
                <w:szCs w:val="21"/>
                <w:highlight w:val="none"/>
              </w:rPr>
              <w:t>1,2-二氯丙烷</w:t>
            </w:r>
          </w:p>
        </w:tc>
        <w:tc>
          <w:tcPr>
            <w:tcW w:w="3844"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b/>
                <w:color w:val="auto"/>
                <w:spacing w:val="0"/>
                <w:kern w:val="2"/>
                <w:sz w:val="21"/>
                <w:szCs w:val="21"/>
                <w:highlight w:val="none"/>
                <w:lang w:val="en-US" w:eastAsia="zh-CN" w:bidi="ar-SA"/>
              </w:rPr>
            </w:pPr>
            <w:r>
              <w:rPr>
                <w:rFonts w:hint="eastAsia" w:ascii="宋体" w:hAnsi="宋体" w:eastAsia="宋体" w:cs="宋体"/>
                <w:color w:val="auto"/>
                <w:spacing w:val="0"/>
                <w:kern w:val="0"/>
                <w:sz w:val="21"/>
                <w:szCs w:val="21"/>
                <w:highlight w:val="none"/>
              </w:rPr>
              <w:t>土壤和沉积物挥发性有机物的测定吹扫捕集/气相色谱-质谱法HJ605-2011</w:t>
            </w:r>
          </w:p>
        </w:tc>
        <w:tc>
          <w:tcPr>
            <w:tcW w:w="2405"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b/>
                <w:color w:val="auto"/>
                <w:spacing w:val="0"/>
                <w:kern w:val="2"/>
                <w:sz w:val="21"/>
                <w:szCs w:val="21"/>
                <w:highlight w:val="none"/>
                <w:lang w:val="en-US" w:eastAsia="zh-CN" w:bidi="ar-SA"/>
              </w:rPr>
            </w:pPr>
            <w:r>
              <w:rPr>
                <w:rFonts w:hint="eastAsia" w:ascii="宋体" w:hAnsi="宋体" w:eastAsia="宋体" w:cs="宋体"/>
                <w:color w:val="auto"/>
                <w:spacing w:val="0"/>
                <w:kern w:val="0"/>
                <w:sz w:val="21"/>
                <w:szCs w:val="21"/>
                <w:highlight w:val="none"/>
              </w:rPr>
              <w:t>气相色谱质谱联用仪Agilent8860/5977B</w:t>
            </w:r>
          </w:p>
        </w:tc>
        <w:tc>
          <w:tcPr>
            <w:tcW w:w="1456" w:type="dxa"/>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lang w:val="en-US" w:eastAsia="zh-CN"/>
              </w:rPr>
            </w:pPr>
            <w:r>
              <w:rPr>
                <w:rFonts w:hint="eastAsia" w:ascii="宋体" w:hAnsi="宋体" w:eastAsia="宋体" w:cs="宋体"/>
                <w:color w:val="auto"/>
                <w:spacing w:val="0"/>
                <w:kern w:val="0"/>
                <w:sz w:val="21"/>
                <w:szCs w:val="21"/>
                <w:highlight w:val="none"/>
              </w:rPr>
              <w:t>1.1μg/kg</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3" w:type="dxa"/>
          <w:trHeight w:val="633" w:hRule="atLeast"/>
          <w:jc w:val="center"/>
        </w:trPr>
        <w:tc>
          <w:tcPr>
            <w:tcW w:w="1359"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b/>
                <w:color w:val="auto"/>
                <w:spacing w:val="0"/>
                <w:kern w:val="2"/>
                <w:sz w:val="21"/>
                <w:szCs w:val="21"/>
                <w:highlight w:val="none"/>
                <w:lang w:val="en-US" w:eastAsia="zh-CN" w:bidi="ar-SA"/>
              </w:rPr>
            </w:pPr>
            <w:r>
              <w:rPr>
                <w:rFonts w:hint="eastAsia" w:ascii="宋体" w:hAnsi="宋体" w:eastAsia="宋体" w:cs="宋体"/>
                <w:color w:val="auto"/>
                <w:spacing w:val="0"/>
                <w:kern w:val="0"/>
                <w:sz w:val="21"/>
                <w:szCs w:val="21"/>
                <w:highlight w:val="none"/>
              </w:rPr>
              <w:t>1,1,1,2-四氯乙烷</w:t>
            </w:r>
          </w:p>
        </w:tc>
        <w:tc>
          <w:tcPr>
            <w:tcW w:w="3844"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b/>
                <w:color w:val="auto"/>
                <w:spacing w:val="0"/>
                <w:kern w:val="2"/>
                <w:sz w:val="21"/>
                <w:szCs w:val="21"/>
                <w:highlight w:val="none"/>
                <w:lang w:val="en-US" w:eastAsia="zh-CN" w:bidi="ar-SA"/>
              </w:rPr>
            </w:pPr>
            <w:r>
              <w:rPr>
                <w:rFonts w:hint="eastAsia" w:ascii="宋体" w:hAnsi="宋体" w:eastAsia="宋体" w:cs="宋体"/>
                <w:color w:val="auto"/>
                <w:spacing w:val="0"/>
                <w:kern w:val="0"/>
                <w:sz w:val="21"/>
                <w:szCs w:val="21"/>
                <w:highlight w:val="none"/>
              </w:rPr>
              <w:t>土壤和沉积物挥发性有机物的测定吹扫捕集/气相色谱-质谱法HJ605-2011</w:t>
            </w:r>
          </w:p>
        </w:tc>
        <w:tc>
          <w:tcPr>
            <w:tcW w:w="2405"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b/>
                <w:color w:val="auto"/>
                <w:spacing w:val="0"/>
                <w:kern w:val="2"/>
                <w:sz w:val="21"/>
                <w:szCs w:val="21"/>
                <w:highlight w:val="none"/>
                <w:lang w:val="en-US" w:eastAsia="zh-CN" w:bidi="ar-SA"/>
              </w:rPr>
            </w:pPr>
            <w:r>
              <w:rPr>
                <w:rFonts w:hint="eastAsia" w:ascii="宋体" w:hAnsi="宋体" w:eastAsia="宋体" w:cs="宋体"/>
                <w:color w:val="auto"/>
                <w:spacing w:val="0"/>
                <w:kern w:val="0"/>
                <w:sz w:val="21"/>
                <w:szCs w:val="21"/>
                <w:highlight w:val="none"/>
              </w:rPr>
              <w:t>气相色谱质谱联用仪Agilent8860/5977B</w:t>
            </w:r>
          </w:p>
        </w:tc>
        <w:tc>
          <w:tcPr>
            <w:tcW w:w="1456" w:type="dxa"/>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lang w:val="en-US" w:eastAsia="zh-CN"/>
              </w:rPr>
            </w:pPr>
            <w:r>
              <w:rPr>
                <w:rFonts w:hint="eastAsia" w:ascii="宋体" w:hAnsi="宋体" w:eastAsia="宋体" w:cs="宋体"/>
                <w:color w:val="auto"/>
                <w:spacing w:val="0"/>
                <w:kern w:val="0"/>
                <w:sz w:val="21"/>
                <w:szCs w:val="21"/>
                <w:highlight w:val="none"/>
              </w:rPr>
              <w:t>1.2μg/kg</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3" w:type="dxa"/>
          <w:trHeight w:val="633" w:hRule="atLeast"/>
          <w:jc w:val="center"/>
        </w:trPr>
        <w:tc>
          <w:tcPr>
            <w:tcW w:w="1359"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b/>
                <w:color w:val="auto"/>
                <w:spacing w:val="0"/>
                <w:kern w:val="2"/>
                <w:sz w:val="21"/>
                <w:szCs w:val="21"/>
                <w:highlight w:val="none"/>
                <w:lang w:val="en-US" w:eastAsia="zh-CN" w:bidi="ar-SA"/>
              </w:rPr>
            </w:pPr>
            <w:r>
              <w:rPr>
                <w:rFonts w:hint="eastAsia" w:ascii="宋体" w:hAnsi="宋体" w:eastAsia="宋体" w:cs="宋体"/>
                <w:color w:val="auto"/>
                <w:spacing w:val="0"/>
                <w:kern w:val="0"/>
                <w:sz w:val="21"/>
                <w:szCs w:val="21"/>
                <w:highlight w:val="none"/>
              </w:rPr>
              <w:t>1,1,2,2-四氯乙烷</w:t>
            </w:r>
          </w:p>
        </w:tc>
        <w:tc>
          <w:tcPr>
            <w:tcW w:w="3844"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b/>
                <w:color w:val="auto"/>
                <w:spacing w:val="0"/>
                <w:kern w:val="2"/>
                <w:sz w:val="21"/>
                <w:szCs w:val="21"/>
                <w:highlight w:val="none"/>
                <w:lang w:val="en-US" w:eastAsia="zh-CN" w:bidi="ar-SA"/>
              </w:rPr>
            </w:pPr>
            <w:r>
              <w:rPr>
                <w:rFonts w:hint="eastAsia" w:ascii="宋体" w:hAnsi="宋体" w:eastAsia="宋体" w:cs="宋体"/>
                <w:color w:val="auto"/>
                <w:spacing w:val="0"/>
                <w:kern w:val="0"/>
                <w:sz w:val="21"/>
                <w:szCs w:val="21"/>
                <w:highlight w:val="none"/>
              </w:rPr>
              <w:t>土壤和沉积物挥发性有机物的测定吹扫捕集/气相色谱-质谱法HJ605-2011</w:t>
            </w:r>
          </w:p>
        </w:tc>
        <w:tc>
          <w:tcPr>
            <w:tcW w:w="2405"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b/>
                <w:color w:val="auto"/>
                <w:spacing w:val="0"/>
                <w:kern w:val="2"/>
                <w:sz w:val="21"/>
                <w:szCs w:val="21"/>
                <w:highlight w:val="none"/>
                <w:lang w:val="en-US" w:eastAsia="zh-CN" w:bidi="ar-SA"/>
              </w:rPr>
            </w:pPr>
            <w:r>
              <w:rPr>
                <w:rFonts w:hint="eastAsia" w:ascii="宋体" w:hAnsi="宋体" w:eastAsia="宋体" w:cs="宋体"/>
                <w:color w:val="auto"/>
                <w:spacing w:val="0"/>
                <w:kern w:val="0"/>
                <w:sz w:val="21"/>
                <w:szCs w:val="21"/>
                <w:highlight w:val="none"/>
              </w:rPr>
              <w:t>气相色谱质谱联用仪Agilent8860/5977B</w:t>
            </w:r>
          </w:p>
        </w:tc>
        <w:tc>
          <w:tcPr>
            <w:tcW w:w="1456" w:type="dxa"/>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lang w:val="en-US" w:eastAsia="zh-CN"/>
              </w:rPr>
            </w:pPr>
            <w:r>
              <w:rPr>
                <w:rFonts w:hint="eastAsia" w:ascii="宋体" w:hAnsi="宋体" w:eastAsia="宋体" w:cs="宋体"/>
                <w:color w:val="auto"/>
                <w:spacing w:val="0"/>
                <w:kern w:val="0"/>
                <w:sz w:val="21"/>
                <w:szCs w:val="21"/>
                <w:highlight w:val="none"/>
              </w:rPr>
              <w:t>1.2μg/kg</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3" w:type="dxa"/>
          <w:trHeight w:val="633" w:hRule="atLeast"/>
          <w:jc w:val="center"/>
        </w:trPr>
        <w:tc>
          <w:tcPr>
            <w:tcW w:w="1359"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b/>
                <w:color w:val="auto"/>
                <w:spacing w:val="0"/>
                <w:kern w:val="2"/>
                <w:sz w:val="21"/>
                <w:szCs w:val="21"/>
                <w:highlight w:val="none"/>
                <w:lang w:val="en-US" w:eastAsia="zh-CN" w:bidi="ar-SA"/>
              </w:rPr>
            </w:pPr>
            <w:r>
              <w:rPr>
                <w:rFonts w:hint="eastAsia" w:ascii="宋体" w:hAnsi="宋体" w:eastAsia="宋体" w:cs="宋体"/>
                <w:color w:val="auto"/>
                <w:spacing w:val="0"/>
                <w:kern w:val="0"/>
                <w:sz w:val="21"/>
                <w:szCs w:val="21"/>
                <w:highlight w:val="none"/>
              </w:rPr>
              <w:t>四氯乙烯</w:t>
            </w:r>
          </w:p>
        </w:tc>
        <w:tc>
          <w:tcPr>
            <w:tcW w:w="3844"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b/>
                <w:color w:val="auto"/>
                <w:spacing w:val="0"/>
                <w:kern w:val="2"/>
                <w:sz w:val="21"/>
                <w:szCs w:val="21"/>
                <w:highlight w:val="none"/>
                <w:lang w:val="en-US" w:eastAsia="zh-CN" w:bidi="ar-SA"/>
              </w:rPr>
            </w:pPr>
            <w:r>
              <w:rPr>
                <w:rFonts w:hint="eastAsia" w:ascii="宋体" w:hAnsi="宋体" w:eastAsia="宋体" w:cs="宋体"/>
                <w:color w:val="auto"/>
                <w:spacing w:val="0"/>
                <w:kern w:val="0"/>
                <w:sz w:val="21"/>
                <w:szCs w:val="21"/>
                <w:highlight w:val="none"/>
              </w:rPr>
              <w:t>土壤和沉积物挥发性有机物的测定吹扫捕集/气相色谱-质谱法HJ605-2011</w:t>
            </w:r>
          </w:p>
        </w:tc>
        <w:tc>
          <w:tcPr>
            <w:tcW w:w="2405"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b/>
                <w:color w:val="auto"/>
                <w:spacing w:val="0"/>
                <w:kern w:val="2"/>
                <w:sz w:val="21"/>
                <w:szCs w:val="21"/>
                <w:highlight w:val="none"/>
                <w:lang w:val="en-US" w:eastAsia="zh-CN" w:bidi="ar-SA"/>
              </w:rPr>
            </w:pPr>
            <w:r>
              <w:rPr>
                <w:rFonts w:hint="eastAsia" w:ascii="宋体" w:hAnsi="宋体" w:eastAsia="宋体" w:cs="宋体"/>
                <w:color w:val="auto"/>
                <w:spacing w:val="0"/>
                <w:kern w:val="0"/>
                <w:sz w:val="21"/>
                <w:szCs w:val="21"/>
                <w:highlight w:val="none"/>
              </w:rPr>
              <w:t>气相色谱质谱联用仪Agilent8860/5977B</w:t>
            </w:r>
          </w:p>
        </w:tc>
        <w:tc>
          <w:tcPr>
            <w:tcW w:w="1456" w:type="dxa"/>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lang w:val="en-US" w:eastAsia="zh-CN"/>
              </w:rPr>
            </w:pPr>
            <w:r>
              <w:rPr>
                <w:rFonts w:hint="eastAsia" w:ascii="宋体" w:hAnsi="宋体" w:eastAsia="宋体" w:cs="宋体"/>
                <w:color w:val="auto"/>
                <w:spacing w:val="0"/>
                <w:kern w:val="0"/>
                <w:sz w:val="21"/>
                <w:szCs w:val="21"/>
                <w:highlight w:val="none"/>
              </w:rPr>
              <w:t>1.4μg/kg</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3" w:type="dxa"/>
          <w:trHeight w:val="633" w:hRule="atLeast"/>
          <w:jc w:val="center"/>
        </w:trPr>
        <w:tc>
          <w:tcPr>
            <w:tcW w:w="1359"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b/>
                <w:color w:val="auto"/>
                <w:spacing w:val="0"/>
                <w:kern w:val="2"/>
                <w:sz w:val="21"/>
                <w:szCs w:val="21"/>
                <w:highlight w:val="none"/>
                <w:lang w:val="en-US" w:eastAsia="zh-CN" w:bidi="ar-SA"/>
              </w:rPr>
            </w:pPr>
            <w:r>
              <w:rPr>
                <w:rFonts w:hint="eastAsia" w:ascii="宋体" w:hAnsi="宋体" w:eastAsia="宋体" w:cs="宋体"/>
                <w:color w:val="auto"/>
                <w:spacing w:val="0"/>
                <w:kern w:val="0"/>
                <w:sz w:val="21"/>
                <w:szCs w:val="21"/>
                <w:highlight w:val="none"/>
              </w:rPr>
              <w:t>1,1,1-三氯乙烷</w:t>
            </w:r>
          </w:p>
        </w:tc>
        <w:tc>
          <w:tcPr>
            <w:tcW w:w="3844"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b/>
                <w:color w:val="auto"/>
                <w:spacing w:val="0"/>
                <w:kern w:val="2"/>
                <w:sz w:val="21"/>
                <w:szCs w:val="21"/>
                <w:highlight w:val="none"/>
                <w:lang w:val="en-US" w:eastAsia="zh-CN" w:bidi="ar-SA"/>
              </w:rPr>
            </w:pPr>
            <w:r>
              <w:rPr>
                <w:rFonts w:hint="eastAsia" w:ascii="宋体" w:hAnsi="宋体" w:eastAsia="宋体" w:cs="宋体"/>
                <w:color w:val="auto"/>
                <w:spacing w:val="0"/>
                <w:kern w:val="0"/>
                <w:sz w:val="21"/>
                <w:szCs w:val="21"/>
                <w:highlight w:val="none"/>
              </w:rPr>
              <w:t>土壤和沉积物挥发性有机物的测定吹扫捕集/气相色谱-质谱法HJ605-2011</w:t>
            </w:r>
          </w:p>
        </w:tc>
        <w:tc>
          <w:tcPr>
            <w:tcW w:w="2405"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b/>
                <w:color w:val="auto"/>
                <w:spacing w:val="0"/>
                <w:kern w:val="2"/>
                <w:sz w:val="21"/>
                <w:szCs w:val="21"/>
                <w:highlight w:val="none"/>
                <w:lang w:val="en-US" w:eastAsia="zh-CN" w:bidi="ar-SA"/>
              </w:rPr>
            </w:pPr>
            <w:r>
              <w:rPr>
                <w:rFonts w:hint="eastAsia" w:ascii="宋体" w:hAnsi="宋体" w:eastAsia="宋体" w:cs="宋体"/>
                <w:color w:val="auto"/>
                <w:spacing w:val="0"/>
                <w:kern w:val="0"/>
                <w:sz w:val="21"/>
                <w:szCs w:val="21"/>
                <w:highlight w:val="none"/>
              </w:rPr>
              <w:t>气相色谱质谱联用仪Agilent8860/5977B</w:t>
            </w:r>
          </w:p>
        </w:tc>
        <w:tc>
          <w:tcPr>
            <w:tcW w:w="1456" w:type="dxa"/>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lang w:val="en-US" w:eastAsia="zh-CN"/>
              </w:rPr>
            </w:pPr>
            <w:r>
              <w:rPr>
                <w:rFonts w:hint="eastAsia" w:ascii="宋体" w:hAnsi="宋体" w:eastAsia="宋体" w:cs="宋体"/>
                <w:color w:val="auto"/>
                <w:spacing w:val="0"/>
                <w:kern w:val="0"/>
                <w:sz w:val="21"/>
                <w:szCs w:val="21"/>
                <w:highlight w:val="none"/>
              </w:rPr>
              <w:t>1.3μg/kg</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3" w:type="dxa"/>
          <w:trHeight w:val="633" w:hRule="atLeast"/>
          <w:jc w:val="center"/>
        </w:trPr>
        <w:tc>
          <w:tcPr>
            <w:tcW w:w="1359"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b/>
                <w:color w:val="auto"/>
                <w:spacing w:val="0"/>
                <w:kern w:val="2"/>
                <w:sz w:val="21"/>
                <w:szCs w:val="21"/>
                <w:highlight w:val="none"/>
                <w:lang w:val="en-US" w:eastAsia="zh-CN" w:bidi="ar-SA"/>
              </w:rPr>
            </w:pPr>
            <w:r>
              <w:rPr>
                <w:rFonts w:hint="eastAsia" w:ascii="宋体" w:hAnsi="宋体" w:eastAsia="宋体" w:cs="宋体"/>
                <w:color w:val="auto"/>
                <w:spacing w:val="0"/>
                <w:kern w:val="0"/>
                <w:sz w:val="21"/>
                <w:szCs w:val="21"/>
                <w:highlight w:val="none"/>
              </w:rPr>
              <w:t>1,1,2-三氯乙烷</w:t>
            </w:r>
          </w:p>
        </w:tc>
        <w:tc>
          <w:tcPr>
            <w:tcW w:w="3844"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b/>
                <w:color w:val="auto"/>
                <w:spacing w:val="0"/>
                <w:kern w:val="2"/>
                <w:sz w:val="21"/>
                <w:szCs w:val="21"/>
                <w:highlight w:val="none"/>
                <w:lang w:val="en-US" w:eastAsia="zh-CN" w:bidi="ar-SA"/>
              </w:rPr>
            </w:pPr>
            <w:r>
              <w:rPr>
                <w:rFonts w:hint="eastAsia" w:ascii="宋体" w:hAnsi="宋体" w:eastAsia="宋体" w:cs="宋体"/>
                <w:color w:val="auto"/>
                <w:spacing w:val="0"/>
                <w:kern w:val="0"/>
                <w:sz w:val="21"/>
                <w:szCs w:val="21"/>
                <w:highlight w:val="none"/>
              </w:rPr>
              <w:t>土壤和沉积物挥发性有机物的测定吹扫捕集/气相色谱-质谱法HJ605-2011</w:t>
            </w:r>
          </w:p>
        </w:tc>
        <w:tc>
          <w:tcPr>
            <w:tcW w:w="2405"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b/>
                <w:color w:val="auto"/>
                <w:spacing w:val="0"/>
                <w:kern w:val="2"/>
                <w:sz w:val="21"/>
                <w:szCs w:val="21"/>
                <w:highlight w:val="none"/>
                <w:lang w:val="en-US" w:eastAsia="zh-CN" w:bidi="ar-SA"/>
              </w:rPr>
            </w:pPr>
            <w:r>
              <w:rPr>
                <w:rFonts w:hint="eastAsia" w:ascii="宋体" w:hAnsi="宋体" w:eastAsia="宋体" w:cs="宋体"/>
                <w:color w:val="auto"/>
                <w:spacing w:val="0"/>
                <w:kern w:val="0"/>
                <w:sz w:val="21"/>
                <w:szCs w:val="21"/>
                <w:highlight w:val="none"/>
              </w:rPr>
              <w:t>气相色谱质谱联用仪Agilent8860/5977B</w:t>
            </w:r>
          </w:p>
        </w:tc>
        <w:tc>
          <w:tcPr>
            <w:tcW w:w="1456" w:type="dxa"/>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lang w:val="en-US" w:eastAsia="zh-CN"/>
              </w:rPr>
            </w:pPr>
            <w:r>
              <w:rPr>
                <w:rFonts w:hint="eastAsia" w:ascii="宋体" w:hAnsi="宋体" w:eastAsia="宋体" w:cs="宋体"/>
                <w:color w:val="auto"/>
                <w:spacing w:val="0"/>
                <w:kern w:val="0"/>
                <w:sz w:val="21"/>
                <w:szCs w:val="21"/>
                <w:highlight w:val="none"/>
              </w:rPr>
              <w:t>1.2μg/kg</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3" w:type="dxa"/>
          <w:trHeight w:val="633" w:hRule="atLeast"/>
          <w:jc w:val="center"/>
        </w:trPr>
        <w:tc>
          <w:tcPr>
            <w:tcW w:w="1359"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三氯乙烯</w:t>
            </w:r>
          </w:p>
        </w:tc>
        <w:tc>
          <w:tcPr>
            <w:tcW w:w="3844"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土壤和沉积物挥发性有机物的测定吹扫捕集/气相色谱-质谱法HJ605-2011</w:t>
            </w:r>
          </w:p>
        </w:tc>
        <w:tc>
          <w:tcPr>
            <w:tcW w:w="2405"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气相色谱质谱联用仪Agilent8860/5977B</w:t>
            </w:r>
          </w:p>
        </w:tc>
        <w:tc>
          <w:tcPr>
            <w:tcW w:w="1456" w:type="dxa"/>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1.2μg/kg</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3" w:type="dxa"/>
          <w:trHeight w:val="650" w:hRule="atLeast"/>
          <w:jc w:val="center"/>
        </w:trPr>
        <w:tc>
          <w:tcPr>
            <w:tcW w:w="1359"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1,2,3-三氯丙烷</w:t>
            </w:r>
          </w:p>
        </w:tc>
        <w:tc>
          <w:tcPr>
            <w:tcW w:w="3844"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土壤和沉积物挥发性有机物的测定吹扫捕集/气相色谱-质谱法HJ605-2011</w:t>
            </w:r>
          </w:p>
        </w:tc>
        <w:tc>
          <w:tcPr>
            <w:tcW w:w="2405"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气相色谱质谱联用仪Agilent8860/5977B</w:t>
            </w:r>
          </w:p>
        </w:tc>
        <w:tc>
          <w:tcPr>
            <w:tcW w:w="1456" w:type="dxa"/>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1.2μg/kg</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3" w:type="dxa"/>
          <w:trHeight w:val="633" w:hRule="atLeast"/>
          <w:jc w:val="center"/>
        </w:trPr>
        <w:tc>
          <w:tcPr>
            <w:tcW w:w="1359"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氯乙烯</w:t>
            </w:r>
          </w:p>
        </w:tc>
        <w:tc>
          <w:tcPr>
            <w:tcW w:w="3844"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土壤和沉积物挥发性有机物的测定吹扫捕集/气相色谱-质谱法HJ605-2011</w:t>
            </w:r>
          </w:p>
        </w:tc>
        <w:tc>
          <w:tcPr>
            <w:tcW w:w="2405"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气相色谱质谱联用仪Agilent8860/5977B</w:t>
            </w:r>
          </w:p>
        </w:tc>
        <w:tc>
          <w:tcPr>
            <w:tcW w:w="1456" w:type="dxa"/>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1.0μg/kg</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3" w:type="dxa"/>
          <w:trHeight w:val="633" w:hRule="atLeast"/>
          <w:jc w:val="center"/>
        </w:trPr>
        <w:tc>
          <w:tcPr>
            <w:tcW w:w="1359"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苯</w:t>
            </w:r>
          </w:p>
        </w:tc>
        <w:tc>
          <w:tcPr>
            <w:tcW w:w="3844"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土壤和沉积物挥发性有机物的测定吹扫捕集/气相色谱-质谱法HJ605-2011</w:t>
            </w:r>
          </w:p>
        </w:tc>
        <w:tc>
          <w:tcPr>
            <w:tcW w:w="2405"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气相色谱质谱联用仪Agilent8860/5977B</w:t>
            </w:r>
          </w:p>
        </w:tc>
        <w:tc>
          <w:tcPr>
            <w:tcW w:w="1456" w:type="dxa"/>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1.9μg/kg</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3" w:type="dxa"/>
          <w:trHeight w:val="633" w:hRule="atLeast"/>
          <w:jc w:val="center"/>
        </w:trPr>
        <w:tc>
          <w:tcPr>
            <w:tcW w:w="1359"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氯苯</w:t>
            </w:r>
          </w:p>
        </w:tc>
        <w:tc>
          <w:tcPr>
            <w:tcW w:w="3844"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土壤和沉积物挥发性有机物的测定吹扫捕集/气相色谱-质谱法HJ605-2011</w:t>
            </w:r>
          </w:p>
        </w:tc>
        <w:tc>
          <w:tcPr>
            <w:tcW w:w="2405"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气相色谱质谱联用仪Agilent8860/5977B</w:t>
            </w:r>
          </w:p>
        </w:tc>
        <w:tc>
          <w:tcPr>
            <w:tcW w:w="1456" w:type="dxa"/>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1.2μg/kg</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3" w:type="dxa"/>
          <w:trHeight w:val="633" w:hRule="atLeast"/>
          <w:jc w:val="center"/>
        </w:trPr>
        <w:tc>
          <w:tcPr>
            <w:tcW w:w="1359"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1,2-二氯苯</w:t>
            </w:r>
          </w:p>
        </w:tc>
        <w:tc>
          <w:tcPr>
            <w:tcW w:w="3844"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土壤和沉积物挥发性有机物的测定吹扫捕集/气相色谱-质谱法HJ605-2011</w:t>
            </w:r>
          </w:p>
        </w:tc>
        <w:tc>
          <w:tcPr>
            <w:tcW w:w="2405"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气相色谱质谱联用仪Agilent8860/5977B</w:t>
            </w:r>
          </w:p>
        </w:tc>
        <w:tc>
          <w:tcPr>
            <w:tcW w:w="1456" w:type="dxa"/>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1.5μg/kg</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3" w:type="dxa"/>
          <w:trHeight w:val="633" w:hRule="atLeast"/>
          <w:jc w:val="center"/>
        </w:trPr>
        <w:tc>
          <w:tcPr>
            <w:tcW w:w="1359"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1,4-二氯苯</w:t>
            </w:r>
          </w:p>
        </w:tc>
        <w:tc>
          <w:tcPr>
            <w:tcW w:w="3844"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土壤和沉积物挥发性有机物的测定吹扫捕集/气相色谱-质谱法HJ605-2011</w:t>
            </w:r>
          </w:p>
        </w:tc>
        <w:tc>
          <w:tcPr>
            <w:tcW w:w="2405"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气相色谱质谱联用仪Agilent8860/5977B</w:t>
            </w:r>
          </w:p>
        </w:tc>
        <w:tc>
          <w:tcPr>
            <w:tcW w:w="1456" w:type="dxa"/>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1.5μg/kg</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3" w:type="dxa"/>
          <w:trHeight w:val="643" w:hRule="atLeast"/>
          <w:jc w:val="center"/>
        </w:trPr>
        <w:tc>
          <w:tcPr>
            <w:tcW w:w="1359"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乙苯</w:t>
            </w:r>
          </w:p>
        </w:tc>
        <w:tc>
          <w:tcPr>
            <w:tcW w:w="3844"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土壤和沉积物挥发性有机物的测定吹扫捕集/气相色谱-质谱法HJ605-2011</w:t>
            </w:r>
          </w:p>
        </w:tc>
        <w:tc>
          <w:tcPr>
            <w:tcW w:w="2405"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气相色谱质谱联用仪Agilent8860/5977B</w:t>
            </w:r>
          </w:p>
        </w:tc>
        <w:tc>
          <w:tcPr>
            <w:tcW w:w="1456" w:type="dxa"/>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1.2μg/kg</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3" w:type="dxa"/>
          <w:trHeight w:val="633" w:hRule="atLeast"/>
          <w:jc w:val="center"/>
        </w:trPr>
        <w:tc>
          <w:tcPr>
            <w:tcW w:w="1359"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苯乙烯</w:t>
            </w:r>
          </w:p>
        </w:tc>
        <w:tc>
          <w:tcPr>
            <w:tcW w:w="3844"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土壤和沉积物挥发性有机物的测定吹扫捕集/气相色谱-质谱法HJ605-2011</w:t>
            </w:r>
          </w:p>
        </w:tc>
        <w:tc>
          <w:tcPr>
            <w:tcW w:w="2405"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气相色谱质谱联用仪Agilent8860/5977B</w:t>
            </w:r>
          </w:p>
        </w:tc>
        <w:tc>
          <w:tcPr>
            <w:tcW w:w="1456" w:type="dxa"/>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1.1μg/kg</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3" w:type="dxa"/>
          <w:trHeight w:val="633" w:hRule="atLeast"/>
          <w:jc w:val="center"/>
        </w:trPr>
        <w:tc>
          <w:tcPr>
            <w:tcW w:w="1359"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甲苯</w:t>
            </w:r>
          </w:p>
        </w:tc>
        <w:tc>
          <w:tcPr>
            <w:tcW w:w="3844"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土壤和沉积物挥发性有机物的测定吹扫捕集/气相色谱-质谱法HJ605-2011</w:t>
            </w:r>
          </w:p>
        </w:tc>
        <w:tc>
          <w:tcPr>
            <w:tcW w:w="2405"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气相色谱质谱联用仪Agilent8860/5977B</w:t>
            </w:r>
          </w:p>
        </w:tc>
        <w:tc>
          <w:tcPr>
            <w:tcW w:w="1456" w:type="dxa"/>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1.3μg/kg</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3" w:type="dxa"/>
          <w:trHeight w:val="633" w:hRule="atLeast"/>
          <w:jc w:val="center"/>
        </w:trPr>
        <w:tc>
          <w:tcPr>
            <w:tcW w:w="1359"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间二甲苯+对二甲苯</w:t>
            </w:r>
          </w:p>
        </w:tc>
        <w:tc>
          <w:tcPr>
            <w:tcW w:w="3844"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土壤和沉积物挥发性有机物的测定吹扫捕集/气相色谱-质谱法HJ605-2011</w:t>
            </w:r>
          </w:p>
        </w:tc>
        <w:tc>
          <w:tcPr>
            <w:tcW w:w="2405"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气相色谱质谱联用仪Agilent8860/5977B</w:t>
            </w:r>
          </w:p>
        </w:tc>
        <w:tc>
          <w:tcPr>
            <w:tcW w:w="1456" w:type="dxa"/>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1.2μg/kg</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3" w:type="dxa"/>
          <w:trHeight w:val="633" w:hRule="atLeast"/>
          <w:jc w:val="center"/>
        </w:trPr>
        <w:tc>
          <w:tcPr>
            <w:tcW w:w="1359"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邻二甲苯</w:t>
            </w:r>
          </w:p>
        </w:tc>
        <w:tc>
          <w:tcPr>
            <w:tcW w:w="3844"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土壤和沉积物挥发性有机物的测定吹扫捕集/气相色谱-质谱法HJ605-2011</w:t>
            </w:r>
          </w:p>
        </w:tc>
        <w:tc>
          <w:tcPr>
            <w:tcW w:w="2405"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气相色谱质谱联用仪Agilent8860/5977B</w:t>
            </w:r>
          </w:p>
        </w:tc>
        <w:tc>
          <w:tcPr>
            <w:tcW w:w="1456" w:type="dxa"/>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1.2μg/kg</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3" w:type="dxa"/>
          <w:trHeight w:val="631" w:hRule="atLeast"/>
          <w:jc w:val="center"/>
        </w:trPr>
        <w:tc>
          <w:tcPr>
            <w:tcW w:w="1359"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硝基苯</w:t>
            </w:r>
          </w:p>
        </w:tc>
        <w:tc>
          <w:tcPr>
            <w:tcW w:w="3844"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土壤和沉积物半挥发性有机物的测定气相色谱-质谱法HJ834-2017</w:t>
            </w:r>
          </w:p>
        </w:tc>
        <w:tc>
          <w:tcPr>
            <w:tcW w:w="2405"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气相色谱质谱联用仪Agilent8860/5977B</w:t>
            </w:r>
          </w:p>
        </w:tc>
        <w:tc>
          <w:tcPr>
            <w:tcW w:w="1456" w:type="dxa"/>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0.09mg/kg</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3" w:type="dxa"/>
          <w:trHeight w:val="631" w:hRule="atLeast"/>
          <w:jc w:val="center"/>
        </w:trPr>
        <w:tc>
          <w:tcPr>
            <w:tcW w:w="1359"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苯胺</w:t>
            </w:r>
          </w:p>
        </w:tc>
        <w:tc>
          <w:tcPr>
            <w:tcW w:w="3844"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土壤和沉积物半挥发性有机物的测定气相色谱-质谱法HJ834-2017</w:t>
            </w:r>
          </w:p>
        </w:tc>
        <w:tc>
          <w:tcPr>
            <w:tcW w:w="2405"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气相色谱质谱联用仪Agilent8860/5977B</w:t>
            </w:r>
          </w:p>
        </w:tc>
        <w:tc>
          <w:tcPr>
            <w:tcW w:w="1456" w:type="dxa"/>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3" w:type="dxa"/>
          <w:trHeight w:val="631" w:hRule="atLeast"/>
          <w:jc w:val="center"/>
        </w:trPr>
        <w:tc>
          <w:tcPr>
            <w:tcW w:w="1359"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2-氯酚</w:t>
            </w:r>
          </w:p>
        </w:tc>
        <w:tc>
          <w:tcPr>
            <w:tcW w:w="3844"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土壤和沉积物半挥发性有机物的测定气相色谱-质谱法HJ834-2017</w:t>
            </w:r>
          </w:p>
        </w:tc>
        <w:tc>
          <w:tcPr>
            <w:tcW w:w="2405"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气相色谱质谱联用仪Agilent8860/5977B</w:t>
            </w:r>
          </w:p>
        </w:tc>
        <w:tc>
          <w:tcPr>
            <w:tcW w:w="1456" w:type="dxa"/>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0.06mg/kg</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3" w:type="dxa"/>
          <w:trHeight w:val="631" w:hRule="atLeast"/>
          <w:jc w:val="center"/>
        </w:trPr>
        <w:tc>
          <w:tcPr>
            <w:tcW w:w="1359"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苯并[a]蒽</w:t>
            </w:r>
          </w:p>
        </w:tc>
        <w:tc>
          <w:tcPr>
            <w:tcW w:w="3844"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土壤和沉积物半挥发性有机物的测定气相色谱-质谱法HJ834-2017</w:t>
            </w:r>
          </w:p>
        </w:tc>
        <w:tc>
          <w:tcPr>
            <w:tcW w:w="2405"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气相色谱质谱联用仪Agilent8860/5977B</w:t>
            </w:r>
          </w:p>
        </w:tc>
        <w:tc>
          <w:tcPr>
            <w:tcW w:w="1456" w:type="dxa"/>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0.1mg/kg</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3" w:type="dxa"/>
          <w:trHeight w:val="650" w:hRule="atLeast"/>
          <w:jc w:val="center"/>
        </w:trPr>
        <w:tc>
          <w:tcPr>
            <w:tcW w:w="1359"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苯并[a]芘</w:t>
            </w:r>
          </w:p>
        </w:tc>
        <w:tc>
          <w:tcPr>
            <w:tcW w:w="3844"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土壤和沉积物半挥发性有机物的测定气相色谱-质谱法HJ834-2017</w:t>
            </w:r>
          </w:p>
        </w:tc>
        <w:tc>
          <w:tcPr>
            <w:tcW w:w="2405"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气相色谱质谱联用仪Agilent8860/5977B</w:t>
            </w:r>
          </w:p>
        </w:tc>
        <w:tc>
          <w:tcPr>
            <w:tcW w:w="1456" w:type="dxa"/>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0.1mg/kg</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3" w:type="dxa"/>
          <w:trHeight w:val="631" w:hRule="atLeast"/>
          <w:jc w:val="center"/>
        </w:trPr>
        <w:tc>
          <w:tcPr>
            <w:tcW w:w="1359"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苯并[b]荧蒽</w:t>
            </w:r>
          </w:p>
        </w:tc>
        <w:tc>
          <w:tcPr>
            <w:tcW w:w="3844"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土壤和沉积物半挥发性有机物的测定气相色谱-质谱法HJ834-2017</w:t>
            </w:r>
          </w:p>
        </w:tc>
        <w:tc>
          <w:tcPr>
            <w:tcW w:w="2405"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气相色谱质谱联用仪Agilent8860/5977B</w:t>
            </w:r>
          </w:p>
        </w:tc>
        <w:tc>
          <w:tcPr>
            <w:tcW w:w="1456" w:type="dxa"/>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0.2mg/kg</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3" w:type="dxa"/>
          <w:trHeight w:val="631" w:hRule="atLeast"/>
          <w:jc w:val="center"/>
        </w:trPr>
        <w:tc>
          <w:tcPr>
            <w:tcW w:w="1359"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苯并[k]荧蒽</w:t>
            </w:r>
          </w:p>
        </w:tc>
        <w:tc>
          <w:tcPr>
            <w:tcW w:w="3844"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土壤和沉积物半挥发性有机物的测定气相色谱-质谱法HJ834-2017</w:t>
            </w:r>
          </w:p>
        </w:tc>
        <w:tc>
          <w:tcPr>
            <w:tcW w:w="2405"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气相色谱质谱联用仪Agilent8860/5977B</w:t>
            </w:r>
          </w:p>
        </w:tc>
        <w:tc>
          <w:tcPr>
            <w:tcW w:w="1456" w:type="dxa"/>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0.1mg/kg</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3" w:type="dxa"/>
          <w:trHeight w:val="631" w:hRule="atLeast"/>
          <w:jc w:val="center"/>
        </w:trPr>
        <w:tc>
          <w:tcPr>
            <w:tcW w:w="1359"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䓛</w:t>
            </w:r>
          </w:p>
        </w:tc>
        <w:tc>
          <w:tcPr>
            <w:tcW w:w="3844"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土壤和沉积物半挥发性有机物的测定气相色谱-质谱法HJ834-2017</w:t>
            </w:r>
          </w:p>
        </w:tc>
        <w:tc>
          <w:tcPr>
            <w:tcW w:w="2405"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气相色谱质谱联用仪Agilent8860/5977B</w:t>
            </w:r>
          </w:p>
        </w:tc>
        <w:tc>
          <w:tcPr>
            <w:tcW w:w="1456" w:type="dxa"/>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0.1mg/kg</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3" w:type="dxa"/>
          <w:trHeight w:val="631" w:hRule="atLeast"/>
          <w:jc w:val="center"/>
        </w:trPr>
        <w:tc>
          <w:tcPr>
            <w:tcW w:w="1359"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二苯并[a，h]蒽</w:t>
            </w:r>
          </w:p>
        </w:tc>
        <w:tc>
          <w:tcPr>
            <w:tcW w:w="3844"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土壤和沉积物半挥发性有机物的测定气相色谱-质谱法HJ834-2017</w:t>
            </w:r>
          </w:p>
        </w:tc>
        <w:tc>
          <w:tcPr>
            <w:tcW w:w="2405"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气相色谱质谱联用仪Agilent8860/5977B</w:t>
            </w:r>
          </w:p>
        </w:tc>
        <w:tc>
          <w:tcPr>
            <w:tcW w:w="1456" w:type="dxa"/>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0.1mg/kg</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3" w:type="dxa"/>
          <w:trHeight w:val="633" w:hRule="atLeast"/>
          <w:jc w:val="center"/>
        </w:trPr>
        <w:tc>
          <w:tcPr>
            <w:tcW w:w="1359"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茚并[1,2,3-cd]芘</w:t>
            </w:r>
          </w:p>
        </w:tc>
        <w:tc>
          <w:tcPr>
            <w:tcW w:w="3844"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土壤和沉积物半挥发性有机物的测定气相色谱-质谱法HJ834-2017</w:t>
            </w:r>
          </w:p>
        </w:tc>
        <w:tc>
          <w:tcPr>
            <w:tcW w:w="2405"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气相色谱质谱联用仪Agilent8860/5977B</w:t>
            </w:r>
          </w:p>
        </w:tc>
        <w:tc>
          <w:tcPr>
            <w:tcW w:w="1456" w:type="dxa"/>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0.1mg/kg</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3" w:type="dxa"/>
          <w:trHeight w:val="701" w:hRule="atLeast"/>
          <w:jc w:val="center"/>
        </w:trPr>
        <w:tc>
          <w:tcPr>
            <w:tcW w:w="1359"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萘</w:t>
            </w:r>
          </w:p>
        </w:tc>
        <w:tc>
          <w:tcPr>
            <w:tcW w:w="3844"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土壤和沉积物半挥发性有机物的测定气相色谱-质谱法HJ834-2017</w:t>
            </w:r>
          </w:p>
        </w:tc>
        <w:tc>
          <w:tcPr>
            <w:tcW w:w="2405"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气相色谱质谱联用仪Agilent8860/5977B</w:t>
            </w:r>
          </w:p>
        </w:tc>
        <w:tc>
          <w:tcPr>
            <w:tcW w:w="1456" w:type="dxa"/>
            <w:vAlign w:val="center"/>
          </w:tcPr>
          <w:p>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0.09mg/kg</w:t>
            </w:r>
          </w:p>
        </w:tc>
      </w:tr>
    </w:tbl>
    <w:p>
      <w:pPr>
        <w:pStyle w:val="7"/>
        <w:bidi w:val="0"/>
        <w:rPr>
          <w:rFonts w:hint="eastAsia" w:ascii="宋体" w:hAnsi="宋体" w:eastAsia="宋体" w:cs="宋体"/>
          <w:b/>
          <w:bCs/>
          <w:kern w:val="2"/>
          <w:szCs w:val="32"/>
          <w:lang w:val="en-US" w:eastAsia="zh-CN" w:bidi="zh-CN"/>
        </w:rPr>
      </w:pPr>
      <w:bookmarkStart w:id="233" w:name="_Toc10067"/>
      <w:r>
        <w:rPr>
          <w:rFonts w:hint="eastAsia" w:ascii="宋体" w:hAnsi="宋体" w:eastAsia="宋体" w:cs="宋体"/>
          <w:lang w:val="en-US" w:eastAsia="zh-CN"/>
        </w:rPr>
        <w:t>8监测结果分析</w:t>
      </w:r>
      <w:bookmarkEnd w:id="231"/>
      <w:bookmarkEnd w:id="232"/>
      <w:bookmarkEnd w:id="233"/>
    </w:p>
    <w:p>
      <w:pPr>
        <w:keepNext/>
        <w:keepLines/>
        <w:widowControl w:val="0"/>
        <w:numPr>
          <w:ilvl w:val="0"/>
          <w:numId w:val="0"/>
        </w:numPr>
        <w:bidi w:val="0"/>
        <w:spacing w:before="120" w:after="120" w:line="520" w:lineRule="exact"/>
        <w:jc w:val="left"/>
        <w:outlineLvl w:val="1"/>
        <w:rPr>
          <w:rFonts w:hint="eastAsia" w:ascii="宋体" w:hAnsi="宋体" w:eastAsia="宋体" w:cs="宋体"/>
          <w:b/>
          <w:bCs/>
          <w:color w:val="auto"/>
          <w:kern w:val="2"/>
          <w:sz w:val="28"/>
          <w:szCs w:val="32"/>
          <w:highlight w:val="none"/>
          <w:lang w:val="en-US" w:eastAsia="zh-CN" w:bidi="ar-SA"/>
        </w:rPr>
      </w:pPr>
      <w:bookmarkStart w:id="234" w:name="_Toc7327"/>
      <w:bookmarkStart w:id="235" w:name="_Toc5110"/>
      <w:bookmarkStart w:id="236" w:name="_Toc6230"/>
      <w:r>
        <w:rPr>
          <w:rFonts w:hint="eastAsia" w:ascii="宋体" w:hAnsi="宋体" w:eastAsia="宋体" w:cs="宋体"/>
          <w:b/>
          <w:bCs/>
          <w:kern w:val="2"/>
          <w:sz w:val="28"/>
          <w:szCs w:val="32"/>
          <w:lang w:val="en-US" w:eastAsia="zh-CN" w:bidi="ar-SA"/>
        </w:rPr>
        <w:t>8.1</w:t>
      </w:r>
      <w:bookmarkEnd w:id="234"/>
      <w:bookmarkEnd w:id="235"/>
      <w:bookmarkStart w:id="237" w:name="_Toc23170"/>
      <w:bookmarkStart w:id="238" w:name="_Toc29801"/>
      <w:bookmarkStart w:id="239" w:name="_Toc14167"/>
      <w:bookmarkStart w:id="240" w:name="_Toc24379"/>
      <w:bookmarkStart w:id="241" w:name="_Toc26279"/>
      <w:r>
        <w:rPr>
          <w:rFonts w:hint="eastAsia" w:ascii="宋体" w:hAnsi="宋体" w:eastAsia="宋体" w:cs="宋体"/>
          <w:b/>
          <w:bCs/>
          <w:color w:val="auto"/>
          <w:kern w:val="2"/>
          <w:sz w:val="28"/>
          <w:szCs w:val="32"/>
          <w:highlight w:val="none"/>
          <w:lang w:val="en-US" w:eastAsia="zh-CN" w:bidi="ar-SA"/>
        </w:rPr>
        <w:t>执行及参考标准</w:t>
      </w:r>
      <w:bookmarkEnd w:id="236"/>
      <w:bookmarkEnd w:id="237"/>
      <w:bookmarkEnd w:id="238"/>
      <w:bookmarkEnd w:id="239"/>
      <w:bookmarkEnd w:id="240"/>
      <w:bookmarkEnd w:id="241"/>
    </w:p>
    <w:p>
      <w:pPr>
        <w:pStyle w:val="3"/>
        <w:pageBreakBefore w:val="0"/>
        <w:kinsoku/>
        <w:wordWrap/>
        <w:overflowPunct/>
        <w:topLinePunct w:val="0"/>
        <w:bidi w:val="0"/>
        <w:spacing w:line="360" w:lineRule="auto"/>
        <w:ind w:left="0" w:leftChars="0" w:right="0" w:firstLine="561"/>
        <w:rPr>
          <w:rFonts w:hint="eastAsia" w:ascii="宋体" w:hAnsi="宋体" w:eastAsia="宋体" w:cs="宋体"/>
          <w:color w:val="auto"/>
          <w:spacing w:val="0"/>
          <w:sz w:val="28"/>
          <w:szCs w:val="28"/>
          <w:highlight w:val="none"/>
        </w:rPr>
      </w:pPr>
      <w:bookmarkStart w:id="242" w:name="_Toc28218"/>
      <w:bookmarkStart w:id="243" w:name="_Toc25732"/>
      <w:bookmarkStart w:id="244" w:name="_Toc21438"/>
      <w:bookmarkStart w:id="245" w:name="_Toc4373"/>
      <w:r>
        <w:rPr>
          <w:rFonts w:hint="eastAsia" w:ascii="宋体" w:hAnsi="宋体" w:eastAsia="宋体" w:cs="宋体"/>
          <w:color w:val="auto"/>
          <w:spacing w:val="0"/>
          <w:sz w:val="28"/>
          <w:szCs w:val="28"/>
          <w:highlight w:val="none"/>
        </w:rPr>
        <w:t>对所采集的土壤样品监测数据进行汇总、统计、分析，分析结果对比《土壤环境质量建设用地土壤污染风险管控标准》（试行）（GB36600-2018）标准，《土壤环境质量农用地土壤污染风险管控标准》（试行）（GB</w:t>
      </w:r>
      <w:r>
        <w:rPr>
          <w:rFonts w:hint="eastAsia" w:ascii="宋体" w:hAnsi="宋体" w:eastAsia="宋体" w:cs="宋体"/>
          <w:color w:val="auto"/>
          <w:spacing w:val="0"/>
          <w:sz w:val="28"/>
          <w:szCs w:val="28"/>
          <w:highlight w:val="none"/>
          <w:lang w:val="en-US"/>
        </w:rPr>
        <w:t>15618</w:t>
      </w:r>
      <w:r>
        <w:rPr>
          <w:rFonts w:hint="eastAsia" w:ascii="宋体" w:hAnsi="宋体" w:eastAsia="宋体" w:cs="宋体"/>
          <w:color w:val="auto"/>
          <w:spacing w:val="0"/>
          <w:sz w:val="28"/>
          <w:szCs w:val="28"/>
          <w:highlight w:val="none"/>
        </w:rPr>
        <w:t>-2018）标准，</w:t>
      </w:r>
      <w:r>
        <w:rPr>
          <w:rFonts w:hint="eastAsia" w:ascii="宋体" w:hAnsi="宋体" w:eastAsia="宋体" w:cs="宋体"/>
          <w:color w:val="auto"/>
          <w:spacing w:val="0"/>
          <w:sz w:val="28"/>
          <w:szCs w:val="28"/>
          <w:highlight w:val="none"/>
          <w:lang w:eastAsia="zh-CN"/>
        </w:rPr>
        <w:t>以上两项</w:t>
      </w:r>
      <w:r>
        <w:rPr>
          <w:rFonts w:hint="eastAsia" w:ascii="宋体" w:hAnsi="宋体" w:eastAsia="宋体" w:cs="宋体"/>
          <w:color w:val="auto"/>
          <w:spacing w:val="0"/>
          <w:sz w:val="28"/>
          <w:szCs w:val="28"/>
          <w:highlight w:val="none"/>
        </w:rPr>
        <w:t>标准中没有的项目参考《场地土壤环境风险评价筛选值》（北京市地方标准DB11/T811-2011），评价</w:t>
      </w:r>
      <w:r>
        <w:rPr>
          <w:rFonts w:hint="eastAsia" w:cs="宋体"/>
          <w:color w:val="auto"/>
          <w:spacing w:val="0"/>
          <w:sz w:val="28"/>
          <w:szCs w:val="28"/>
          <w:highlight w:val="none"/>
          <w:lang w:eastAsia="zh-CN"/>
        </w:rPr>
        <w:t>三门峡新鑫源科技有限公司</w:t>
      </w:r>
      <w:r>
        <w:rPr>
          <w:rFonts w:hint="eastAsia" w:ascii="宋体" w:hAnsi="宋体" w:eastAsia="宋体" w:cs="宋体"/>
          <w:color w:val="auto"/>
          <w:spacing w:val="0"/>
          <w:sz w:val="28"/>
          <w:szCs w:val="28"/>
          <w:highlight w:val="none"/>
        </w:rPr>
        <w:t>土壤质量情况符合建设用地的筛选值或管制值，或是超管制值。项目涉及的特征因子中，以上两项标准均无标准值的，仅作分析测试，结果保存用于之后土壤自行监测结果的的对比参考值。</w:t>
      </w:r>
    </w:p>
    <w:p>
      <w:pPr>
        <w:pStyle w:val="3"/>
        <w:pageBreakBefore w:val="0"/>
        <w:kinsoku/>
        <w:wordWrap/>
        <w:overflowPunct/>
        <w:topLinePunct w:val="0"/>
        <w:bidi w:val="0"/>
        <w:spacing w:line="360" w:lineRule="auto"/>
        <w:ind w:left="0" w:leftChars="0" w:right="0" w:firstLine="537"/>
        <w:rPr>
          <w:rFonts w:hint="eastAsia" w:ascii="宋体" w:hAnsi="宋体" w:eastAsia="宋体" w:cs="宋体"/>
          <w:b/>
          <w:color w:val="auto"/>
          <w:spacing w:val="-32"/>
          <w:sz w:val="28"/>
          <w:szCs w:val="28"/>
          <w:highlight w:val="none"/>
          <w:lang w:val="en-US" w:eastAsia="zh-CN"/>
        </w:rPr>
      </w:pPr>
      <w:r>
        <w:rPr>
          <w:rFonts w:hint="eastAsia" w:ascii="宋体" w:hAnsi="宋体" w:eastAsia="宋体" w:cs="宋体"/>
          <w:color w:val="auto"/>
          <w:spacing w:val="0"/>
          <w:sz w:val="28"/>
          <w:szCs w:val="28"/>
          <w:highlight w:val="none"/>
        </w:rPr>
        <w:t>建设用地土壤监测因子执行的《土壤环境质量建设用地土壤污染风险管控标准》（试行）（GB36600-2018）标准筛选值及管制值见表</w:t>
      </w:r>
      <w:r>
        <w:rPr>
          <w:rFonts w:hint="eastAsia" w:ascii="宋体" w:hAnsi="宋体" w:eastAsia="宋体" w:cs="宋体"/>
          <w:color w:val="auto"/>
          <w:spacing w:val="0"/>
          <w:sz w:val="28"/>
          <w:szCs w:val="28"/>
          <w:highlight w:val="none"/>
          <w:lang w:val="en-US" w:eastAsia="zh-CN"/>
        </w:rPr>
        <w:t>7</w:t>
      </w:r>
      <w:r>
        <w:rPr>
          <w:rFonts w:hint="eastAsia" w:ascii="宋体" w:hAnsi="宋体" w:eastAsia="宋体" w:cs="宋体"/>
          <w:color w:val="auto"/>
          <w:spacing w:val="0"/>
          <w:sz w:val="28"/>
          <w:szCs w:val="28"/>
          <w:highlight w:val="none"/>
        </w:rPr>
        <w:t>，农用地土壤监测因子执行的《土壤环境质量农用地土壤污染风险管控标准》（试行）（GB15618-2018）标准筛选值及管制值见表</w:t>
      </w:r>
      <w:r>
        <w:rPr>
          <w:rFonts w:hint="eastAsia" w:ascii="宋体" w:hAnsi="宋体" w:eastAsia="宋体" w:cs="宋体"/>
          <w:color w:val="auto"/>
          <w:spacing w:val="0"/>
          <w:sz w:val="28"/>
          <w:szCs w:val="28"/>
          <w:highlight w:val="none"/>
          <w:lang w:val="en-US" w:eastAsia="zh-CN"/>
        </w:rPr>
        <w:t>8-1</w:t>
      </w:r>
      <w:r>
        <w:rPr>
          <w:rFonts w:hint="eastAsia" w:ascii="宋体" w:hAnsi="宋体" w:eastAsia="宋体" w:cs="宋体"/>
          <w:color w:val="auto"/>
          <w:spacing w:val="0"/>
          <w:sz w:val="28"/>
          <w:szCs w:val="28"/>
          <w:highlight w:val="none"/>
        </w:rPr>
        <w:t>，《场地土壤环境风险评价筛选值》（北京市地方标准DB11/T811-2011）见表</w:t>
      </w:r>
      <w:r>
        <w:rPr>
          <w:rFonts w:hint="eastAsia" w:ascii="宋体" w:hAnsi="宋体" w:eastAsia="宋体" w:cs="宋体"/>
          <w:color w:val="auto"/>
          <w:spacing w:val="0"/>
          <w:sz w:val="28"/>
          <w:szCs w:val="28"/>
          <w:highlight w:val="none"/>
          <w:lang w:val="en-US" w:eastAsia="zh-CN"/>
        </w:rPr>
        <w:t>8-2</w:t>
      </w:r>
      <w:r>
        <w:rPr>
          <w:rFonts w:hint="eastAsia" w:ascii="宋体" w:hAnsi="宋体" w:eastAsia="宋体" w:cs="宋体"/>
          <w:color w:val="auto"/>
          <w:spacing w:val="0"/>
          <w:sz w:val="28"/>
          <w:szCs w:val="28"/>
          <w:highlight w:val="none"/>
        </w:rPr>
        <w:t>。</w:t>
      </w:r>
      <w:r>
        <w:rPr>
          <w:rFonts w:hint="eastAsia" w:cs="宋体"/>
          <w:color w:val="auto"/>
          <w:spacing w:val="0"/>
          <w:sz w:val="28"/>
          <w:szCs w:val="28"/>
          <w:highlight w:val="none"/>
          <w:lang w:val="en-US" w:eastAsia="zh-CN"/>
        </w:rPr>
        <w:t>三门峡新鑫源科技有限公司</w:t>
      </w:r>
      <w:r>
        <w:rPr>
          <w:rFonts w:hint="eastAsia" w:ascii="宋体" w:hAnsi="宋体" w:eastAsia="宋体" w:cs="宋体"/>
          <w:color w:val="auto"/>
          <w:spacing w:val="0"/>
          <w:sz w:val="28"/>
          <w:szCs w:val="28"/>
          <w:highlight w:val="none"/>
          <w:lang w:val="en-US" w:eastAsia="zh-CN"/>
        </w:rPr>
        <w:t>土壤监测数据均符合以上标准限值要求。</w:t>
      </w:r>
    </w:p>
    <w:p>
      <w:pPr>
        <w:rPr>
          <w:rFonts w:hint="eastAsia" w:ascii="宋体" w:hAnsi="宋体" w:eastAsia="宋体" w:cs="宋体"/>
          <w:b/>
          <w:color w:val="auto"/>
          <w:spacing w:val="-32"/>
          <w:sz w:val="28"/>
          <w:szCs w:val="28"/>
          <w:highlight w:val="none"/>
        </w:rPr>
      </w:pPr>
      <w:r>
        <w:rPr>
          <w:rFonts w:hint="eastAsia" w:ascii="宋体" w:hAnsi="宋体" w:eastAsia="宋体" w:cs="宋体"/>
          <w:b/>
          <w:color w:val="auto"/>
          <w:spacing w:val="-32"/>
          <w:sz w:val="28"/>
          <w:szCs w:val="28"/>
          <w:highlight w:val="none"/>
        </w:rPr>
        <w:br w:type="page"/>
      </w:r>
    </w:p>
    <w:p>
      <w:pPr>
        <w:pageBreakBefore w:val="0"/>
        <w:kinsoku/>
        <w:wordWrap/>
        <w:overflowPunct/>
        <w:topLinePunct w:val="0"/>
        <w:bidi w:val="0"/>
        <w:spacing w:line="360" w:lineRule="auto"/>
        <w:ind w:left="0" w:leftChars="0" w:right="0"/>
        <w:jc w:val="center"/>
        <w:rPr>
          <w:rFonts w:hint="eastAsia" w:ascii="宋体" w:hAnsi="宋体" w:eastAsia="宋体" w:cs="宋体"/>
          <w:b/>
          <w:color w:val="auto"/>
          <w:spacing w:val="-2"/>
          <w:sz w:val="28"/>
          <w:szCs w:val="28"/>
          <w:highlight w:val="none"/>
        </w:rPr>
      </w:pPr>
      <w:r>
        <w:rPr>
          <w:rFonts w:hint="eastAsia" w:ascii="宋体" w:hAnsi="宋体" w:eastAsia="宋体" w:cs="宋体"/>
          <w:b/>
          <w:color w:val="auto"/>
          <w:spacing w:val="-32"/>
          <w:sz w:val="28"/>
          <w:szCs w:val="28"/>
          <w:highlight w:val="none"/>
        </w:rPr>
        <w:t>表</w:t>
      </w:r>
      <w:r>
        <w:rPr>
          <w:rFonts w:hint="eastAsia" w:ascii="宋体" w:hAnsi="宋体" w:eastAsia="宋体" w:cs="宋体"/>
          <w:b/>
          <w:color w:val="auto"/>
          <w:sz w:val="28"/>
          <w:szCs w:val="28"/>
          <w:highlight w:val="none"/>
          <w:lang w:val="en-US" w:eastAsia="zh-CN"/>
        </w:rPr>
        <w:t xml:space="preserve">8-1  </w:t>
      </w:r>
      <w:r>
        <w:rPr>
          <w:rFonts w:hint="eastAsia" w:ascii="宋体" w:hAnsi="宋体" w:eastAsia="宋体" w:cs="宋体"/>
          <w:b/>
          <w:color w:val="auto"/>
          <w:spacing w:val="-2"/>
          <w:sz w:val="28"/>
          <w:szCs w:val="28"/>
          <w:highlight w:val="none"/>
        </w:rPr>
        <w:t>建设用地土壤污染风险筛选值和管制值</w:t>
      </w:r>
    </w:p>
    <w:p>
      <w:pPr>
        <w:pageBreakBefore w:val="0"/>
        <w:kinsoku/>
        <w:wordWrap/>
        <w:overflowPunct/>
        <w:topLinePunct w:val="0"/>
        <w:bidi w:val="0"/>
        <w:spacing w:line="240" w:lineRule="auto"/>
        <w:ind w:left="0" w:leftChars="0" w:right="0"/>
        <w:jc w:val="center"/>
        <w:rPr>
          <w:rFonts w:hint="eastAsia" w:ascii="宋体" w:hAnsi="宋体" w:eastAsia="宋体" w:cs="宋体"/>
          <w:bCs/>
          <w:color w:val="auto"/>
          <w:sz w:val="24"/>
          <w:highlight w:val="none"/>
        </w:rPr>
      </w:pPr>
      <w:r>
        <w:rPr>
          <w:rFonts w:hint="eastAsia" w:ascii="宋体" w:hAnsi="宋体" w:eastAsia="宋体" w:cs="宋体"/>
          <w:bCs/>
          <w:color w:val="auto"/>
          <w:spacing w:val="-2"/>
          <w:sz w:val="24"/>
          <w:highlight w:val="none"/>
        </w:rPr>
        <w:t>单位：mg/kg</w:t>
      </w:r>
    </w:p>
    <w:tbl>
      <w:tblPr>
        <w:tblStyle w:val="21"/>
        <w:tblW w:w="9138"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52"/>
        <w:gridCol w:w="1754"/>
        <w:gridCol w:w="1453"/>
        <w:gridCol w:w="1146"/>
        <w:gridCol w:w="1362"/>
        <w:gridCol w:w="1310"/>
        <w:gridCol w:w="136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52" w:type="dxa"/>
            <w:vMerge w:val="restart"/>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序号</w:t>
            </w:r>
          </w:p>
        </w:tc>
        <w:tc>
          <w:tcPr>
            <w:tcW w:w="1754" w:type="dxa"/>
            <w:vMerge w:val="restart"/>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污染物项目</w:t>
            </w:r>
          </w:p>
        </w:tc>
        <w:tc>
          <w:tcPr>
            <w:tcW w:w="1453" w:type="dxa"/>
            <w:vMerge w:val="restart"/>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CAS编号</w:t>
            </w:r>
          </w:p>
        </w:tc>
        <w:tc>
          <w:tcPr>
            <w:tcW w:w="2508" w:type="dxa"/>
            <w:gridSpan w:val="2"/>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筛选值</w:t>
            </w:r>
          </w:p>
        </w:tc>
        <w:tc>
          <w:tcPr>
            <w:tcW w:w="2671" w:type="dxa"/>
            <w:gridSpan w:val="2"/>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管制值</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56" w:hRule="atLeast"/>
          <w:jc w:val="center"/>
        </w:trPr>
        <w:tc>
          <w:tcPr>
            <w:tcW w:w="752" w:type="dxa"/>
            <w:vMerge w:val="continue"/>
            <w:tcBorders>
              <w:top w:val="nil"/>
            </w:tcBorders>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p>
        </w:tc>
        <w:tc>
          <w:tcPr>
            <w:tcW w:w="1754" w:type="dxa"/>
            <w:vMerge w:val="continue"/>
            <w:tcBorders>
              <w:top w:val="nil"/>
            </w:tcBorders>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p>
        </w:tc>
        <w:tc>
          <w:tcPr>
            <w:tcW w:w="1453" w:type="dxa"/>
            <w:vMerge w:val="continue"/>
            <w:tcBorders>
              <w:top w:val="nil"/>
            </w:tcBorders>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p>
        </w:tc>
        <w:tc>
          <w:tcPr>
            <w:tcW w:w="1146"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第一类用地</w:t>
            </w:r>
          </w:p>
        </w:tc>
        <w:tc>
          <w:tcPr>
            <w:tcW w:w="136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第二类用地</w:t>
            </w:r>
          </w:p>
        </w:tc>
        <w:tc>
          <w:tcPr>
            <w:tcW w:w="1310"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第一类用地</w:t>
            </w:r>
          </w:p>
        </w:tc>
        <w:tc>
          <w:tcPr>
            <w:tcW w:w="1361"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第二类用地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138" w:type="dxa"/>
            <w:gridSpan w:val="7"/>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重金属和无机物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5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w:t>
            </w:r>
          </w:p>
        </w:tc>
        <w:tc>
          <w:tcPr>
            <w:tcW w:w="1754"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铜</w:t>
            </w:r>
          </w:p>
        </w:tc>
        <w:tc>
          <w:tcPr>
            <w:tcW w:w="1453"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7440-50-8</w:t>
            </w:r>
          </w:p>
        </w:tc>
        <w:tc>
          <w:tcPr>
            <w:tcW w:w="1146"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2000</w:t>
            </w:r>
          </w:p>
        </w:tc>
        <w:tc>
          <w:tcPr>
            <w:tcW w:w="136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18000</w:t>
            </w:r>
          </w:p>
        </w:tc>
        <w:tc>
          <w:tcPr>
            <w:tcW w:w="1310"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8000</w:t>
            </w:r>
          </w:p>
        </w:tc>
        <w:tc>
          <w:tcPr>
            <w:tcW w:w="1361"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36000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5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2</w:t>
            </w:r>
          </w:p>
        </w:tc>
        <w:tc>
          <w:tcPr>
            <w:tcW w:w="1754"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铅</w:t>
            </w:r>
          </w:p>
        </w:tc>
        <w:tc>
          <w:tcPr>
            <w:tcW w:w="1453"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7439-92-1</w:t>
            </w:r>
          </w:p>
        </w:tc>
        <w:tc>
          <w:tcPr>
            <w:tcW w:w="1146"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400</w:t>
            </w:r>
          </w:p>
        </w:tc>
        <w:tc>
          <w:tcPr>
            <w:tcW w:w="136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800</w:t>
            </w:r>
          </w:p>
        </w:tc>
        <w:tc>
          <w:tcPr>
            <w:tcW w:w="1310"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800</w:t>
            </w:r>
          </w:p>
        </w:tc>
        <w:tc>
          <w:tcPr>
            <w:tcW w:w="1361"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2500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5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3</w:t>
            </w:r>
          </w:p>
        </w:tc>
        <w:tc>
          <w:tcPr>
            <w:tcW w:w="1754"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镉</w:t>
            </w:r>
          </w:p>
        </w:tc>
        <w:tc>
          <w:tcPr>
            <w:tcW w:w="1453"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7440-43-9</w:t>
            </w:r>
          </w:p>
        </w:tc>
        <w:tc>
          <w:tcPr>
            <w:tcW w:w="1146"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20</w:t>
            </w:r>
          </w:p>
        </w:tc>
        <w:tc>
          <w:tcPr>
            <w:tcW w:w="136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65</w:t>
            </w:r>
          </w:p>
        </w:tc>
        <w:tc>
          <w:tcPr>
            <w:tcW w:w="1310"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47</w:t>
            </w:r>
          </w:p>
        </w:tc>
        <w:tc>
          <w:tcPr>
            <w:tcW w:w="1361"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172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5" w:hRule="atLeast"/>
          <w:jc w:val="center"/>
        </w:trPr>
        <w:tc>
          <w:tcPr>
            <w:tcW w:w="75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4</w:t>
            </w:r>
          </w:p>
        </w:tc>
        <w:tc>
          <w:tcPr>
            <w:tcW w:w="1754"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镍</w:t>
            </w:r>
          </w:p>
        </w:tc>
        <w:tc>
          <w:tcPr>
            <w:tcW w:w="1453"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7440-02-0</w:t>
            </w:r>
          </w:p>
        </w:tc>
        <w:tc>
          <w:tcPr>
            <w:tcW w:w="1146"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150</w:t>
            </w:r>
          </w:p>
        </w:tc>
        <w:tc>
          <w:tcPr>
            <w:tcW w:w="136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900</w:t>
            </w:r>
          </w:p>
        </w:tc>
        <w:tc>
          <w:tcPr>
            <w:tcW w:w="1310"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600</w:t>
            </w:r>
          </w:p>
        </w:tc>
        <w:tc>
          <w:tcPr>
            <w:tcW w:w="1361"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2000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5" w:hRule="atLeast"/>
          <w:jc w:val="center"/>
        </w:trPr>
        <w:tc>
          <w:tcPr>
            <w:tcW w:w="75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5</w:t>
            </w:r>
          </w:p>
        </w:tc>
        <w:tc>
          <w:tcPr>
            <w:tcW w:w="1754"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汞</w:t>
            </w:r>
          </w:p>
        </w:tc>
        <w:tc>
          <w:tcPr>
            <w:tcW w:w="1453"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7439-97-6</w:t>
            </w:r>
          </w:p>
        </w:tc>
        <w:tc>
          <w:tcPr>
            <w:tcW w:w="1146"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8</w:t>
            </w:r>
          </w:p>
        </w:tc>
        <w:tc>
          <w:tcPr>
            <w:tcW w:w="136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38</w:t>
            </w:r>
          </w:p>
        </w:tc>
        <w:tc>
          <w:tcPr>
            <w:tcW w:w="1310"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33</w:t>
            </w:r>
          </w:p>
        </w:tc>
        <w:tc>
          <w:tcPr>
            <w:tcW w:w="1361"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82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5" w:hRule="atLeast"/>
          <w:jc w:val="center"/>
        </w:trPr>
        <w:tc>
          <w:tcPr>
            <w:tcW w:w="75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6</w:t>
            </w:r>
          </w:p>
        </w:tc>
        <w:tc>
          <w:tcPr>
            <w:tcW w:w="1754"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砷</w:t>
            </w:r>
          </w:p>
        </w:tc>
        <w:tc>
          <w:tcPr>
            <w:tcW w:w="1453"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7440-38-2</w:t>
            </w:r>
          </w:p>
        </w:tc>
        <w:tc>
          <w:tcPr>
            <w:tcW w:w="1146"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20</w:t>
            </w:r>
          </w:p>
        </w:tc>
        <w:tc>
          <w:tcPr>
            <w:tcW w:w="136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60</w:t>
            </w:r>
          </w:p>
        </w:tc>
        <w:tc>
          <w:tcPr>
            <w:tcW w:w="1310"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120</w:t>
            </w:r>
          </w:p>
        </w:tc>
        <w:tc>
          <w:tcPr>
            <w:tcW w:w="1361"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140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5" w:hRule="atLeast"/>
          <w:jc w:val="center"/>
        </w:trPr>
        <w:tc>
          <w:tcPr>
            <w:tcW w:w="75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7</w:t>
            </w:r>
          </w:p>
        </w:tc>
        <w:tc>
          <w:tcPr>
            <w:tcW w:w="1754"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铬（六价）</w:t>
            </w:r>
          </w:p>
        </w:tc>
        <w:tc>
          <w:tcPr>
            <w:tcW w:w="1453"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18540-29-9</w:t>
            </w:r>
          </w:p>
        </w:tc>
        <w:tc>
          <w:tcPr>
            <w:tcW w:w="1146"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3.0</w:t>
            </w:r>
          </w:p>
        </w:tc>
        <w:tc>
          <w:tcPr>
            <w:tcW w:w="136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5.7</w:t>
            </w:r>
          </w:p>
        </w:tc>
        <w:tc>
          <w:tcPr>
            <w:tcW w:w="1310"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30</w:t>
            </w:r>
          </w:p>
        </w:tc>
        <w:tc>
          <w:tcPr>
            <w:tcW w:w="1361"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78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5" w:hRule="atLeast"/>
          <w:jc w:val="center"/>
        </w:trPr>
        <w:tc>
          <w:tcPr>
            <w:tcW w:w="9138" w:type="dxa"/>
            <w:gridSpan w:val="7"/>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半挥发性有机物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5" w:hRule="atLeast"/>
          <w:jc w:val="center"/>
        </w:trPr>
        <w:tc>
          <w:tcPr>
            <w:tcW w:w="75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8</w:t>
            </w:r>
          </w:p>
        </w:tc>
        <w:tc>
          <w:tcPr>
            <w:tcW w:w="1754"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2-氯酚</w:t>
            </w:r>
          </w:p>
        </w:tc>
        <w:tc>
          <w:tcPr>
            <w:tcW w:w="1453"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95-57-8</w:t>
            </w:r>
          </w:p>
        </w:tc>
        <w:tc>
          <w:tcPr>
            <w:tcW w:w="1146"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250</w:t>
            </w:r>
          </w:p>
        </w:tc>
        <w:tc>
          <w:tcPr>
            <w:tcW w:w="136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2256</w:t>
            </w:r>
          </w:p>
        </w:tc>
        <w:tc>
          <w:tcPr>
            <w:tcW w:w="1310"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500</w:t>
            </w:r>
          </w:p>
        </w:tc>
        <w:tc>
          <w:tcPr>
            <w:tcW w:w="1361"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4500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5" w:hRule="atLeast"/>
          <w:jc w:val="center"/>
        </w:trPr>
        <w:tc>
          <w:tcPr>
            <w:tcW w:w="75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9</w:t>
            </w:r>
          </w:p>
        </w:tc>
        <w:tc>
          <w:tcPr>
            <w:tcW w:w="1754"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硝基苯</w:t>
            </w:r>
          </w:p>
        </w:tc>
        <w:tc>
          <w:tcPr>
            <w:tcW w:w="1453"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98-95-3</w:t>
            </w:r>
          </w:p>
        </w:tc>
        <w:tc>
          <w:tcPr>
            <w:tcW w:w="1146"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34</w:t>
            </w:r>
          </w:p>
        </w:tc>
        <w:tc>
          <w:tcPr>
            <w:tcW w:w="136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76</w:t>
            </w:r>
          </w:p>
        </w:tc>
        <w:tc>
          <w:tcPr>
            <w:tcW w:w="1310"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190</w:t>
            </w:r>
          </w:p>
        </w:tc>
        <w:tc>
          <w:tcPr>
            <w:tcW w:w="1361"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760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5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10</w:t>
            </w:r>
          </w:p>
        </w:tc>
        <w:tc>
          <w:tcPr>
            <w:tcW w:w="1754"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萘</w:t>
            </w:r>
          </w:p>
        </w:tc>
        <w:tc>
          <w:tcPr>
            <w:tcW w:w="1453"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91-20-3</w:t>
            </w:r>
          </w:p>
        </w:tc>
        <w:tc>
          <w:tcPr>
            <w:tcW w:w="1146"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25</w:t>
            </w:r>
          </w:p>
        </w:tc>
        <w:tc>
          <w:tcPr>
            <w:tcW w:w="136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70</w:t>
            </w:r>
          </w:p>
        </w:tc>
        <w:tc>
          <w:tcPr>
            <w:tcW w:w="1310"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255</w:t>
            </w:r>
          </w:p>
        </w:tc>
        <w:tc>
          <w:tcPr>
            <w:tcW w:w="1361"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700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5" w:hRule="atLeast"/>
          <w:jc w:val="center"/>
        </w:trPr>
        <w:tc>
          <w:tcPr>
            <w:tcW w:w="75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11</w:t>
            </w:r>
          </w:p>
        </w:tc>
        <w:tc>
          <w:tcPr>
            <w:tcW w:w="1754"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苯并[a]蒽</w:t>
            </w:r>
          </w:p>
        </w:tc>
        <w:tc>
          <w:tcPr>
            <w:tcW w:w="1453"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56-55-3</w:t>
            </w:r>
          </w:p>
        </w:tc>
        <w:tc>
          <w:tcPr>
            <w:tcW w:w="1146"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5.5</w:t>
            </w:r>
          </w:p>
        </w:tc>
        <w:tc>
          <w:tcPr>
            <w:tcW w:w="136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15</w:t>
            </w:r>
          </w:p>
        </w:tc>
        <w:tc>
          <w:tcPr>
            <w:tcW w:w="1310"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55</w:t>
            </w:r>
          </w:p>
        </w:tc>
        <w:tc>
          <w:tcPr>
            <w:tcW w:w="1361"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151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5" w:hRule="atLeast"/>
          <w:jc w:val="center"/>
        </w:trPr>
        <w:tc>
          <w:tcPr>
            <w:tcW w:w="75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12</w:t>
            </w:r>
          </w:p>
        </w:tc>
        <w:tc>
          <w:tcPr>
            <w:tcW w:w="1754"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䓛</w:t>
            </w:r>
          </w:p>
        </w:tc>
        <w:tc>
          <w:tcPr>
            <w:tcW w:w="1453"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218-01-9</w:t>
            </w:r>
          </w:p>
        </w:tc>
        <w:tc>
          <w:tcPr>
            <w:tcW w:w="1146"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490</w:t>
            </w:r>
          </w:p>
        </w:tc>
        <w:tc>
          <w:tcPr>
            <w:tcW w:w="136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1293</w:t>
            </w:r>
          </w:p>
        </w:tc>
        <w:tc>
          <w:tcPr>
            <w:tcW w:w="1310"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4900</w:t>
            </w:r>
          </w:p>
        </w:tc>
        <w:tc>
          <w:tcPr>
            <w:tcW w:w="1361"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12900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5" w:hRule="atLeast"/>
          <w:jc w:val="center"/>
        </w:trPr>
        <w:tc>
          <w:tcPr>
            <w:tcW w:w="75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13</w:t>
            </w:r>
          </w:p>
        </w:tc>
        <w:tc>
          <w:tcPr>
            <w:tcW w:w="1754"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苯并(b)荧蒽</w:t>
            </w:r>
          </w:p>
        </w:tc>
        <w:tc>
          <w:tcPr>
            <w:tcW w:w="1453"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205-99-2</w:t>
            </w:r>
          </w:p>
        </w:tc>
        <w:tc>
          <w:tcPr>
            <w:tcW w:w="1146"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5.5</w:t>
            </w:r>
          </w:p>
        </w:tc>
        <w:tc>
          <w:tcPr>
            <w:tcW w:w="136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15</w:t>
            </w:r>
          </w:p>
        </w:tc>
        <w:tc>
          <w:tcPr>
            <w:tcW w:w="1310"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55</w:t>
            </w:r>
          </w:p>
        </w:tc>
        <w:tc>
          <w:tcPr>
            <w:tcW w:w="1361"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151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5" w:hRule="atLeast"/>
          <w:jc w:val="center"/>
        </w:trPr>
        <w:tc>
          <w:tcPr>
            <w:tcW w:w="75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14</w:t>
            </w:r>
          </w:p>
        </w:tc>
        <w:tc>
          <w:tcPr>
            <w:tcW w:w="1754"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苯并(k)荧蒽</w:t>
            </w:r>
          </w:p>
        </w:tc>
        <w:tc>
          <w:tcPr>
            <w:tcW w:w="1453"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207-08-9</w:t>
            </w:r>
          </w:p>
        </w:tc>
        <w:tc>
          <w:tcPr>
            <w:tcW w:w="1146"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55</w:t>
            </w:r>
          </w:p>
        </w:tc>
        <w:tc>
          <w:tcPr>
            <w:tcW w:w="136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151</w:t>
            </w:r>
          </w:p>
        </w:tc>
        <w:tc>
          <w:tcPr>
            <w:tcW w:w="1310"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550</w:t>
            </w:r>
          </w:p>
        </w:tc>
        <w:tc>
          <w:tcPr>
            <w:tcW w:w="1361"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1500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5" w:hRule="atLeast"/>
          <w:jc w:val="center"/>
        </w:trPr>
        <w:tc>
          <w:tcPr>
            <w:tcW w:w="75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15</w:t>
            </w:r>
          </w:p>
        </w:tc>
        <w:tc>
          <w:tcPr>
            <w:tcW w:w="1754"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苯并(a)芘</w:t>
            </w:r>
          </w:p>
        </w:tc>
        <w:tc>
          <w:tcPr>
            <w:tcW w:w="1453"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50-32-8</w:t>
            </w:r>
          </w:p>
        </w:tc>
        <w:tc>
          <w:tcPr>
            <w:tcW w:w="1146"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0.55</w:t>
            </w:r>
          </w:p>
        </w:tc>
        <w:tc>
          <w:tcPr>
            <w:tcW w:w="136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1.5</w:t>
            </w:r>
          </w:p>
        </w:tc>
        <w:tc>
          <w:tcPr>
            <w:tcW w:w="1310"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5.5</w:t>
            </w:r>
          </w:p>
        </w:tc>
        <w:tc>
          <w:tcPr>
            <w:tcW w:w="1361"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5" w:hRule="atLeast"/>
          <w:jc w:val="center"/>
        </w:trPr>
        <w:tc>
          <w:tcPr>
            <w:tcW w:w="75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16</w:t>
            </w:r>
          </w:p>
        </w:tc>
        <w:tc>
          <w:tcPr>
            <w:tcW w:w="1754"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茚并(1,2,3-cd)芘</w:t>
            </w:r>
          </w:p>
        </w:tc>
        <w:tc>
          <w:tcPr>
            <w:tcW w:w="1453"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193-39-5</w:t>
            </w:r>
          </w:p>
        </w:tc>
        <w:tc>
          <w:tcPr>
            <w:tcW w:w="1146"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5.5</w:t>
            </w:r>
          </w:p>
        </w:tc>
        <w:tc>
          <w:tcPr>
            <w:tcW w:w="136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15</w:t>
            </w:r>
          </w:p>
        </w:tc>
        <w:tc>
          <w:tcPr>
            <w:tcW w:w="1310"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55</w:t>
            </w:r>
          </w:p>
        </w:tc>
        <w:tc>
          <w:tcPr>
            <w:tcW w:w="1361"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151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5" w:hRule="atLeast"/>
          <w:jc w:val="center"/>
        </w:trPr>
        <w:tc>
          <w:tcPr>
            <w:tcW w:w="75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17</w:t>
            </w:r>
          </w:p>
        </w:tc>
        <w:tc>
          <w:tcPr>
            <w:tcW w:w="1754"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二苯并(a,h)蒽</w:t>
            </w:r>
          </w:p>
        </w:tc>
        <w:tc>
          <w:tcPr>
            <w:tcW w:w="1453"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53-70-3</w:t>
            </w:r>
          </w:p>
        </w:tc>
        <w:tc>
          <w:tcPr>
            <w:tcW w:w="1146"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0.55</w:t>
            </w:r>
          </w:p>
        </w:tc>
        <w:tc>
          <w:tcPr>
            <w:tcW w:w="136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1.5</w:t>
            </w:r>
          </w:p>
        </w:tc>
        <w:tc>
          <w:tcPr>
            <w:tcW w:w="1310"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5.5</w:t>
            </w:r>
          </w:p>
        </w:tc>
        <w:tc>
          <w:tcPr>
            <w:tcW w:w="1361"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5" w:hRule="atLeast"/>
          <w:jc w:val="center"/>
        </w:trPr>
        <w:tc>
          <w:tcPr>
            <w:tcW w:w="75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18</w:t>
            </w:r>
          </w:p>
        </w:tc>
        <w:tc>
          <w:tcPr>
            <w:tcW w:w="1754"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苯胺</w:t>
            </w:r>
          </w:p>
        </w:tc>
        <w:tc>
          <w:tcPr>
            <w:tcW w:w="1453"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62-53-3</w:t>
            </w:r>
          </w:p>
        </w:tc>
        <w:tc>
          <w:tcPr>
            <w:tcW w:w="1146"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92</w:t>
            </w:r>
          </w:p>
        </w:tc>
        <w:tc>
          <w:tcPr>
            <w:tcW w:w="136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260</w:t>
            </w:r>
          </w:p>
        </w:tc>
        <w:tc>
          <w:tcPr>
            <w:tcW w:w="1310"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211</w:t>
            </w:r>
          </w:p>
        </w:tc>
        <w:tc>
          <w:tcPr>
            <w:tcW w:w="1361"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663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5" w:hRule="atLeast"/>
          <w:jc w:val="center"/>
        </w:trPr>
        <w:tc>
          <w:tcPr>
            <w:tcW w:w="9138" w:type="dxa"/>
            <w:gridSpan w:val="7"/>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挥发性有机物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5" w:hRule="atLeast"/>
          <w:jc w:val="center"/>
        </w:trPr>
        <w:tc>
          <w:tcPr>
            <w:tcW w:w="75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19</w:t>
            </w:r>
          </w:p>
        </w:tc>
        <w:tc>
          <w:tcPr>
            <w:tcW w:w="1754"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苯</w:t>
            </w:r>
          </w:p>
        </w:tc>
        <w:tc>
          <w:tcPr>
            <w:tcW w:w="1453"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71-43-2</w:t>
            </w:r>
          </w:p>
        </w:tc>
        <w:tc>
          <w:tcPr>
            <w:tcW w:w="1146"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w:t>
            </w:r>
          </w:p>
        </w:tc>
        <w:tc>
          <w:tcPr>
            <w:tcW w:w="136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4</w:t>
            </w:r>
          </w:p>
        </w:tc>
        <w:tc>
          <w:tcPr>
            <w:tcW w:w="1310"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10</w:t>
            </w:r>
          </w:p>
        </w:tc>
        <w:tc>
          <w:tcPr>
            <w:tcW w:w="1361"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40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5" w:hRule="atLeast"/>
          <w:jc w:val="center"/>
        </w:trPr>
        <w:tc>
          <w:tcPr>
            <w:tcW w:w="75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20</w:t>
            </w:r>
          </w:p>
        </w:tc>
        <w:tc>
          <w:tcPr>
            <w:tcW w:w="1754"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甲苯</w:t>
            </w:r>
          </w:p>
        </w:tc>
        <w:tc>
          <w:tcPr>
            <w:tcW w:w="1453"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108-88-3</w:t>
            </w:r>
          </w:p>
        </w:tc>
        <w:tc>
          <w:tcPr>
            <w:tcW w:w="1146"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1200</w:t>
            </w:r>
          </w:p>
        </w:tc>
        <w:tc>
          <w:tcPr>
            <w:tcW w:w="136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1200</w:t>
            </w:r>
          </w:p>
        </w:tc>
        <w:tc>
          <w:tcPr>
            <w:tcW w:w="1310"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1200</w:t>
            </w:r>
          </w:p>
        </w:tc>
        <w:tc>
          <w:tcPr>
            <w:tcW w:w="1361"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1200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5" w:hRule="atLeast"/>
          <w:jc w:val="center"/>
        </w:trPr>
        <w:tc>
          <w:tcPr>
            <w:tcW w:w="75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21</w:t>
            </w:r>
          </w:p>
        </w:tc>
        <w:tc>
          <w:tcPr>
            <w:tcW w:w="1754"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氯苯</w:t>
            </w:r>
          </w:p>
        </w:tc>
        <w:tc>
          <w:tcPr>
            <w:tcW w:w="1453"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108-90-7</w:t>
            </w:r>
          </w:p>
        </w:tc>
        <w:tc>
          <w:tcPr>
            <w:tcW w:w="1146"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68</w:t>
            </w:r>
          </w:p>
        </w:tc>
        <w:tc>
          <w:tcPr>
            <w:tcW w:w="136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270</w:t>
            </w:r>
          </w:p>
        </w:tc>
        <w:tc>
          <w:tcPr>
            <w:tcW w:w="1310"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200</w:t>
            </w:r>
          </w:p>
        </w:tc>
        <w:tc>
          <w:tcPr>
            <w:tcW w:w="1361"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5" w:hRule="atLeast"/>
          <w:jc w:val="center"/>
        </w:trPr>
        <w:tc>
          <w:tcPr>
            <w:tcW w:w="75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22</w:t>
            </w:r>
          </w:p>
        </w:tc>
        <w:tc>
          <w:tcPr>
            <w:tcW w:w="1754"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乙苯</w:t>
            </w:r>
          </w:p>
        </w:tc>
        <w:tc>
          <w:tcPr>
            <w:tcW w:w="1453"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100-41-4</w:t>
            </w:r>
          </w:p>
        </w:tc>
        <w:tc>
          <w:tcPr>
            <w:tcW w:w="1146"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7.2</w:t>
            </w:r>
          </w:p>
        </w:tc>
        <w:tc>
          <w:tcPr>
            <w:tcW w:w="136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28</w:t>
            </w:r>
          </w:p>
        </w:tc>
        <w:tc>
          <w:tcPr>
            <w:tcW w:w="1310"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72</w:t>
            </w:r>
          </w:p>
        </w:tc>
        <w:tc>
          <w:tcPr>
            <w:tcW w:w="1361"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280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5" w:hRule="atLeast"/>
          <w:jc w:val="center"/>
        </w:trPr>
        <w:tc>
          <w:tcPr>
            <w:tcW w:w="75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23</w:t>
            </w:r>
          </w:p>
        </w:tc>
        <w:tc>
          <w:tcPr>
            <w:tcW w:w="1754"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邻二甲苯</w:t>
            </w:r>
          </w:p>
        </w:tc>
        <w:tc>
          <w:tcPr>
            <w:tcW w:w="1453"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95-47-6</w:t>
            </w:r>
          </w:p>
        </w:tc>
        <w:tc>
          <w:tcPr>
            <w:tcW w:w="1146"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222</w:t>
            </w:r>
          </w:p>
        </w:tc>
        <w:tc>
          <w:tcPr>
            <w:tcW w:w="136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640</w:t>
            </w:r>
          </w:p>
        </w:tc>
        <w:tc>
          <w:tcPr>
            <w:tcW w:w="1310"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640</w:t>
            </w:r>
          </w:p>
        </w:tc>
        <w:tc>
          <w:tcPr>
            <w:tcW w:w="1361"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640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5" w:hRule="atLeast"/>
          <w:jc w:val="center"/>
        </w:trPr>
        <w:tc>
          <w:tcPr>
            <w:tcW w:w="75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24</w:t>
            </w:r>
          </w:p>
        </w:tc>
        <w:tc>
          <w:tcPr>
            <w:tcW w:w="1754"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1，4-二氯苯</w:t>
            </w:r>
          </w:p>
        </w:tc>
        <w:tc>
          <w:tcPr>
            <w:tcW w:w="1453"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106-46-7</w:t>
            </w:r>
          </w:p>
        </w:tc>
        <w:tc>
          <w:tcPr>
            <w:tcW w:w="1146"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5.6</w:t>
            </w:r>
          </w:p>
        </w:tc>
        <w:tc>
          <w:tcPr>
            <w:tcW w:w="136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20</w:t>
            </w:r>
          </w:p>
        </w:tc>
        <w:tc>
          <w:tcPr>
            <w:tcW w:w="1310"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56</w:t>
            </w:r>
          </w:p>
        </w:tc>
        <w:tc>
          <w:tcPr>
            <w:tcW w:w="1361"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200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5" w:hRule="atLeast"/>
          <w:jc w:val="center"/>
        </w:trPr>
        <w:tc>
          <w:tcPr>
            <w:tcW w:w="75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25</w:t>
            </w:r>
          </w:p>
        </w:tc>
        <w:tc>
          <w:tcPr>
            <w:tcW w:w="1754"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1，2-二氯苯</w:t>
            </w:r>
          </w:p>
        </w:tc>
        <w:tc>
          <w:tcPr>
            <w:tcW w:w="1453"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95-50-1</w:t>
            </w:r>
          </w:p>
        </w:tc>
        <w:tc>
          <w:tcPr>
            <w:tcW w:w="1146"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560</w:t>
            </w:r>
          </w:p>
        </w:tc>
        <w:tc>
          <w:tcPr>
            <w:tcW w:w="136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560</w:t>
            </w:r>
          </w:p>
        </w:tc>
        <w:tc>
          <w:tcPr>
            <w:tcW w:w="1310"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560</w:t>
            </w:r>
          </w:p>
        </w:tc>
        <w:tc>
          <w:tcPr>
            <w:tcW w:w="1361"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560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6" w:hRule="atLeast"/>
          <w:jc w:val="center"/>
        </w:trPr>
        <w:tc>
          <w:tcPr>
            <w:tcW w:w="75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26</w:t>
            </w:r>
          </w:p>
        </w:tc>
        <w:tc>
          <w:tcPr>
            <w:tcW w:w="1754"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间二甲苯+对二甲苯</w:t>
            </w:r>
          </w:p>
        </w:tc>
        <w:tc>
          <w:tcPr>
            <w:tcW w:w="1453"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108-38-3,106-42-3</w:t>
            </w:r>
          </w:p>
        </w:tc>
        <w:tc>
          <w:tcPr>
            <w:tcW w:w="1146"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163</w:t>
            </w:r>
          </w:p>
        </w:tc>
        <w:tc>
          <w:tcPr>
            <w:tcW w:w="136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570</w:t>
            </w:r>
          </w:p>
        </w:tc>
        <w:tc>
          <w:tcPr>
            <w:tcW w:w="1310"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500</w:t>
            </w:r>
          </w:p>
        </w:tc>
        <w:tc>
          <w:tcPr>
            <w:tcW w:w="1361"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570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5" w:hRule="atLeast"/>
          <w:jc w:val="center"/>
        </w:trPr>
        <w:tc>
          <w:tcPr>
            <w:tcW w:w="75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27</w:t>
            </w:r>
          </w:p>
        </w:tc>
        <w:tc>
          <w:tcPr>
            <w:tcW w:w="1754"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氯甲烷</w:t>
            </w:r>
          </w:p>
        </w:tc>
        <w:tc>
          <w:tcPr>
            <w:tcW w:w="1453"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74-87-3</w:t>
            </w:r>
          </w:p>
        </w:tc>
        <w:tc>
          <w:tcPr>
            <w:tcW w:w="1146"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12</w:t>
            </w:r>
          </w:p>
        </w:tc>
        <w:tc>
          <w:tcPr>
            <w:tcW w:w="136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37</w:t>
            </w:r>
          </w:p>
        </w:tc>
        <w:tc>
          <w:tcPr>
            <w:tcW w:w="1310"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21</w:t>
            </w:r>
          </w:p>
        </w:tc>
        <w:tc>
          <w:tcPr>
            <w:tcW w:w="1361"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5" w:hRule="atLeast"/>
          <w:jc w:val="center"/>
        </w:trPr>
        <w:tc>
          <w:tcPr>
            <w:tcW w:w="75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28</w:t>
            </w:r>
          </w:p>
        </w:tc>
        <w:tc>
          <w:tcPr>
            <w:tcW w:w="1754"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二氯甲烷</w:t>
            </w:r>
          </w:p>
        </w:tc>
        <w:tc>
          <w:tcPr>
            <w:tcW w:w="1453"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75-09-2</w:t>
            </w:r>
          </w:p>
        </w:tc>
        <w:tc>
          <w:tcPr>
            <w:tcW w:w="1146"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94</w:t>
            </w:r>
          </w:p>
        </w:tc>
        <w:tc>
          <w:tcPr>
            <w:tcW w:w="136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616</w:t>
            </w:r>
          </w:p>
        </w:tc>
        <w:tc>
          <w:tcPr>
            <w:tcW w:w="1310"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300</w:t>
            </w:r>
          </w:p>
        </w:tc>
        <w:tc>
          <w:tcPr>
            <w:tcW w:w="1361"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163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5" w:hRule="atLeast"/>
          <w:jc w:val="center"/>
        </w:trPr>
        <w:tc>
          <w:tcPr>
            <w:tcW w:w="75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29</w:t>
            </w:r>
          </w:p>
        </w:tc>
        <w:tc>
          <w:tcPr>
            <w:tcW w:w="1754"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1，1-二氯乙烷</w:t>
            </w:r>
          </w:p>
        </w:tc>
        <w:tc>
          <w:tcPr>
            <w:tcW w:w="1453"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75-34-3</w:t>
            </w:r>
          </w:p>
        </w:tc>
        <w:tc>
          <w:tcPr>
            <w:tcW w:w="1146"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3</w:t>
            </w:r>
          </w:p>
        </w:tc>
        <w:tc>
          <w:tcPr>
            <w:tcW w:w="136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9</w:t>
            </w:r>
          </w:p>
        </w:tc>
        <w:tc>
          <w:tcPr>
            <w:tcW w:w="1310"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20</w:t>
            </w:r>
          </w:p>
        </w:tc>
        <w:tc>
          <w:tcPr>
            <w:tcW w:w="1361"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1" w:hRule="atLeast"/>
          <w:jc w:val="center"/>
        </w:trPr>
        <w:tc>
          <w:tcPr>
            <w:tcW w:w="75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30</w:t>
            </w:r>
          </w:p>
        </w:tc>
        <w:tc>
          <w:tcPr>
            <w:tcW w:w="1754"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1，1，1-三氯乙烷</w:t>
            </w:r>
          </w:p>
        </w:tc>
        <w:tc>
          <w:tcPr>
            <w:tcW w:w="1453"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71-55-6</w:t>
            </w:r>
          </w:p>
        </w:tc>
        <w:tc>
          <w:tcPr>
            <w:tcW w:w="1146"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701</w:t>
            </w:r>
          </w:p>
        </w:tc>
        <w:tc>
          <w:tcPr>
            <w:tcW w:w="136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840</w:t>
            </w:r>
          </w:p>
        </w:tc>
        <w:tc>
          <w:tcPr>
            <w:tcW w:w="1310"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840</w:t>
            </w:r>
          </w:p>
        </w:tc>
        <w:tc>
          <w:tcPr>
            <w:tcW w:w="1361"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840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5" w:hRule="atLeast"/>
          <w:jc w:val="center"/>
        </w:trPr>
        <w:tc>
          <w:tcPr>
            <w:tcW w:w="75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31</w:t>
            </w:r>
          </w:p>
        </w:tc>
        <w:tc>
          <w:tcPr>
            <w:tcW w:w="1754"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1，2-二氯乙烷</w:t>
            </w:r>
          </w:p>
        </w:tc>
        <w:tc>
          <w:tcPr>
            <w:tcW w:w="1453"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107-06-2</w:t>
            </w:r>
          </w:p>
        </w:tc>
        <w:tc>
          <w:tcPr>
            <w:tcW w:w="1146"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0.52</w:t>
            </w:r>
          </w:p>
        </w:tc>
        <w:tc>
          <w:tcPr>
            <w:tcW w:w="136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5</w:t>
            </w:r>
          </w:p>
        </w:tc>
        <w:tc>
          <w:tcPr>
            <w:tcW w:w="1310"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6</w:t>
            </w:r>
          </w:p>
        </w:tc>
        <w:tc>
          <w:tcPr>
            <w:tcW w:w="1361"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21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5" w:hRule="atLeast"/>
          <w:jc w:val="center"/>
        </w:trPr>
        <w:tc>
          <w:tcPr>
            <w:tcW w:w="752" w:type="dxa"/>
            <w:vAlign w:val="top"/>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32</w:t>
            </w:r>
          </w:p>
        </w:tc>
        <w:tc>
          <w:tcPr>
            <w:tcW w:w="1754"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1，2-二氯丙烷</w:t>
            </w:r>
          </w:p>
        </w:tc>
        <w:tc>
          <w:tcPr>
            <w:tcW w:w="1453"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78-87-5</w:t>
            </w:r>
          </w:p>
        </w:tc>
        <w:tc>
          <w:tcPr>
            <w:tcW w:w="1146"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w:t>
            </w:r>
          </w:p>
        </w:tc>
        <w:tc>
          <w:tcPr>
            <w:tcW w:w="136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5</w:t>
            </w:r>
          </w:p>
        </w:tc>
        <w:tc>
          <w:tcPr>
            <w:tcW w:w="1310"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5</w:t>
            </w:r>
          </w:p>
        </w:tc>
        <w:tc>
          <w:tcPr>
            <w:tcW w:w="1361"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47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2" w:hRule="atLeast"/>
          <w:jc w:val="center"/>
        </w:trPr>
        <w:tc>
          <w:tcPr>
            <w:tcW w:w="752" w:type="dxa"/>
            <w:vAlign w:val="top"/>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33</w:t>
            </w:r>
          </w:p>
        </w:tc>
        <w:tc>
          <w:tcPr>
            <w:tcW w:w="1754"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1，1，2-三氯乙烷</w:t>
            </w:r>
          </w:p>
        </w:tc>
        <w:tc>
          <w:tcPr>
            <w:tcW w:w="1453"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79-00-5</w:t>
            </w:r>
          </w:p>
        </w:tc>
        <w:tc>
          <w:tcPr>
            <w:tcW w:w="1146"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0.6</w:t>
            </w:r>
          </w:p>
        </w:tc>
        <w:tc>
          <w:tcPr>
            <w:tcW w:w="136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2.8</w:t>
            </w:r>
          </w:p>
        </w:tc>
        <w:tc>
          <w:tcPr>
            <w:tcW w:w="1310"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5</w:t>
            </w:r>
          </w:p>
        </w:tc>
        <w:tc>
          <w:tcPr>
            <w:tcW w:w="1361"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3" w:hRule="atLeast"/>
          <w:jc w:val="center"/>
        </w:trPr>
        <w:tc>
          <w:tcPr>
            <w:tcW w:w="752" w:type="dxa"/>
            <w:vAlign w:val="top"/>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34</w:t>
            </w:r>
          </w:p>
        </w:tc>
        <w:tc>
          <w:tcPr>
            <w:tcW w:w="1754"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1，1，1，2-四氯乙烷</w:t>
            </w:r>
          </w:p>
        </w:tc>
        <w:tc>
          <w:tcPr>
            <w:tcW w:w="1453"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630-20-6</w:t>
            </w:r>
          </w:p>
        </w:tc>
        <w:tc>
          <w:tcPr>
            <w:tcW w:w="1146"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2.6</w:t>
            </w:r>
          </w:p>
        </w:tc>
        <w:tc>
          <w:tcPr>
            <w:tcW w:w="136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10</w:t>
            </w:r>
          </w:p>
        </w:tc>
        <w:tc>
          <w:tcPr>
            <w:tcW w:w="1310"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26</w:t>
            </w:r>
          </w:p>
        </w:tc>
        <w:tc>
          <w:tcPr>
            <w:tcW w:w="1361"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3" w:hRule="atLeast"/>
          <w:jc w:val="center"/>
        </w:trPr>
        <w:tc>
          <w:tcPr>
            <w:tcW w:w="752" w:type="dxa"/>
            <w:vAlign w:val="top"/>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35</w:t>
            </w:r>
          </w:p>
        </w:tc>
        <w:tc>
          <w:tcPr>
            <w:tcW w:w="1754"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1，1，2，2-四氯乙烷</w:t>
            </w:r>
          </w:p>
        </w:tc>
        <w:tc>
          <w:tcPr>
            <w:tcW w:w="1453"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79-34-5</w:t>
            </w:r>
          </w:p>
        </w:tc>
        <w:tc>
          <w:tcPr>
            <w:tcW w:w="1146"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1.6</w:t>
            </w:r>
          </w:p>
        </w:tc>
        <w:tc>
          <w:tcPr>
            <w:tcW w:w="136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6.8</w:t>
            </w:r>
          </w:p>
        </w:tc>
        <w:tc>
          <w:tcPr>
            <w:tcW w:w="1310"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14</w:t>
            </w:r>
          </w:p>
        </w:tc>
        <w:tc>
          <w:tcPr>
            <w:tcW w:w="1361"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5" w:hRule="atLeast"/>
          <w:jc w:val="center"/>
        </w:trPr>
        <w:tc>
          <w:tcPr>
            <w:tcW w:w="752" w:type="dxa"/>
            <w:vAlign w:val="top"/>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36</w:t>
            </w:r>
          </w:p>
        </w:tc>
        <w:tc>
          <w:tcPr>
            <w:tcW w:w="1754"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1，2，3-三氯丙烷</w:t>
            </w:r>
          </w:p>
        </w:tc>
        <w:tc>
          <w:tcPr>
            <w:tcW w:w="1453"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96-18-4</w:t>
            </w:r>
          </w:p>
        </w:tc>
        <w:tc>
          <w:tcPr>
            <w:tcW w:w="1146"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0.05</w:t>
            </w:r>
          </w:p>
        </w:tc>
        <w:tc>
          <w:tcPr>
            <w:tcW w:w="136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0.5</w:t>
            </w:r>
          </w:p>
        </w:tc>
        <w:tc>
          <w:tcPr>
            <w:tcW w:w="1310"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0.5</w:t>
            </w:r>
          </w:p>
        </w:tc>
        <w:tc>
          <w:tcPr>
            <w:tcW w:w="1361"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5" w:hRule="atLeast"/>
          <w:jc w:val="center"/>
        </w:trPr>
        <w:tc>
          <w:tcPr>
            <w:tcW w:w="752" w:type="dxa"/>
            <w:vAlign w:val="top"/>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37</w:t>
            </w:r>
          </w:p>
        </w:tc>
        <w:tc>
          <w:tcPr>
            <w:tcW w:w="1754"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氯乙烯</w:t>
            </w:r>
          </w:p>
        </w:tc>
        <w:tc>
          <w:tcPr>
            <w:tcW w:w="1453"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75-01-4</w:t>
            </w:r>
          </w:p>
        </w:tc>
        <w:tc>
          <w:tcPr>
            <w:tcW w:w="1146"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0.12</w:t>
            </w:r>
          </w:p>
        </w:tc>
        <w:tc>
          <w:tcPr>
            <w:tcW w:w="136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0.43</w:t>
            </w:r>
          </w:p>
        </w:tc>
        <w:tc>
          <w:tcPr>
            <w:tcW w:w="1310"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1.2</w:t>
            </w:r>
          </w:p>
        </w:tc>
        <w:tc>
          <w:tcPr>
            <w:tcW w:w="1361"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4.3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5" w:hRule="atLeast"/>
          <w:jc w:val="center"/>
        </w:trPr>
        <w:tc>
          <w:tcPr>
            <w:tcW w:w="752" w:type="dxa"/>
            <w:vAlign w:val="top"/>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38</w:t>
            </w:r>
          </w:p>
        </w:tc>
        <w:tc>
          <w:tcPr>
            <w:tcW w:w="1754"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三氯乙烯</w:t>
            </w:r>
          </w:p>
        </w:tc>
        <w:tc>
          <w:tcPr>
            <w:tcW w:w="1453"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79-01-6</w:t>
            </w:r>
          </w:p>
        </w:tc>
        <w:tc>
          <w:tcPr>
            <w:tcW w:w="1146"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0.7</w:t>
            </w:r>
          </w:p>
        </w:tc>
        <w:tc>
          <w:tcPr>
            <w:tcW w:w="136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2.8</w:t>
            </w:r>
          </w:p>
        </w:tc>
        <w:tc>
          <w:tcPr>
            <w:tcW w:w="1310"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7</w:t>
            </w:r>
          </w:p>
        </w:tc>
        <w:tc>
          <w:tcPr>
            <w:tcW w:w="1361"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5" w:hRule="atLeast"/>
          <w:jc w:val="center"/>
        </w:trPr>
        <w:tc>
          <w:tcPr>
            <w:tcW w:w="752" w:type="dxa"/>
            <w:vAlign w:val="top"/>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39</w:t>
            </w:r>
          </w:p>
        </w:tc>
        <w:tc>
          <w:tcPr>
            <w:tcW w:w="1754"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四氯乙烯</w:t>
            </w:r>
          </w:p>
        </w:tc>
        <w:tc>
          <w:tcPr>
            <w:tcW w:w="1453"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127-18-4</w:t>
            </w:r>
          </w:p>
        </w:tc>
        <w:tc>
          <w:tcPr>
            <w:tcW w:w="1146"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11</w:t>
            </w:r>
          </w:p>
        </w:tc>
        <w:tc>
          <w:tcPr>
            <w:tcW w:w="136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53</w:t>
            </w:r>
          </w:p>
        </w:tc>
        <w:tc>
          <w:tcPr>
            <w:tcW w:w="1310"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34</w:t>
            </w:r>
          </w:p>
        </w:tc>
        <w:tc>
          <w:tcPr>
            <w:tcW w:w="1361"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183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5" w:hRule="atLeast"/>
          <w:jc w:val="center"/>
        </w:trPr>
        <w:tc>
          <w:tcPr>
            <w:tcW w:w="752" w:type="dxa"/>
            <w:vAlign w:val="top"/>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40</w:t>
            </w:r>
          </w:p>
        </w:tc>
        <w:tc>
          <w:tcPr>
            <w:tcW w:w="1754"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反-1,2-二氯乙烯</w:t>
            </w:r>
          </w:p>
        </w:tc>
        <w:tc>
          <w:tcPr>
            <w:tcW w:w="1453"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156-60-5</w:t>
            </w:r>
          </w:p>
        </w:tc>
        <w:tc>
          <w:tcPr>
            <w:tcW w:w="1146"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10</w:t>
            </w:r>
          </w:p>
        </w:tc>
        <w:tc>
          <w:tcPr>
            <w:tcW w:w="136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54</w:t>
            </w:r>
          </w:p>
        </w:tc>
        <w:tc>
          <w:tcPr>
            <w:tcW w:w="1310"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31</w:t>
            </w:r>
          </w:p>
        </w:tc>
        <w:tc>
          <w:tcPr>
            <w:tcW w:w="1361"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163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5" w:hRule="atLeast"/>
          <w:jc w:val="center"/>
        </w:trPr>
        <w:tc>
          <w:tcPr>
            <w:tcW w:w="752" w:type="dxa"/>
            <w:vAlign w:val="top"/>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41</w:t>
            </w:r>
          </w:p>
        </w:tc>
        <w:tc>
          <w:tcPr>
            <w:tcW w:w="1754"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顺-1,2-二氯乙烯</w:t>
            </w:r>
          </w:p>
        </w:tc>
        <w:tc>
          <w:tcPr>
            <w:tcW w:w="1453"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156-59-2</w:t>
            </w:r>
          </w:p>
        </w:tc>
        <w:tc>
          <w:tcPr>
            <w:tcW w:w="1146"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66</w:t>
            </w:r>
          </w:p>
        </w:tc>
        <w:tc>
          <w:tcPr>
            <w:tcW w:w="136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596</w:t>
            </w:r>
          </w:p>
        </w:tc>
        <w:tc>
          <w:tcPr>
            <w:tcW w:w="1310"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200</w:t>
            </w:r>
          </w:p>
        </w:tc>
        <w:tc>
          <w:tcPr>
            <w:tcW w:w="1361"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2000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5" w:hRule="atLeast"/>
          <w:jc w:val="center"/>
        </w:trPr>
        <w:tc>
          <w:tcPr>
            <w:tcW w:w="752" w:type="dxa"/>
            <w:vAlign w:val="top"/>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42</w:t>
            </w:r>
          </w:p>
        </w:tc>
        <w:tc>
          <w:tcPr>
            <w:tcW w:w="1754"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1,1-二氯乙烯</w:t>
            </w:r>
          </w:p>
        </w:tc>
        <w:tc>
          <w:tcPr>
            <w:tcW w:w="1453"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75-34-3</w:t>
            </w:r>
          </w:p>
        </w:tc>
        <w:tc>
          <w:tcPr>
            <w:tcW w:w="1146"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3</w:t>
            </w:r>
          </w:p>
        </w:tc>
        <w:tc>
          <w:tcPr>
            <w:tcW w:w="136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9</w:t>
            </w:r>
          </w:p>
        </w:tc>
        <w:tc>
          <w:tcPr>
            <w:tcW w:w="1310"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20</w:t>
            </w:r>
          </w:p>
        </w:tc>
        <w:tc>
          <w:tcPr>
            <w:tcW w:w="1361"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5" w:hRule="atLeast"/>
          <w:jc w:val="center"/>
        </w:trPr>
        <w:tc>
          <w:tcPr>
            <w:tcW w:w="752" w:type="dxa"/>
            <w:vAlign w:val="top"/>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43</w:t>
            </w:r>
          </w:p>
        </w:tc>
        <w:tc>
          <w:tcPr>
            <w:tcW w:w="1754"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氯仿</w:t>
            </w:r>
          </w:p>
        </w:tc>
        <w:tc>
          <w:tcPr>
            <w:tcW w:w="1453"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67-66-3</w:t>
            </w:r>
          </w:p>
        </w:tc>
        <w:tc>
          <w:tcPr>
            <w:tcW w:w="1146"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0.3</w:t>
            </w:r>
          </w:p>
        </w:tc>
        <w:tc>
          <w:tcPr>
            <w:tcW w:w="136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0.9</w:t>
            </w:r>
          </w:p>
        </w:tc>
        <w:tc>
          <w:tcPr>
            <w:tcW w:w="1310"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5</w:t>
            </w:r>
          </w:p>
        </w:tc>
        <w:tc>
          <w:tcPr>
            <w:tcW w:w="1361"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5" w:hRule="atLeast"/>
          <w:jc w:val="center"/>
        </w:trPr>
        <w:tc>
          <w:tcPr>
            <w:tcW w:w="752" w:type="dxa"/>
            <w:vAlign w:val="top"/>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44</w:t>
            </w:r>
          </w:p>
        </w:tc>
        <w:tc>
          <w:tcPr>
            <w:tcW w:w="1754"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四氯化碳</w:t>
            </w:r>
          </w:p>
        </w:tc>
        <w:tc>
          <w:tcPr>
            <w:tcW w:w="1453"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56-23-5</w:t>
            </w:r>
          </w:p>
        </w:tc>
        <w:tc>
          <w:tcPr>
            <w:tcW w:w="1146"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0.9</w:t>
            </w:r>
          </w:p>
        </w:tc>
        <w:tc>
          <w:tcPr>
            <w:tcW w:w="136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2.8</w:t>
            </w:r>
          </w:p>
        </w:tc>
        <w:tc>
          <w:tcPr>
            <w:tcW w:w="1310"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9</w:t>
            </w:r>
          </w:p>
        </w:tc>
        <w:tc>
          <w:tcPr>
            <w:tcW w:w="1361"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36</w:t>
            </w:r>
          </w:p>
        </w:tc>
      </w:tr>
    </w:tbl>
    <w:p>
      <w:pPr>
        <w:pStyle w:val="3"/>
        <w:pageBreakBefore w:val="0"/>
        <w:kinsoku/>
        <w:wordWrap/>
        <w:overflowPunct/>
        <w:topLinePunct w:val="0"/>
        <w:bidi w:val="0"/>
        <w:spacing w:line="240" w:lineRule="auto"/>
        <w:ind w:left="0" w:leftChars="0" w:right="0"/>
        <w:jc w:val="center"/>
        <w:rPr>
          <w:rFonts w:hint="eastAsia" w:ascii="宋体" w:hAnsi="宋体" w:eastAsia="宋体" w:cs="宋体"/>
          <w:b/>
          <w:bCs/>
          <w:color w:val="auto"/>
          <w:sz w:val="28"/>
          <w:szCs w:val="28"/>
          <w:highlight w:val="none"/>
        </w:rPr>
      </w:pPr>
      <w:r>
        <w:rPr>
          <w:rFonts w:hint="eastAsia" w:ascii="宋体" w:hAnsi="宋体" w:eastAsia="宋体" w:cs="宋体"/>
          <w:b/>
          <w:bCs/>
          <w:color w:val="auto"/>
          <w:sz w:val="28"/>
          <w:szCs w:val="28"/>
          <w:highlight w:val="none"/>
        </w:rPr>
        <w:t>表</w:t>
      </w:r>
      <w:r>
        <w:rPr>
          <w:rFonts w:hint="eastAsia" w:ascii="宋体" w:hAnsi="宋体" w:eastAsia="宋体" w:cs="宋体"/>
          <w:b/>
          <w:bCs/>
          <w:color w:val="auto"/>
          <w:sz w:val="28"/>
          <w:szCs w:val="28"/>
          <w:highlight w:val="none"/>
          <w:lang w:val="en-US" w:eastAsia="zh-CN"/>
        </w:rPr>
        <w:t>8-2</w:t>
      </w:r>
      <w:r>
        <w:rPr>
          <w:rFonts w:hint="eastAsia" w:ascii="宋体" w:hAnsi="宋体" w:eastAsia="宋体" w:cs="宋体"/>
          <w:b/>
          <w:bCs/>
          <w:color w:val="auto"/>
          <w:sz w:val="28"/>
          <w:szCs w:val="28"/>
          <w:highlight w:val="none"/>
        </w:rPr>
        <w:t>农用地土壤污染风险筛选值</w:t>
      </w:r>
    </w:p>
    <w:tbl>
      <w:tblPr>
        <w:tblStyle w:val="22"/>
        <w:tblW w:w="91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12"/>
        <w:gridCol w:w="1999"/>
        <w:gridCol w:w="1941"/>
        <w:gridCol w:w="1312"/>
        <w:gridCol w:w="1312"/>
        <w:gridCol w:w="13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1312" w:type="dxa"/>
            <w:vMerge w:val="restart"/>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序号</w:t>
            </w:r>
          </w:p>
        </w:tc>
        <w:tc>
          <w:tcPr>
            <w:tcW w:w="1999" w:type="dxa"/>
            <w:vMerge w:val="restart"/>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污染物项目</w:t>
            </w:r>
          </w:p>
        </w:tc>
        <w:tc>
          <w:tcPr>
            <w:tcW w:w="5887" w:type="dxa"/>
            <w:gridSpan w:val="4"/>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风险筛选值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3" w:hRule="atLeast"/>
          <w:jc w:val="center"/>
        </w:trPr>
        <w:tc>
          <w:tcPr>
            <w:tcW w:w="1312" w:type="dxa"/>
            <w:vMerge w:val="continue"/>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rPr>
            </w:pPr>
          </w:p>
        </w:tc>
        <w:tc>
          <w:tcPr>
            <w:tcW w:w="1999" w:type="dxa"/>
            <w:vMerge w:val="continue"/>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rPr>
            </w:pPr>
          </w:p>
        </w:tc>
        <w:tc>
          <w:tcPr>
            <w:tcW w:w="1941"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pH≤5.5</w:t>
            </w:r>
          </w:p>
        </w:tc>
        <w:tc>
          <w:tcPr>
            <w:tcW w:w="131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lang w:eastAsia="zh-CN"/>
              </w:rPr>
              <w:t>5.5&lt;</w:t>
            </w:r>
            <w:r>
              <w:rPr>
                <w:rFonts w:hint="eastAsia" w:ascii="宋体" w:hAnsi="宋体" w:eastAsia="宋体" w:cs="宋体"/>
                <w:bCs/>
                <w:color w:val="auto"/>
                <w:sz w:val="21"/>
                <w:szCs w:val="21"/>
                <w:highlight w:val="none"/>
                <w:lang w:val="en-US" w:eastAsia="zh-CN"/>
              </w:rPr>
              <w:t>pH≤</w:t>
            </w:r>
            <w:r>
              <w:rPr>
                <w:rFonts w:hint="eastAsia" w:ascii="宋体" w:hAnsi="宋体" w:eastAsia="宋体" w:cs="宋体"/>
                <w:bCs/>
                <w:color w:val="auto"/>
                <w:sz w:val="21"/>
                <w:szCs w:val="21"/>
                <w:highlight w:val="none"/>
                <w:lang w:eastAsia="zh-CN"/>
              </w:rPr>
              <w:t>6</w:t>
            </w:r>
            <w:r>
              <w:rPr>
                <w:rFonts w:hint="eastAsia" w:ascii="宋体" w:hAnsi="宋体" w:eastAsia="宋体" w:cs="宋体"/>
                <w:bCs/>
                <w:color w:val="auto"/>
                <w:sz w:val="21"/>
                <w:szCs w:val="21"/>
                <w:highlight w:val="none"/>
                <w:lang w:val="en-US" w:eastAsia="zh-CN"/>
              </w:rPr>
              <w:t>.5</w:t>
            </w:r>
          </w:p>
        </w:tc>
        <w:tc>
          <w:tcPr>
            <w:tcW w:w="131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lang w:eastAsia="zh-CN"/>
              </w:rPr>
              <w:t>6</w:t>
            </w:r>
            <w:r>
              <w:rPr>
                <w:rFonts w:hint="eastAsia" w:ascii="宋体" w:hAnsi="宋体" w:eastAsia="宋体" w:cs="宋体"/>
                <w:bCs/>
                <w:color w:val="auto"/>
                <w:sz w:val="21"/>
                <w:szCs w:val="21"/>
                <w:highlight w:val="none"/>
                <w:lang w:val="en-US" w:eastAsia="zh-CN"/>
              </w:rPr>
              <w:t>.5&lt;pH≤</w:t>
            </w:r>
            <w:r>
              <w:rPr>
                <w:rFonts w:hint="eastAsia" w:ascii="宋体" w:hAnsi="宋体" w:eastAsia="宋体" w:cs="宋体"/>
                <w:bCs/>
                <w:color w:val="auto"/>
                <w:sz w:val="21"/>
                <w:szCs w:val="21"/>
                <w:highlight w:val="none"/>
                <w:lang w:eastAsia="zh-CN"/>
              </w:rPr>
              <w:t>7</w:t>
            </w:r>
            <w:r>
              <w:rPr>
                <w:rFonts w:hint="eastAsia" w:ascii="宋体" w:hAnsi="宋体" w:eastAsia="宋体" w:cs="宋体"/>
                <w:bCs/>
                <w:color w:val="auto"/>
                <w:sz w:val="21"/>
                <w:szCs w:val="21"/>
                <w:highlight w:val="none"/>
                <w:lang w:val="en-US" w:eastAsia="zh-CN"/>
              </w:rPr>
              <w:t>.5</w:t>
            </w:r>
          </w:p>
        </w:tc>
        <w:tc>
          <w:tcPr>
            <w:tcW w:w="132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lang w:val="en-US" w:eastAsia="zh-CN"/>
              </w:rPr>
              <w:t>pH</w:t>
            </w:r>
            <w:r>
              <w:rPr>
                <w:rFonts w:hint="eastAsia" w:ascii="宋体" w:hAnsi="宋体" w:eastAsia="宋体" w:cs="宋体"/>
                <w:bCs/>
                <w:color w:val="auto"/>
                <w:sz w:val="21"/>
                <w:szCs w:val="21"/>
                <w:highlight w:val="none"/>
                <w:lang w:eastAsia="zh-CN"/>
              </w:rPr>
              <w:t>&gt;7</w:t>
            </w:r>
            <w:r>
              <w:rPr>
                <w:rFonts w:hint="eastAsia" w:ascii="宋体" w:hAnsi="宋体" w:eastAsia="宋体" w:cs="宋体"/>
                <w:bCs/>
                <w:color w:val="auto"/>
                <w:sz w:val="21"/>
                <w:szCs w:val="21"/>
                <w:highlight w:val="none"/>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131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w:t>
            </w:r>
          </w:p>
        </w:tc>
        <w:tc>
          <w:tcPr>
            <w:tcW w:w="1999"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eastAsia="zh-CN"/>
              </w:rPr>
            </w:pPr>
            <w:r>
              <w:rPr>
                <w:rFonts w:hint="eastAsia" w:ascii="宋体" w:hAnsi="宋体" w:eastAsia="宋体" w:cs="宋体"/>
                <w:bCs/>
                <w:color w:val="auto"/>
                <w:sz w:val="21"/>
                <w:szCs w:val="21"/>
                <w:highlight w:val="none"/>
                <w:lang w:eastAsia="zh-CN"/>
              </w:rPr>
              <w:t>镉</w:t>
            </w:r>
          </w:p>
        </w:tc>
        <w:tc>
          <w:tcPr>
            <w:tcW w:w="1941"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0.3</w:t>
            </w:r>
          </w:p>
        </w:tc>
        <w:tc>
          <w:tcPr>
            <w:tcW w:w="131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eastAsia="zh-CN"/>
              </w:rPr>
            </w:pPr>
            <w:r>
              <w:rPr>
                <w:rFonts w:hint="eastAsia" w:ascii="宋体" w:hAnsi="宋体" w:eastAsia="宋体" w:cs="宋体"/>
                <w:bCs/>
                <w:color w:val="auto"/>
                <w:sz w:val="21"/>
                <w:szCs w:val="21"/>
                <w:highlight w:val="none"/>
                <w:lang w:val="en-US" w:eastAsia="zh-CN"/>
              </w:rPr>
              <w:t>0.3</w:t>
            </w:r>
          </w:p>
        </w:tc>
        <w:tc>
          <w:tcPr>
            <w:tcW w:w="131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0.3</w:t>
            </w:r>
          </w:p>
        </w:tc>
        <w:tc>
          <w:tcPr>
            <w:tcW w:w="132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131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2</w:t>
            </w:r>
          </w:p>
        </w:tc>
        <w:tc>
          <w:tcPr>
            <w:tcW w:w="1999"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eastAsia="zh-CN"/>
              </w:rPr>
            </w:pPr>
            <w:r>
              <w:rPr>
                <w:rFonts w:hint="eastAsia" w:ascii="宋体" w:hAnsi="宋体" w:eastAsia="宋体" w:cs="宋体"/>
                <w:bCs/>
                <w:color w:val="auto"/>
                <w:sz w:val="21"/>
                <w:szCs w:val="21"/>
                <w:highlight w:val="none"/>
                <w:lang w:eastAsia="zh-CN"/>
              </w:rPr>
              <w:t>汞</w:t>
            </w:r>
          </w:p>
        </w:tc>
        <w:tc>
          <w:tcPr>
            <w:tcW w:w="1941"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1.3</w:t>
            </w:r>
          </w:p>
        </w:tc>
        <w:tc>
          <w:tcPr>
            <w:tcW w:w="131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1.8</w:t>
            </w:r>
          </w:p>
        </w:tc>
        <w:tc>
          <w:tcPr>
            <w:tcW w:w="131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2.4</w:t>
            </w:r>
          </w:p>
        </w:tc>
        <w:tc>
          <w:tcPr>
            <w:tcW w:w="132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131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3</w:t>
            </w:r>
          </w:p>
        </w:tc>
        <w:tc>
          <w:tcPr>
            <w:tcW w:w="1999"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eastAsia="zh-CN"/>
              </w:rPr>
            </w:pPr>
            <w:r>
              <w:rPr>
                <w:rFonts w:hint="eastAsia" w:ascii="宋体" w:hAnsi="宋体" w:eastAsia="宋体" w:cs="宋体"/>
                <w:bCs/>
                <w:color w:val="auto"/>
                <w:sz w:val="21"/>
                <w:szCs w:val="21"/>
                <w:highlight w:val="none"/>
                <w:lang w:eastAsia="zh-CN"/>
              </w:rPr>
              <w:t>砷</w:t>
            </w:r>
          </w:p>
        </w:tc>
        <w:tc>
          <w:tcPr>
            <w:tcW w:w="1941"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40</w:t>
            </w:r>
          </w:p>
        </w:tc>
        <w:tc>
          <w:tcPr>
            <w:tcW w:w="131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40</w:t>
            </w:r>
          </w:p>
        </w:tc>
        <w:tc>
          <w:tcPr>
            <w:tcW w:w="131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30</w:t>
            </w:r>
          </w:p>
        </w:tc>
        <w:tc>
          <w:tcPr>
            <w:tcW w:w="132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131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4</w:t>
            </w:r>
          </w:p>
        </w:tc>
        <w:tc>
          <w:tcPr>
            <w:tcW w:w="1999"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eastAsia="zh-CN"/>
              </w:rPr>
            </w:pPr>
            <w:r>
              <w:rPr>
                <w:rFonts w:hint="eastAsia" w:ascii="宋体" w:hAnsi="宋体" w:eastAsia="宋体" w:cs="宋体"/>
                <w:bCs/>
                <w:color w:val="auto"/>
                <w:sz w:val="21"/>
                <w:szCs w:val="21"/>
                <w:highlight w:val="none"/>
                <w:lang w:eastAsia="zh-CN"/>
              </w:rPr>
              <w:t>铅</w:t>
            </w:r>
          </w:p>
        </w:tc>
        <w:tc>
          <w:tcPr>
            <w:tcW w:w="1941"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70</w:t>
            </w:r>
          </w:p>
        </w:tc>
        <w:tc>
          <w:tcPr>
            <w:tcW w:w="131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90</w:t>
            </w:r>
          </w:p>
        </w:tc>
        <w:tc>
          <w:tcPr>
            <w:tcW w:w="131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120</w:t>
            </w:r>
          </w:p>
        </w:tc>
        <w:tc>
          <w:tcPr>
            <w:tcW w:w="132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131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5</w:t>
            </w:r>
          </w:p>
        </w:tc>
        <w:tc>
          <w:tcPr>
            <w:tcW w:w="1999"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eastAsia="zh-CN"/>
              </w:rPr>
            </w:pPr>
            <w:r>
              <w:rPr>
                <w:rFonts w:hint="eastAsia" w:ascii="宋体" w:hAnsi="宋体" w:eastAsia="宋体" w:cs="宋体"/>
                <w:bCs/>
                <w:color w:val="auto"/>
                <w:sz w:val="21"/>
                <w:szCs w:val="21"/>
                <w:highlight w:val="none"/>
                <w:lang w:eastAsia="zh-CN"/>
              </w:rPr>
              <w:t>铬</w:t>
            </w:r>
          </w:p>
        </w:tc>
        <w:tc>
          <w:tcPr>
            <w:tcW w:w="1941"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150</w:t>
            </w:r>
          </w:p>
        </w:tc>
        <w:tc>
          <w:tcPr>
            <w:tcW w:w="131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150</w:t>
            </w:r>
          </w:p>
        </w:tc>
        <w:tc>
          <w:tcPr>
            <w:tcW w:w="131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200</w:t>
            </w:r>
          </w:p>
        </w:tc>
        <w:tc>
          <w:tcPr>
            <w:tcW w:w="132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131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6</w:t>
            </w:r>
          </w:p>
        </w:tc>
        <w:tc>
          <w:tcPr>
            <w:tcW w:w="1999"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eastAsia="zh-CN"/>
              </w:rPr>
            </w:pPr>
            <w:r>
              <w:rPr>
                <w:rFonts w:hint="eastAsia" w:ascii="宋体" w:hAnsi="宋体" w:eastAsia="宋体" w:cs="宋体"/>
                <w:bCs/>
                <w:color w:val="auto"/>
                <w:sz w:val="21"/>
                <w:szCs w:val="21"/>
                <w:highlight w:val="none"/>
                <w:lang w:eastAsia="zh-CN"/>
              </w:rPr>
              <w:t>铜</w:t>
            </w:r>
          </w:p>
        </w:tc>
        <w:tc>
          <w:tcPr>
            <w:tcW w:w="1941"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50</w:t>
            </w:r>
          </w:p>
        </w:tc>
        <w:tc>
          <w:tcPr>
            <w:tcW w:w="131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50</w:t>
            </w:r>
          </w:p>
        </w:tc>
        <w:tc>
          <w:tcPr>
            <w:tcW w:w="131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100</w:t>
            </w:r>
          </w:p>
        </w:tc>
        <w:tc>
          <w:tcPr>
            <w:tcW w:w="132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131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7</w:t>
            </w:r>
          </w:p>
        </w:tc>
        <w:tc>
          <w:tcPr>
            <w:tcW w:w="1999"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eastAsia="zh-CN"/>
              </w:rPr>
            </w:pPr>
            <w:r>
              <w:rPr>
                <w:rFonts w:hint="eastAsia" w:ascii="宋体" w:hAnsi="宋体" w:eastAsia="宋体" w:cs="宋体"/>
                <w:bCs/>
                <w:color w:val="auto"/>
                <w:sz w:val="21"/>
                <w:szCs w:val="21"/>
                <w:highlight w:val="none"/>
                <w:lang w:eastAsia="zh-CN"/>
              </w:rPr>
              <w:t>镍</w:t>
            </w:r>
          </w:p>
        </w:tc>
        <w:tc>
          <w:tcPr>
            <w:tcW w:w="1941"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60</w:t>
            </w:r>
          </w:p>
        </w:tc>
        <w:tc>
          <w:tcPr>
            <w:tcW w:w="131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70</w:t>
            </w:r>
          </w:p>
        </w:tc>
        <w:tc>
          <w:tcPr>
            <w:tcW w:w="131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100</w:t>
            </w:r>
          </w:p>
        </w:tc>
        <w:tc>
          <w:tcPr>
            <w:tcW w:w="132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131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8</w:t>
            </w:r>
          </w:p>
        </w:tc>
        <w:tc>
          <w:tcPr>
            <w:tcW w:w="1999"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eastAsia="zh-CN"/>
              </w:rPr>
            </w:pPr>
            <w:r>
              <w:rPr>
                <w:rFonts w:hint="eastAsia" w:ascii="宋体" w:hAnsi="宋体" w:eastAsia="宋体" w:cs="宋体"/>
                <w:bCs/>
                <w:color w:val="auto"/>
                <w:sz w:val="21"/>
                <w:szCs w:val="21"/>
                <w:highlight w:val="none"/>
                <w:lang w:eastAsia="zh-CN"/>
              </w:rPr>
              <w:t>锌</w:t>
            </w:r>
          </w:p>
        </w:tc>
        <w:tc>
          <w:tcPr>
            <w:tcW w:w="1941"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200</w:t>
            </w:r>
          </w:p>
        </w:tc>
        <w:tc>
          <w:tcPr>
            <w:tcW w:w="131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200</w:t>
            </w:r>
          </w:p>
        </w:tc>
        <w:tc>
          <w:tcPr>
            <w:tcW w:w="131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250</w:t>
            </w:r>
          </w:p>
        </w:tc>
        <w:tc>
          <w:tcPr>
            <w:tcW w:w="1322" w:type="dxa"/>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9198" w:type="dxa"/>
            <w:gridSpan w:val="6"/>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注：重金属和类金属砷均按元素总量计。</w:t>
            </w:r>
          </w:p>
        </w:tc>
      </w:tr>
    </w:tbl>
    <w:p>
      <w:pPr>
        <w:rPr>
          <w:rFonts w:hint="eastAsia" w:ascii="宋体" w:hAnsi="宋体" w:eastAsia="宋体" w:cs="宋体"/>
          <w:b/>
          <w:bCs/>
          <w:color w:val="auto"/>
          <w:sz w:val="28"/>
          <w:szCs w:val="28"/>
          <w:highlight w:val="none"/>
        </w:rPr>
      </w:pPr>
      <w:r>
        <w:rPr>
          <w:rFonts w:hint="eastAsia" w:ascii="宋体" w:hAnsi="宋体" w:eastAsia="宋体" w:cs="宋体"/>
          <w:b/>
          <w:bCs/>
          <w:color w:val="auto"/>
          <w:sz w:val="28"/>
          <w:szCs w:val="28"/>
          <w:highlight w:val="none"/>
        </w:rPr>
        <w:br w:type="page"/>
      </w:r>
    </w:p>
    <w:p>
      <w:pPr>
        <w:pStyle w:val="3"/>
        <w:pageBreakBefore w:val="0"/>
        <w:kinsoku/>
        <w:wordWrap/>
        <w:overflowPunct/>
        <w:topLinePunct w:val="0"/>
        <w:bidi w:val="0"/>
        <w:spacing w:line="240" w:lineRule="auto"/>
        <w:ind w:left="0" w:leftChars="0" w:right="0"/>
        <w:jc w:val="center"/>
        <w:rPr>
          <w:rFonts w:hint="eastAsia" w:ascii="宋体" w:hAnsi="宋体" w:eastAsia="宋体" w:cs="宋体"/>
          <w:b/>
          <w:bCs/>
          <w:color w:val="auto"/>
          <w:sz w:val="28"/>
          <w:szCs w:val="28"/>
          <w:highlight w:val="none"/>
        </w:rPr>
      </w:pPr>
      <w:r>
        <w:rPr>
          <w:rFonts w:hint="eastAsia" w:ascii="宋体" w:hAnsi="宋体" w:eastAsia="宋体" w:cs="宋体"/>
          <w:b/>
          <w:bCs/>
          <w:color w:val="auto"/>
          <w:sz w:val="28"/>
          <w:szCs w:val="28"/>
          <w:highlight w:val="none"/>
        </w:rPr>
        <w:t>表</w:t>
      </w:r>
      <w:r>
        <w:rPr>
          <w:rFonts w:hint="eastAsia" w:ascii="宋体" w:hAnsi="宋体" w:eastAsia="宋体" w:cs="宋体"/>
          <w:b/>
          <w:bCs/>
          <w:color w:val="auto"/>
          <w:sz w:val="28"/>
          <w:szCs w:val="28"/>
          <w:highlight w:val="none"/>
          <w:lang w:val="en-US" w:eastAsia="zh-CN"/>
        </w:rPr>
        <w:t>8-3</w:t>
      </w:r>
      <w:r>
        <w:rPr>
          <w:rFonts w:hint="eastAsia" w:ascii="宋体" w:hAnsi="宋体" w:eastAsia="宋体" w:cs="宋体"/>
          <w:b/>
          <w:bCs/>
          <w:color w:val="auto"/>
          <w:sz w:val="28"/>
          <w:szCs w:val="28"/>
          <w:highlight w:val="none"/>
        </w:rPr>
        <w:tab/>
      </w:r>
      <w:r>
        <w:rPr>
          <w:rFonts w:hint="eastAsia" w:ascii="宋体" w:hAnsi="宋体" w:eastAsia="宋体" w:cs="宋体"/>
          <w:b/>
          <w:bCs/>
          <w:color w:val="auto"/>
          <w:sz w:val="28"/>
          <w:szCs w:val="28"/>
          <w:highlight w:val="none"/>
        </w:rPr>
        <w:t>场地土壤环境风险评价筛选值单位：mg/kg</w:t>
      </w:r>
    </w:p>
    <w:tbl>
      <w:tblPr>
        <w:tblStyle w:val="21"/>
        <w:tblW w:w="8938"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150"/>
        <w:gridCol w:w="1111"/>
        <w:gridCol w:w="1987"/>
        <w:gridCol w:w="2049"/>
        <w:gridCol w:w="264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6" w:hRule="atLeast"/>
          <w:jc w:val="center"/>
        </w:trPr>
        <w:tc>
          <w:tcPr>
            <w:tcW w:w="1150" w:type="dxa"/>
            <w:tcBorders>
              <w:tl2br w:val="nil"/>
              <w:tr2bl w:val="nil"/>
            </w:tcBorders>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序号</w:t>
            </w:r>
          </w:p>
        </w:tc>
        <w:tc>
          <w:tcPr>
            <w:tcW w:w="1111" w:type="dxa"/>
            <w:tcBorders>
              <w:tl2br w:val="nil"/>
              <w:tr2bl w:val="nil"/>
            </w:tcBorders>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污染物</w:t>
            </w:r>
          </w:p>
        </w:tc>
        <w:tc>
          <w:tcPr>
            <w:tcW w:w="1987" w:type="dxa"/>
            <w:tcBorders>
              <w:tl2br w:val="nil"/>
              <w:tr2bl w:val="nil"/>
            </w:tcBorders>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住宅用地</w:t>
            </w:r>
          </w:p>
        </w:tc>
        <w:tc>
          <w:tcPr>
            <w:tcW w:w="2049" w:type="dxa"/>
            <w:tcBorders>
              <w:tl2br w:val="nil"/>
              <w:tr2bl w:val="nil"/>
            </w:tcBorders>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公园与绿地</w:t>
            </w:r>
          </w:p>
        </w:tc>
        <w:tc>
          <w:tcPr>
            <w:tcW w:w="2641" w:type="dxa"/>
            <w:tcBorders>
              <w:tl2br w:val="nil"/>
              <w:tr2bl w:val="nil"/>
            </w:tcBorders>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工业/商服用地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2" w:hRule="atLeast"/>
          <w:jc w:val="center"/>
        </w:trPr>
        <w:tc>
          <w:tcPr>
            <w:tcW w:w="8938" w:type="dxa"/>
            <w:gridSpan w:val="5"/>
            <w:tcBorders>
              <w:tl2br w:val="nil"/>
              <w:tr2bl w:val="nil"/>
            </w:tcBorders>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rPr>
            </w:pPr>
            <w:r>
              <w:rPr>
                <w:rFonts w:hint="eastAsia" w:ascii="宋体" w:hAnsi="宋体" w:eastAsia="宋体" w:cs="宋体"/>
                <w:bCs/>
                <w:color w:val="auto"/>
                <w:sz w:val="21"/>
                <w:szCs w:val="21"/>
                <w:highlight w:val="none"/>
                <w:lang w:val="en-US"/>
              </w:rPr>
              <w:t>无机污染物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2" w:hRule="atLeast"/>
          <w:jc w:val="center"/>
        </w:trPr>
        <w:tc>
          <w:tcPr>
            <w:tcW w:w="1150" w:type="dxa"/>
            <w:tcBorders>
              <w:tl2br w:val="nil"/>
              <w:tr2bl w:val="nil"/>
            </w:tcBorders>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1</w:t>
            </w:r>
          </w:p>
        </w:tc>
        <w:tc>
          <w:tcPr>
            <w:tcW w:w="1111" w:type="dxa"/>
            <w:tcBorders>
              <w:tl2br w:val="nil"/>
              <w:tr2bl w:val="nil"/>
            </w:tcBorders>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rPr>
            </w:pPr>
            <w:r>
              <w:rPr>
                <w:rFonts w:hint="eastAsia" w:ascii="宋体" w:hAnsi="宋体" w:eastAsia="宋体" w:cs="宋体"/>
                <w:color w:val="auto"/>
                <w:sz w:val="21"/>
                <w:szCs w:val="21"/>
                <w:highlight w:val="none"/>
              </w:rPr>
              <w:t>氟化物</w:t>
            </w:r>
          </w:p>
        </w:tc>
        <w:tc>
          <w:tcPr>
            <w:tcW w:w="1987" w:type="dxa"/>
            <w:tcBorders>
              <w:tl2br w:val="nil"/>
              <w:tr2bl w:val="nil"/>
            </w:tcBorders>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rPr>
            </w:pPr>
            <w:r>
              <w:rPr>
                <w:rFonts w:hint="eastAsia" w:ascii="宋体" w:hAnsi="宋体" w:eastAsia="宋体" w:cs="宋体"/>
                <w:bCs/>
                <w:color w:val="auto"/>
                <w:sz w:val="21"/>
                <w:szCs w:val="21"/>
                <w:highlight w:val="none"/>
                <w:lang w:val="en-US"/>
              </w:rPr>
              <w:t>650</w:t>
            </w:r>
          </w:p>
        </w:tc>
        <w:tc>
          <w:tcPr>
            <w:tcW w:w="2049" w:type="dxa"/>
            <w:tcBorders>
              <w:tl2br w:val="nil"/>
              <w:tr2bl w:val="nil"/>
            </w:tcBorders>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rPr>
            </w:pPr>
            <w:r>
              <w:rPr>
                <w:rFonts w:hint="eastAsia" w:ascii="宋体" w:hAnsi="宋体" w:eastAsia="宋体" w:cs="宋体"/>
                <w:bCs/>
                <w:color w:val="auto"/>
                <w:sz w:val="21"/>
                <w:szCs w:val="21"/>
                <w:highlight w:val="none"/>
                <w:lang w:val="en-US"/>
              </w:rPr>
              <w:t>650</w:t>
            </w:r>
          </w:p>
        </w:tc>
        <w:tc>
          <w:tcPr>
            <w:tcW w:w="2641" w:type="dxa"/>
            <w:tcBorders>
              <w:tl2br w:val="nil"/>
              <w:tr2bl w:val="nil"/>
            </w:tcBorders>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rPr>
            </w:pPr>
            <w:r>
              <w:rPr>
                <w:rFonts w:hint="eastAsia" w:ascii="宋体" w:hAnsi="宋体" w:eastAsia="宋体" w:cs="宋体"/>
                <w:bCs/>
                <w:color w:val="auto"/>
                <w:sz w:val="21"/>
                <w:szCs w:val="21"/>
                <w:highlight w:val="none"/>
                <w:lang w:val="en-US"/>
              </w:rPr>
              <w:t>2000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81" w:hRule="atLeast"/>
          <w:jc w:val="center"/>
        </w:trPr>
        <w:tc>
          <w:tcPr>
            <w:tcW w:w="1150" w:type="dxa"/>
            <w:tcBorders>
              <w:tl2br w:val="nil"/>
              <w:tr2bl w:val="nil"/>
            </w:tcBorders>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sz w:val="21"/>
                <w:szCs w:val="21"/>
                <w:highlight w:val="none"/>
                <w:lang w:val="en-US" w:eastAsia="zh-CN"/>
              </w:rPr>
            </w:pPr>
            <w:bookmarkStart w:id="246" w:name="_Toc31571"/>
            <w:bookmarkStart w:id="247" w:name="_Toc27438"/>
            <w:bookmarkStart w:id="248" w:name="_Toc53736373"/>
            <w:r>
              <w:rPr>
                <w:rFonts w:hint="eastAsia" w:ascii="宋体" w:hAnsi="宋体" w:eastAsia="宋体" w:cs="宋体"/>
                <w:bCs/>
                <w:color w:val="auto"/>
                <w:sz w:val="21"/>
                <w:szCs w:val="21"/>
                <w:highlight w:val="none"/>
                <w:lang w:val="en-US" w:eastAsia="zh-CN"/>
              </w:rPr>
              <w:t>2</w:t>
            </w:r>
          </w:p>
        </w:tc>
        <w:tc>
          <w:tcPr>
            <w:tcW w:w="1111" w:type="dxa"/>
            <w:tcBorders>
              <w:tl2br w:val="nil"/>
              <w:tr2bl w:val="nil"/>
            </w:tcBorders>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kern w:val="2"/>
                <w:sz w:val="21"/>
                <w:szCs w:val="21"/>
                <w:highlight w:val="none"/>
                <w:lang w:val="zh-CN" w:eastAsia="zh-CN" w:bidi="zh-CN"/>
              </w:rPr>
            </w:pPr>
            <w:r>
              <w:rPr>
                <w:rFonts w:hint="eastAsia" w:ascii="宋体" w:hAnsi="宋体" w:eastAsia="宋体" w:cs="宋体"/>
                <w:bCs/>
                <w:color w:val="auto"/>
                <w:sz w:val="21"/>
                <w:szCs w:val="21"/>
                <w:highlight w:val="none"/>
              </w:rPr>
              <w:t>锌</w:t>
            </w:r>
          </w:p>
        </w:tc>
        <w:tc>
          <w:tcPr>
            <w:tcW w:w="1987" w:type="dxa"/>
            <w:tcBorders>
              <w:tl2br w:val="nil"/>
              <w:tr2bl w:val="nil"/>
            </w:tcBorders>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kern w:val="2"/>
                <w:sz w:val="21"/>
                <w:szCs w:val="21"/>
                <w:highlight w:val="none"/>
                <w:lang w:val="en-US" w:eastAsia="zh-CN" w:bidi="zh-CN"/>
              </w:rPr>
            </w:pPr>
            <w:r>
              <w:rPr>
                <w:rFonts w:hint="eastAsia" w:ascii="宋体" w:hAnsi="宋体" w:eastAsia="宋体" w:cs="宋体"/>
                <w:bCs/>
                <w:color w:val="auto"/>
                <w:sz w:val="21"/>
                <w:szCs w:val="21"/>
                <w:highlight w:val="none"/>
              </w:rPr>
              <w:t>3500</w:t>
            </w:r>
          </w:p>
        </w:tc>
        <w:tc>
          <w:tcPr>
            <w:tcW w:w="2049" w:type="dxa"/>
            <w:tcBorders>
              <w:tl2br w:val="nil"/>
              <w:tr2bl w:val="nil"/>
            </w:tcBorders>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kern w:val="2"/>
                <w:sz w:val="21"/>
                <w:szCs w:val="21"/>
                <w:highlight w:val="none"/>
                <w:lang w:val="en-US" w:eastAsia="zh-CN" w:bidi="zh-CN"/>
              </w:rPr>
            </w:pPr>
            <w:r>
              <w:rPr>
                <w:rFonts w:hint="eastAsia" w:ascii="宋体" w:hAnsi="宋体" w:eastAsia="宋体" w:cs="宋体"/>
                <w:bCs/>
                <w:color w:val="auto"/>
                <w:sz w:val="21"/>
                <w:szCs w:val="21"/>
                <w:highlight w:val="none"/>
              </w:rPr>
              <w:t>5000</w:t>
            </w:r>
          </w:p>
        </w:tc>
        <w:tc>
          <w:tcPr>
            <w:tcW w:w="2641" w:type="dxa"/>
            <w:tcBorders>
              <w:tl2br w:val="nil"/>
              <w:tr2bl w:val="nil"/>
            </w:tcBorders>
            <w:vAlign w:val="center"/>
          </w:tcPr>
          <w:p>
            <w:pPr>
              <w:pStyle w:val="32"/>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宋体" w:hAnsi="宋体" w:eastAsia="宋体" w:cs="宋体"/>
                <w:bCs/>
                <w:color w:val="auto"/>
                <w:kern w:val="2"/>
                <w:sz w:val="21"/>
                <w:szCs w:val="21"/>
                <w:highlight w:val="none"/>
                <w:lang w:val="en-US" w:eastAsia="zh-CN" w:bidi="zh-CN"/>
              </w:rPr>
            </w:pPr>
            <w:r>
              <w:rPr>
                <w:rFonts w:hint="eastAsia" w:ascii="宋体" w:hAnsi="宋体" w:eastAsia="宋体" w:cs="宋体"/>
                <w:bCs/>
                <w:color w:val="auto"/>
                <w:sz w:val="21"/>
                <w:szCs w:val="21"/>
                <w:highlight w:val="none"/>
              </w:rPr>
              <w:t>10000</w:t>
            </w:r>
          </w:p>
        </w:tc>
      </w:tr>
    </w:tbl>
    <w:p>
      <w:pPr>
        <w:pageBreakBefore w:val="0"/>
        <w:kinsoku/>
        <w:wordWrap/>
        <w:overflowPunct/>
        <w:topLinePunct w:val="0"/>
        <w:autoSpaceDE/>
        <w:autoSpaceDN/>
        <w:bidi w:val="0"/>
        <w:spacing w:line="240" w:lineRule="auto"/>
        <w:ind w:left="0" w:leftChars="0" w:right="0" w:firstLine="0" w:firstLineChars="0"/>
        <w:jc w:val="both"/>
        <w:textAlignment w:val="auto"/>
        <w:outlineLvl w:val="9"/>
        <w:rPr>
          <w:rFonts w:hint="eastAsia" w:ascii="宋体" w:hAnsi="宋体" w:eastAsia="宋体" w:cs="宋体"/>
          <w:color w:val="auto"/>
          <w:highlight w:val="none"/>
          <w:lang w:val="en-US" w:eastAsia="zh-CN"/>
        </w:rPr>
      </w:pPr>
    </w:p>
    <w:bookmarkEnd w:id="246"/>
    <w:bookmarkEnd w:id="247"/>
    <w:bookmarkEnd w:id="248"/>
    <w:p>
      <w:pPr>
        <w:keepNext/>
        <w:keepLines/>
        <w:pageBreakBefore w:val="0"/>
        <w:kinsoku/>
        <w:wordWrap/>
        <w:overflowPunct/>
        <w:topLinePunct w:val="0"/>
        <w:bidi w:val="0"/>
        <w:snapToGrid w:val="0"/>
        <w:spacing w:line="240" w:lineRule="auto"/>
        <w:ind w:left="0" w:leftChars="0" w:right="0"/>
        <w:jc w:val="center"/>
        <w:rPr>
          <w:rFonts w:hint="eastAsia" w:ascii="宋体" w:hAnsi="宋体" w:eastAsia="宋体" w:cs="宋体"/>
          <w:b/>
          <w:bCs/>
          <w:color w:val="auto"/>
          <w:sz w:val="28"/>
          <w:szCs w:val="28"/>
          <w:highlight w:val="none"/>
        </w:rPr>
      </w:pPr>
      <w:bookmarkStart w:id="249" w:name="_Toc9907"/>
      <w:bookmarkStart w:id="250" w:name="_Toc5706"/>
      <w:bookmarkStart w:id="251" w:name="_Toc2740"/>
      <w:bookmarkStart w:id="252" w:name="_Toc5297"/>
      <w:bookmarkStart w:id="253" w:name="_Toc12882"/>
      <w:bookmarkStart w:id="254" w:name="_Toc53736374"/>
      <w:bookmarkStart w:id="255" w:name="_Toc21237"/>
      <w:bookmarkStart w:id="256" w:name="_Toc28980"/>
      <w:bookmarkStart w:id="257" w:name="_Toc31982"/>
      <w:bookmarkStart w:id="258" w:name="_Toc30694"/>
      <w:r>
        <w:rPr>
          <w:rFonts w:hint="eastAsia" w:ascii="宋体" w:hAnsi="宋体" w:eastAsia="宋体" w:cs="宋体"/>
          <w:b/>
          <w:bCs/>
          <w:color w:val="auto"/>
          <w:sz w:val="28"/>
          <w:szCs w:val="28"/>
          <w:highlight w:val="none"/>
          <w:lang w:val="en-US" w:eastAsia="zh-CN"/>
        </w:rPr>
        <w:t>表8-4土壤采样点位及</w:t>
      </w:r>
      <w:r>
        <w:rPr>
          <w:rFonts w:hint="eastAsia" w:ascii="宋体" w:hAnsi="宋体" w:eastAsia="宋体" w:cs="宋体"/>
          <w:b/>
          <w:bCs/>
          <w:color w:val="auto"/>
          <w:sz w:val="28"/>
          <w:szCs w:val="28"/>
          <w:highlight w:val="none"/>
        </w:rPr>
        <w:t>样品信息</w:t>
      </w:r>
    </w:p>
    <w:bookmarkEnd w:id="249"/>
    <w:bookmarkEnd w:id="250"/>
    <w:bookmarkEnd w:id="251"/>
    <w:bookmarkEnd w:id="252"/>
    <w:bookmarkEnd w:id="253"/>
    <w:bookmarkEnd w:id="254"/>
    <w:bookmarkEnd w:id="255"/>
    <w:bookmarkEnd w:id="256"/>
    <w:bookmarkEnd w:id="257"/>
    <w:bookmarkEnd w:id="258"/>
    <w:tbl>
      <w:tblPr>
        <w:tblStyle w:val="21"/>
        <w:tblW w:w="481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1"/>
        <w:gridCol w:w="2070"/>
        <w:gridCol w:w="1396"/>
        <w:gridCol w:w="2593"/>
        <w:gridCol w:w="21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3" w:hRule="atLeast"/>
          <w:tblHeader/>
          <w:jc w:val="center"/>
        </w:trPr>
        <w:tc>
          <w:tcPr>
            <w:tcW w:w="414"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rPr>
                <w:rFonts w:hint="eastAsia" w:ascii="宋体" w:hAnsi="宋体" w:eastAsia="宋体" w:cs="宋体"/>
                <w:color w:val="auto"/>
                <w:spacing w:val="0"/>
                <w:sz w:val="24"/>
                <w:szCs w:val="24"/>
                <w:highlight w:val="none"/>
                <w:lang w:eastAsia="zh-CN"/>
              </w:rPr>
            </w:pPr>
            <w:r>
              <w:rPr>
                <w:rFonts w:hint="eastAsia" w:ascii="宋体" w:hAnsi="宋体" w:eastAsia="宋体" w:cs="宋体"/>
                <w:color w:val="auto"/>
                <w:spacing w:val="0"/>
                <w:sz w:val="24"/>
                <w:szCs w:val="24"/>
                <w:highlight w:val="none"/>
              </w:rPr>
              <w:t>类别</w:t>
            </w:r>
          </w:p>
        </w:tc>
        <w:tc>
          <w:tcPr>
            <w:tcW w:w="1157"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rPr>
                <w:rFonts w:hint="eastAsia" w:ascii="宋体" w:hAnsi="宋体" w:eastAsia="宋体" w:cs="宋体"/>
                <w:color w:val="auto"/>
                <w:spacing w:val="0"/>
                <w:sz w:val="24"/>
                <w:szCs w:val="24"/>
                <w:highlight w:val="none"/>
                <w:lang w:eastAsia="zh-CN"/>
              </w:rPr>
            </w:pPr>
            <w:r>
              <w:rPr>
                <w:rFonts w:hint="eastAsia" w:ascii="宋体" w:hAnsi="宋体" w:eastAsia="宋体" w:cs="宋体"/>
                <w:color w:val="auto"/>
                <w:spacing w:val="0"/>
                <w:sz w:val="24"/>
                <w:szCs w:val="24"/>
                <w:highlight w:val="none"/>
                <w:lang w:eastAsia="zh-CN"/>
              </w:rPr>
              <w:t>采样点位</w:t>
            </w:r>
          </w:p>
        </w:tc>
        <w:tc>
          <w:tcPr>
            <w:tcW w:w="780"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rPr>
                <w:rFonts w:hint="eastAsia" w:ascii="宋体" w:hAnsi="宋体" w:eastAsia="宋体" w:cs="宋体"/>
                <w:color w:val="auto"/>
                <w:spacing w:val="0"/>
                <w:kern w:val="2"/>
                <w:sz w:val="24"/>
                <w:szCs w:val="24"/>
                <w:highlight w:val="none"/>
                <w:lang w:val="en-US" w:eastAsia="zh-CN" w:bidi="ar-SA"/>
              </w:rPr>
            </w:pPr>
            <w:r>
              <w:rPr>
                <w:rFonts w:hint="eastAsia" w:ascii="宋体" w:hAnsi="宋体" w:eastAsia="宋体" w:cs="宋体"/>
                <w:color w:val="auto"/>
                <w:spacing w:val="0"/>
                <w:sz w:val="24"/>
                <w:szCs w:val="24"/>
                <w:highlight w:val="none"/>
                <w:lang w:val="en-US" w:eastAsia="zh-CN"/>
              </w:rPr>
              <w:t>监测日期</w:t>
            </w:r>
          </w:p>
        </w:tc>
        <w:tc>
          <w:tcPr>
            <w:tcW w:w="1449"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rPr>
                <w:rFonts w:hint="eastAsia" w:ascii="宋体" w:hAnsi="宋体" w:eastAsia="宋体" w:cs="宋体"/>
                <w:color w:val="auto"/>
                <w:spacing w:val="0"/>
                <w:sz w:val="24"/>
                <w:szCs w:val="24"/>
                <w:highlight w:val="none"/>
                <w:lang w:eastAsia="zh-CN"/>
              </w:rPr>
            </w:pPr>
            <w:r>
              <w:rPr>
                <w:rFonts w:hint="eastAsia" w:ascii="宋体" w:hAnsi="宋体" w:eastAsia="宋体" w:cs="宋体"/>
                <w:color w:val="auto"/>
                <w:spacing w:val="0"/>
                <w:sz w:val="24"/>
                <w:szCs w:val="24"/>
                <w:highlight w:val="none"/>
                <w:lang w:eastAsia="zh-CN"/>
              </w:rPr>
              <w:t>采样点位坐标</w:t>
            </w:r>
          </w:p>
        </w:tc>
        <w:tc>
          <w:tcPr>
            <w:tcW w:w="1197"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样品状态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3" w:hRule="atLeast"/>
          <w:jc w:val="center"/>
        </w:trPr>
        <w:tc>
          <w:tcPr>
            <w:tcW w:w="414" w:type="pct"/>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firstLine="0" w:firstLineChars="0"/>
              <w:jc w:val="center"/>
              <w:rPr>
                <w:rFonts w:hint="eastAsia" w:ascii="宋体" w:hAnsi="宋体" w:eastAsia="宋体" w:cs="宋体"/>
                <w:color w:val="auto"/>
                <w:spacing w:val="0"/>
                <w:sz w:val="24"/>
                <w:szCs w:val="24"/>
                <w:highlight w:val="none"/>
                <w:lang w:eastAsia="zh-CN"/>
              </w:rPr>
            </w:pPr>
            <w:r>
              <w:rPr>
                <w:rFonts w:hint="eastAsia" w:ascii="宋体" w:hAnsi="宋体" w:eastAsia="宋体" w:cs="宋体"/>
                <w:color w:val="auto"/>
                <w:spacing w:val="0"/>
                <w:sz w:val="24"/>
                <w:szCs w:val="24"/>
                <w:highlight w:val="none"/>
                <w:lang w:eastAsia="zh-CN"/>
              </w:rPr>
              <w:t>土壤</w:t>
            </w:r>
          </w:p>
        </w:tc>
        <w:tc>
          <w:tcPr>
            <w:tcW w:w="1157" w:type="pct"/>
            <w:tcBorders>
              <w:tl2br w:val="nil"/>
              <w:tr2bl w:val="nil"/>
            </w:tcBorders>
            <w:noWrap w:val="0"/>
            <w:vAlign w:val="center"/>
          </w:tcPr>
          <w:p>
            <w:pPr>
              <w:keepNext w:val="0"/>
              <w:keepLines w:val="0"/>
              <w:pageBreakBefore w:val="0"/>
              <w:numPr>
                <w:ilvl w:val="0"/>
                <w:numId w:val="0"/>
              </w:numPr>
              <w:kinsoku/>
              <w:wordWrap/>
              <w:overflowPunct/>
              <w:topLinePunct w:val="0"/>
              <w:autoSpaceDE/>
              <w:autoSpaceDN/>
              <w:bidi w:val="0"/>
              <w:spacing w:line="240" w:lineRule="auto"/>
              <w:ind w:left="0" w:leftChars="0" w:firstLine="0" w:firstLineChars="0"/>
              <w:jc w:val="center"/>
              <w:rPr>
                <w:rFonts w:hint="eastAsia" w:ascii="宋体" w:hAnsi="宋体" w:eastAsia="宋体" w:cs="宋体"/>
                <w:b w:val="0"/>
                <w:bCs w:val="0"/>
                <w:color w:val="auto"/>
                <w:kern w:val="2"/>
                <w:sz w:val="24"/>
                <w:szCs w:val="24"/>
                <w:highlight w:val="none"/>
                <w:vertAlign w:val="baseline"/>
                <w:lang w:val="en-US" w:eastAsia="zh-CN" w:bidi="ar-SA"/>
              </w:rPr>
            </w:pPr>
            <w:r>
              <w:rPr>
                <w:rFonts w:hint="eastAsia" w:ascii="宋体" w:hAnsi="宋体" w:eastAsia="宋体" w:cs="宋体"/>
                <w:b w:val="0"/>
                <w:bCs w:val="0"/>
                <w:color w:val="auto"/>
                <w:sz w:val="24"/>
                <w:szCs w:val="24"/>
                <w:highlight w:val="none"/>
                <w:lang w:val="en-US" w:eastAsia="zh-CN"/>
              </w:rPr>
              <w:t>T1:LNG储罐区及循环水池、消防水池</w:t>
            </w:r>
          </w:p>
        </w:tc>
        <w:tc>
          <w:tcPr>
            <w:tcW w:w="780"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firstLine="0" w:firstLineChars="0"/>
              <w:jc w:val="center"/>
              <w:textAlignment w:val="center"/>
              <w:rPr>
                <w:rFonts w:hint="eastAsia" w:ascii="宋体" w:hAnsi="宋体" w:eastAsia="宋体" w:cs="宋体"/>
                <w:color w:val="auto"/>
                <w:spacing w:val="0"/>
                <w:kern w:val="2"/>
                <w:sz w:val="24"/>
                <w:szCs w:val="24"/>
                <w:highlight w:val="none"/>
                <w:lang w:val="en-US" w:eastAsia="zh-CN" w:bidi="ar-SA"/>
              </w:rPr>
            </w:pPr>
            <w:r>
              <w:rPr>
                <w:rFonts w:hint="eastAsia" w:ascii="宋体" w:hAnsi="宋体" w:eastAsia="宋体" w:cs="宋体"/>
                <w:color w:val="auto"/>
                <w:spacing w:val="0"/>
                <w:kern w:val="2"/>
                <w:sz w:val="24"/>
                <w:szCs w:val="24"/>
                <w:highlight w:val="none"/>
                <w:lang w:val="en-US" w:eastAsia="zh-CN" w:bidi="ar-SA"/>
              </w:rPr>
              <w:t>2023年6月8日</w:t>
            </w:r>
          </w:p>
        </w:tc>
        <w:tc>
          <w:tcPr>
            <w:tcW w:w="1449"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b w:val="0"/>
                <w:bCs w:val="0"/>
                <w:color w:val="auto"/>
                <w:kern w:val="2"/>
                <w:sz w:val="24"/>
                <w:szCs w:val="24"/>
                <w:highlight w:val="none"/>
                <w:vertAlign w:val="baseline"/>
                <w:lang w:val="en-US" w:eastAsia="zh-CN" w:bidi="ar-SA"/>
              </w:rPr>
            </w:pPr>
            <w:r>
              <w:rPr>
                <w:rFonts w:hint="eastAsia" w:ascii="宋体" w:hAnsi="宋体" w:eastAsia="宋体" w:cs="宋体"/>
                <w:color w:val="auto"/>
                <w:kern w:val="0"/>
                <w:sz w:val="24"/>
                <w:szCs w:val="24"/>
                <w:highlight w:val="none"/>
              </w:rPr>
              <w:t>N</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3</w:t>
            </w:r>
            <w:r>
              <w:rPr>
                <w:rFonts w:hint="eastAsia" w:ascii="宋体" w:hAnsi="宋体" w:eastAsia="宋体" w:cs="宋体"/>
                <w:color w:val="auto"/>
                <w:kern w:val="0"/>
                <w:sz w:val="24"/>
                <w:szCs w:val="24"/>
                <w:highlight w:val="none"/>
                <w:lang w:val="en-US" w:eastAsia="zh-CN"/>
              </w:rPr>
              <w:t>4</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40</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31.148</w:t>
            </w:r>
            <w:r>
              <w:rPr>
                <w:rFonts w:hint="eastAsia" w:ascii="宋体" w:hAnsi="宋体" w:eastAsia="宋体" w:cs="宋体"/>
                <w:color w:val="auto"/>
                <w:kern w:val="0"/>
                <w:sz w:val="24"/>
                <w:szCs w:val="24"/>
                <w:highlight w:val="none"/>
              </w:rPr>
              <w:t>''E</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11</w:t>
            </w:r>
            <w:r>
              <w:rPr>
                <w:rFonts w:hint="eastAsia" w:ascii="宋体" w:hAnsi="宋体" w:eastAsia="宋体" w:cs="宋体"/>
                <w:color w:val="auto"/>
                <w:kern w:val="0"/>
                <w:sz w:val="24"/>
                <w:szCs w:val="24"/>
                <w:highlight w:val="none"/>
                <w:lang w:val="en-US" w:eastAsia="zh-CN"/>
              </w:rPr>
              <w:t>1</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35</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25.647</w:t>
            </w:r>
            <w:r>
              <w:rPr>
                <w:rFonts w:hint="eastAsia" w:ascii="宋体" w:hAnsi="宋体" w:eastAsia="宋体" w:cs="宋体"/>
                <w:color w:val="auto"/>
                <w:kern w:val="0"/>
                <w:sz w:val="24"/>
                <w:szCs w:val="24"/>
                <w:highlight w:val="none"/>
              </w:rPr>
              <w:t>''</w:t>
            </w:r>
          </w:p>
        </w:tc>
        <w:tc>
          <w:tcPr>
            <w:tcW w:w="119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firstLine="0" w:firstLineChars="0"/>
              <w:jc w:val="center"/>
              <w:textAlignment w:val="center"/>
              <w:rPr>
                <w:rFonts w:hint="eastAsia" w:ascii="宋体" w:hAnsi="宋体" w:eastAsia="宋体" w:cs="宋体"/>
                <w:color w:val="auto"/>
                <w:spacing w:val="0"/>
                <w:sz w:val="24"/>
                <w:szCs w:val="24"/>
                <w:highlight w:val="none"/>
                <w:lang w:val="en-US" w:eastAsia="zh-CN"/>
              </w:rPr>
            </w:pPr>
            <w:r>
              <w:rPr>
                <w:rFonts w:hint="eastAsia" w:ascii="宋体" w:hAnsi="宋体" w:eastAsia="宋体" w:cs="宋体"/>
                <w:color w:val="auto"/>
                <w:spacing w:val="0"/>
                <w:kern w:val="0"/>
                <w:sz w:val="24"/>
                <w:szCs w:val="24"/>
                <w:highlight w:val="none"/>
              </w:rPr>
              <w:t>固态、</w:t>
            </w:r>
            <w:r>
              <w:rPr>
                <w:rFonts w:hint="eastAsia" w:ascii="宋体" w:hAnsi="宋体" w:eastAsia="宋体" w:cs="宋体"/>
                <w:color w:val="auto"/>
                <w:spacing w:val="0"/>
                <w:kern w:val="0"/>
                <w:sz w:val="24"/>
                <w:szCs w:val="24"/>
                <w:highlight w:val="none"/>
                <w:lang w:val="en-US" w:eastAsia="zh-CN"/>
              </w:rPr>
              <w:t>红</w:t>
            </w:r>
            <w:r>
              <w:rPr>
                <w:rFonts w:hint="eastAsia" w:ascii="宋体" w:hAnsi="宋体" w:eastAsia="宋体" w:cs="宋体"/>
                <w:color w:val="auto"/>
                <w:spacing w:val="0"/>
                <w:kern w:val="0"/>
                <w:sz w:val="24"/>
                <w:szCs w:val="24"/>
                <w:highlight w:val="none"/>
              </w:rPr>
              <w:t>色、</w:t>
            </w:r>
            <w:r>
              <w:rPr>
                <w:rFonts w:hint="eastAsia" w:ascii="宋体" w:hAnsi="宋体" w:eastAsia="宋体" w:cs="宋体"/>
                <w:color w:val="auto"/>
                <w:spacing w:val="0"/>
                <w:kern w:val="0"/>
                <w:sz w:val="24"/>
                <w:szCs w:val="24"/>
                <w:highlight w:val="none"/>
                <w:lang w:val="en-US" w:eastAsia="zh-CN"/>
              </w:rPr>
              <w:t>壤土</w:t>
            </w:r>
            <w:r>
              <w:rPr>
                <w:rFonts w:hint="eastAsia" w:ascii="宋体" w:hAnsi="宋体" w:eastAsia="宋体" w:cs="宋体"/>
                <w:color w:val="auto"/>
                <w:spacing w:val="0"/>
                <w:kern w:val="0"/>
                <w:sz w:val="24"/>
                <w:szCs w:val="24"/>
                <w:highlight w:val="none"/>
              </w:rPr>
              <w:t>、</w:t>
            </w:r>
            <w:r>
              <w:rPr>
                <w:rFonts w:hint="eastAsia" w:ascii="宋体" w:hAnsi="宋体" w:eastAsia="宋体" w:cs="宋体"/>
                <w:color w:val="auto"/>
                <w:spacing w:val="0"/>
                <w:kern w:val="0"/>
                <w:sz w:val="24"/>
                <w:szCs w:val="24"/>
                <w:highlight w:val="none"/>
                <w:lang w:val="en-US" w:eastAsia="zh-CN"/>
              </w:rPr>
              <w:t>干燥</w:t>
            </w:r>
            <w:r>
              <w:rPr>
                <w:rFonts w:hint="eastAsia" w:ascii="宋体" w:hAnsi="宋体" w:eastAsia="宋体" w:cs="宋体"/>
                <w:color w:val="auto"/>
                <w:spacing w:val="0"/>
                <w:kern w:val="0"/>
                <w:sz w:val="24"/>
                <w:szCs w:val="24"/>
                <w:highlight w:val="none"/>
              </w:rPr>
              <w:t>、</w:t>
            </w:r>
            <w:r>
              <w:rPr>
                <w:rFonts w:hint="eastAsia" w:ascii="宋体" w:hAnsi="宋体" w:eastAsia="宋体" w:cs="宋体"/>
                <w:color w:val="auto"/>
                <w:spacing w:val="0"/>
                <w:kern w:val="0"/>
                <w:sz w:val="24"/>
                <w:szCs w:val="24"/>
                <w:highlight w:val="none"/>
                <w:lang w:val="en-US" w:eastAsia="zh-CN"/>
              </w:rPr>
              <w:t>无</w:t>
            </w:r>
            <w:r>
              <w:rPr>
                <w:rFonts w:hint="eastAsia" w:ascii="宋体" w:hAnsi="宋体" w:eastAsia="宋体" w:cs="宋体"/>
                <w:color w:val="auto"/>
                <w:spacing w:val="0"/>
                <w:kern w:val="0"/>
                <w:sz w:val="24"/>
                <w:szCs w:val="24"/>
                <w:highlight w:val="none"/>
              </w:rPr>
              <w:t>砂粒、</w:t>
            </w:r>
            <w:r>
              <w:rPr>
                <w:rFonts w:hint="eastAsia" w:ascii="宋体" w:hAnsi="宋体" w:eastAsia="宋体" w:cs="宋体"/>
                <w:color w:val="auto"/>
                <w:spacing w:val="0"/>
                <w:kern w:val="0"/>
                <w:sz w:val="24"/>
                <w:szCs w:val="24"/>
                <w:highlight w:val="none"/>
                <w:lang w:val="en-US" w:eastAsia="zh-CN"/>
              </w:rPr>
              <w:t>无异物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3" w:hRule="atLeast"/>
          <w:jc w:val="center"/>
        </w:trPr>
        <w:tc>
          <w:tcPr>
            <w:tcW w:w="414"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firstLine="0" w:firstLineChars="0"/>
              <w:jc w:val="center"/>
              <w:rPr>
                <w:rFonts w:hint="eastAsia" w:ascii="宋体" w:hAnsi="宋体" w:eastAsia="宋体" w:cs="宋体"/>
                <w:color w:val="auto"/>
                <w:spacing w:val="0"/>
                <w:sz w:val="24"/>
                <w:szCs w:val="24"/>
                <w:highlight w:val="none"/>
                <w:lang w:eastAsia="zh-CN"/>
              </w:rPr>
            </w:pPr>
          </w:p>
        </w:tc>
        <w:tc>
          <w:tcPr>
            <w:tcW w:w="1157" w:type="pct"/>
            <w:tcBorders>
              <w:tl2br w:val="nil"/>
              <w:tr2bl w:val="nil"/>
            </w:tcBorders>
            <w:noWrap w:val="0"/>
            <w:vAlign w:val="center"/>
          </w:tcPr>
          <w:p>
            <w:pPr>
              <w:keepNext w:val="0"/>
              <w:keepLines w:val="0"/>
              <w:pageBreakBefore w:val="0"/>
              <w:numPr>
                <w:ilvl w:val="0"/>
                <w:numId w:val="0"/>
              </w:numPr>
              <w:kinsoku/>
              <w:wordWrap/>
              <w:overflowPunct/>
              <w:topLinePunct w:val="0"/>
              <w:autoSpaceDE/>
              <w:autoSpaceDN/>
              <w:bidi w:val="0"/>
              <w:spacing w:line="240" w:lineRule="auto"/>
              <w:ind w:left="0" w:leftChars="0" w:firstLine="0" w:firstLineChars="0"/>
              <w:jc w:val="center"/>
              <w:rPr>
                <w:rFonts w:hint="eastAsia" w:ascii="宋体" w:hAnsi="宋体" w:eastAsia="宋体" w:cs="宋体"/>
                <w:b w:val="0"/>
                <w:bCs w:val="0"/>
                <w:color w:val="auto"/>
                <w:kern w:val="2"/>
                <w:sz w:val="24"/>
                <w:szCs w:val="24"/>
                <w:highlight w:val="none"/>
                <w:vertAlign w:val="baseline"/>
                <w:lang w:val="en-US" w:eastAsia="zh-CN" w:bidi="ar-SA"/>
              </w:rPr>
            </w:pPr>
            <w:r>
              <w:rPr>
                <w:rFonts w:hint="eastAsia" w:ascii="宋体" w:hAnsi="宋体" w:eastAsia="宋体" w:cs="宋体"/>
                <w:b w:val="0"/>
                <w:bCs w:val="0"/>
                <w:color w:val="auto"/>
                <w:sz w:val="24"/>
                <w:szCs w:val="24"/>
                <w:highlight w:val="none"/>
                <w:lang w:val="en-US" w:eastAsia="zh-CN"/>
              </w:rPr>
              <w:t>T2:污水处理站及事故池、厌氧IC塔</w:t>
            </w:r>
          </w:p>
        </w:tc>
        <w:tc>
          <w:tcPr>
            <w:tcW w:w="780"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firstLine="0" w:firstLineChars="0"/>
              <w:jc w:val="center"/>
              <w:textAlignment w:val="center"/>
              <w:rPr>
                <w:rFonts w:hint="eastAsia" w:ascii="宋体" w:hAnsi="宋体" w:eastAsia="宋体" w:cs="宋体"/>
                <w:color w:val="auto"/>
                <w:spacing w:val="0"/>
                <w:kern w:val="2"/>
                <w:sz w:val="24"/>
                <w:szCs w:val="24"/>
                <w:highlight w:val="none"/>
                <w:lang w:val="en-US" w:eastAsia="zh-CN" w:bidi="ar-SA"/>
              </w:rPr>
            </w:pPr>
            <w:r>
              <w:rPr>
                <w:rFonts w:hint="eastAsia" w:ascii="宋体" w:hAnsi="宋体" w:eastAsia="宋体" w:cs="宋体"/>
                <w:color w:val="auto"/>
                <w:spacing w:val="0"/>
                <w:kern w:val="2"/>
                <w:sz w:val="24"/>
                <w:szCs w:val="24"/>
                <w:highlight w:val="none"/>
                <w:lang w:val="en-US" w:eastAsia="zh-CN" w:bidi="ar-SA"/>
              </w:rPr>
              <w:t>2023年6月8日</w:t>
            </w:r>
          </w:p>
        </w:tc>
        <w:tc>
          <w:tcPr>
            <w:tcW w:w="1449"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rPr>
              <w:t>N</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3</w:t>
            </w:r>
            <w:r>
              <w:rPr>
                <w:rFonts w:hint="eastAsia" w:ascii="宋体" w:hAnsi="宋体" w:eastAsia="宋体" w:cs="宋体"/>
                <w:color w:val="auto"/>
                <w:kern w:val="0"/>
                <w:sz w:val="24"/>
                <w:szCs w:val="24"/>
                <w:highlight w:val="none"/>
                <w:lang w:val="en-US" w:eastAsia="zh-CN"/>
              </w:rPr>
              <w:t>4</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40</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29.957</w:t>
            </w:r>
            <w:r>
              <w:rPr>
                <w:rFonts w:hint="eastAsia" w:ascii="宋体" w:hAnsi="宋体" w:eastAsia="宋体" w:cs="宋体"/>
                <w:color w:val="auto"/>
                <w:kern w:val="0"/>
                <w:sz w:val="24"/>
                <w:szCs w:val="24"/>
                <w:highlight w:val="none"/>
              </w:rPr>
              <w:t>''E</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11</w:t>
            </w:r>
            <w:r>
              <w:rPr>
                <w:rFonts w:hint="eastAsia" w:ascii="宋体" w:hAnsi="宋体" w:eastAsia="宋体" w:cs="宋体"/>
                <w:color w:val="auto"/>
                <w:kern w:val="0"/>
                <w:sz w:val="24"/>
                <w:szCs w:val="24"/>
                <w:highlight w:val="none"/>
                <w:lang w:val="en-US" w:eastAsia="zh-CN"/>
              </w:rPr>
              <w:t>1</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35</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28.930</w:t>
            </w:r>
            <w:r>
              <w:rPr>
                <w:rFonts w:hint="eastAsia" w:ascii="宋体" w:hAnsi="宋体" w:eastAsia="宋体" w:cs="宋体"/>
                <w:color w:val="auto"/>
                <w:kern w:val="0"/>
                <w:sz w:val="24"/>
                <w:szCs w:val="24"/>
                <w:highlight w:val="none"/>
              </w:rPr>
              <w:t>''</w:t>
            </w:r>
          </w:p>
        </w:tc>
        <w:tc>
          <w:tcPr>
            <w:tcW w:w="119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firstLine="0" w:firstLineChars="0"/>
              <w:jc w:val="center"/>
              <w:textAlignment w:val="center"/>
              <w:rPr>
                <w:rFonts w:hint="eastAsia" w:ascii="宋体" w:hAnsi="宋体" w:eastAsia="宋体" w:cs="宋体"/>
                <w:color w:val="auto"/>
                <w:spacing w:val="0"/>
                <w:sz w:val="24"/>
                <w:szCs w:val="24"/>
                <w:highlight w:val="none"/>
                <w:lang w:val="en-US" w:eastAsia="zh-CN"/>
              </w:rPr>
            </w:pPr>
            <w:r>
              <w:rPr>
                <w:rFonts w:hint="eastAsia" w:ascii="宋体" w:hAnsi="宋体" w:eastAsia="宋体" w:cs="宋体"/>
                <w:color w:val="auto"/>
                <w:spacing w:val="0"/>
                <w:kern w:val="0"/>
                <w:sz w:val="24"/>
                <w:szCs w:val="24"/>
                <w:highlight w:val="none"/>
              </w:rPr>
              <w:t>固态、</w:t>
            </w:r>
            <w:r>
              <w:rPr>
                <w:rFonts w:hint="eastAsia" w:ascii="宋体" w:hAnsi="宋体" w:eastAsia="宋体" w:cs="宋体"/>
                <w:color w:val="auto"/>
                <w:spacing w:val="0"/>
                <w:kern w:val="0"/>
                <w:sz w:val="24"/>
                <w:szCs w:val="24"/>
                <w:highlight w:val="none"/>
                <w:lang w:val="en-US" w:eastAsia="zh-CN"/>
              </w:rPr>
              <w:t>红</w:t>
            </w:r>
            <w:r>
              <w:rPr>
                <w:rFonts w:hint="eastAsia" w:ascii="宋体" w:hAnsi="宋体" w:eastAsia="宋体" w:cs="宋体"/>
                <w:color w:val="auto"/>
                <w:spacing w:val="0"/>
                <w:kern w:val="0"/>
                <w:sz w:val="24"/>
                <w:szCs w:val="24"/>
                <w:highlight w:val="none"/>
              </w:rPr>
              <w:t>色、</w:t>
            </w:r>
            <w:r>
              <w:rPr>
                <w:rFonts w:hint="eastAsia" w:ascii="宋体" w:hAnsi="宋体" w:eastAsia="宋体" w:cs="宋体"/>
                <w:color w:val="auto"/>
                <w:spacing w:val="0"/>
                <w:kern w:val="0"/>
                <w:sz w:val="24"/>
                <w:szCs w:val="24"/>
                <w:highlight w:val="none"/>
                <w:lang w:val="en-US" w:eastAsia="zh-CN"/>
              </w:rPr>
              <w:t>壤土</w:t>
            </w:r>
            <w:r>
              <w:rPr>
                <w:rFonts w:hint="eastAsia" w:ascii="宋体" w:hAnsi="宋体" w:eastAsia="宋体" w:cs="宋体"/>
                <w:color w:val="auto"/>
                <w:spacing w:val="0"/>
                <w:kern w:val="0"/>
                <w:sz w:val="24"/>
                <w:szCs w:val="24"/>
                <w:highlight w:val="none"/>
              </w:rPr>
              <w:t>、</w:t>
            </w:r>
            <w:r>
              <w:rPr>
                <w:rFonts w:hint="eastAsia" w:ascii="宋体" w:hAnsi="宋体" w:eastAsia="宋体" w:cs="宋体"/>
                <w:color w:val="auto"/>
                <w:spacing w:val="0"/>
                <w:kern w:val="0"/>
                <w:sz w:val="24"/>
                <w:szCs w:val="24"/>
                <w:highlight w:val="none"/>
                <w:lang w:val="en-US" w:eastAsia="zh-CN"/>
              </w:rPr>
              <w:t>干燥</w:t>
            </w:r>
            <w:r>
              <w:rPr>
                <w:rFonts w:hint="eastAsia" w:ascii="宋体" w:hAnsi="宋体" w:eastAsia="宋体" w:cs="宋体"/>
                <w:color w:val="auto"/>
                <w:spacing w:val="0"/>
                <w:kern w:val="0"/>
                <w:sz w:val="24"/>
                <w:szCs w:val="24"/>
                <w:highlight w:val="none"/>
              </w:rPr>
              <w:t>、</w:t>
            </w:r>
            <w:r>
              <w:rPr>
                <w:rFonts w:hint="eastAsia" w:ascii="宋体" w:hAnsi="宋体" w:eastAsia="宋体" w:cs="宋体"/>
                <w:color w:val="auto"/>
                <w:spacing w:val="0"/>
                <w:kern w:val="0"/>
                <w:sz w:val="24"/>
                <w:szCs w:val="24"/>
                <w:highlight w:val="none"/>
                <w:lang w:val="en-US" w:eastAsia="zh-CN"/>
              </w:rPr>
              <w:t>无</w:t>
            </w:r>
            <w:r>
              <w:rPr>
                <w:rFonts w:hint="eastAsia" w:ascii="宋体" w:hAnsi="宋体" w:eastAsia="宋体" w:cs="宋体"/>
                <w:color w:val="auto"/>
                <w:spacing w:val="0"/>
                <w:kern w:val="0"/>
                <w:sz w:val="24"/>
                <w:szCs w:val="24"/>
                <w:highlight w:val="none"/>
              </w:rPr>
              <w:t>砂粒、</w:t>
            </w:r>
            <w:r>
              <w:rPr>
                <w:rFonts w:hint="eastAsia" w:ascii="宋体" w:hAnsi="宋体" w:eastAsia="宋体" w:cs="宋体"/>
                <w:color w:val="auto"/>
                <w:spacing w:val="0"/>
                <w:kern w:val="0"/>
                <w:sz w:val="24"/>
                <w:szCs w:val="24"/>
                <w:highlight w:val="none"/>
                <w:lang w:val="en-US" w:eastAsia="zh-CN"/>
              </w:rPr>
              <w:t>少量根系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3" w:hRule="atLeast"/>
          <w:jc w:val="center"/>
        </w:trPr>
        <w:tc>
          <w:tcPr>
            <w:tcW w:w="414"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firstLine="0" w:firstLineChars="0"/>
              <w:jc w:val="center"/>
              <w:rPr>
                <w:rFonts w:hint="eastAsia" w:ascii="宋体" w:hAnsi="宋体" w:eastAsia="宋体" w:cs="宋体"/>
                <w:color w:val="auto"/>
                <w:spacing w:val="0"/>
                <w:sz w:val="24"/>
                <w:szCs w:val="24"/>
                <w:highlight w:val="none"/>
                <w:lang w:eastAsia="zh-CN"/>
              </w:rPr>
            </w:pPr>
          </w:p>
        </w:tc>
        <w:tc>
          <w:tcPr>
            <w:tcW w:w="1157" w:type="pct"/>
            <w:tcBorders>
              <w:tl2br w:val="nil"/>
              <w:tr2bl w:val="nil"/>
            </w:tcBorders>
            <w:noWrap w:val="0"/>
            <w:vAlign w:val="center"/>
          </w:tcPr>
          <w:p>
            <w:pPr>
              <w:keepNext w:val="0"/>
              <w:keepLines w:val="0"/>
              <w:pageBreakBefore w:val="0"/>
              <w:numPr>
                <w:ilvl w:val="0"/>
                <w:numId w:val="0"/>
              </w:numPr>
              <w:kinsoku/>
              <w:wordWrap/>
              <w:overflowPunct/>
              <w:topLinePunct w:val="0"/>
              <w:autoSpaceDE/>
              <w:autoSpaceDN/>
              <w:bidi w:val="0"/>
              <w:spacing w:line="240" w:lineRule="auto"/>
              <w:ind w:left="0" w:leftChars="0" w:firstLine="0" w:firstLineChars="0"/>
              <w:jc w:val="center"/>
              <w:rPr>
                <w:rFonts w:hint="eastAsia" w:ascii="宋体" w:hAnsi="宋体" w:eastAsia="宋体" w:cs="宋体"/>
                <w:b w:val="0"/>
                <w:bCs w:val="0"/>
                <w:color w:val="auto"/>
                <w:kern w:val="2"/>
                <w:sz w:val="24"/>
                <w:szCs w:val="24"/>
                <w:highlight w:val="none"/>
                <w:vertAlign w:val="baseline"/>
                <w:lang w:val="en-US" w:eastAsia="zh-CN" w:bidi="ar-SA"/>
              </w:rPr>
            </w:pPr>
            <w:r>
              <w:rPr>
                <w:rFonts w:hint="eastAsia" w:ascii="宋体" w:hAnsi="宋体" w:eastAsia="宋体" w:cs="宋体"/>
                <w:b w:val="0"/>
                <w:bCs w:val="0"/>
                <w:color w:val="auto"/>
                <w:sz w:val="24"/>
                <w:szCs w:val="24"/>
                <w:highlight w:val="none"/>
                <w:lang w:val="en-US" w:eastAsia="zh-CN"/>
              </w:rPr>
              <w:t>T3:综合车间及应急池、4-甲基二苯胺</w:t>
            </w:r>
          </w:p>
        </w:tc>
        <w:tc>
          <w:tcPr>
            <w:tcW w:w="780"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firstLine="0" w:firstLineChars="0"/>
              <w:jc w:val="center"/>
              <w:textAlignment w:val="center"/>
              <w:rPr>
                <w:rFonts w:hint="eastAsia" w:ascii="宋体" w:hAnsi="宋体" w:eastAsia="宋体" w:cs="宋体"/>
                <w:color w:val="auto"/>
                <w:spacing w:val="0"/>
                <w:kern w:val="2"/>
                <w:sz w:val="24"/>
                <w:szCs w:val="24"/>
                <w:highlight w:val="none"/>
                <w:lang w:val="en-US" w:eastAsia="zh-CN" w:bidi="ar-SA"/>
              </w:rPr>
            </w:pPr>
            <w:r>
              <w:rPr>
                <w:rFonts w:hint="eastAsia" w:ascii="宋体" w:hAnsi="宋体" w:eastAsia="宋体" w:cs="宋体"/>
                <w:color w:val="auto"/>
                <w:spacing w:val="0"/>
                <w:kern w:val="2"/>
                <w:sz w:val="24"/>
                <w:szCs w:val="24"/>
                <w:highlight w:val="none"/>
                <w:lang w:val="en-US" w:eastAsia="zh-CN" w:bidi="ar-SA"/>
              </w:rPr>
              <w:t>2023年6月8日</w:t>
            </w:r>
          </w:p>
        </w:tc>
        <w:tc>
          <w:tcPr>
            <w:tcW w:w="1449"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rPr>
              <w:t>N</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3</w:t>
            </w:r>
            <w:r>
              <w:rPr>
                <w:rFonts w:hint="eastAsia" w:ascii="宋体" w:hAnsi="宋体" w:eastAsia="宋体" w:cs="宋体"/>
                <w:color w:val="auto"/>
                <w:kern w:val="0"/>
                <w:sz w:val="24"/>
                <w:szCs w:val="24"/>
                <w:highlight w:val="none"/>
                <w:lang w:val="en-US" w:eastAsia="zh-CN"/>
              </w:rPr>
              <w:t>4</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40</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28.416</w:t>
            </w:r>
            <w:r>
              <w:rPr>
                <w:rFonts w:hint="eastAsia" w:ascii="宋体" w:hAnsi="宋体" w:eastAsia="宋体" w:cs="宋体"/>
                <w:color w:val="auto"/>
                <w:kern w:val="0"/>
                <w:sz w:val="24"/>
                <w:szCs w:val="24"/>
                <w:highlight w:val="none"/>
              </w:rPr>
              <w:t>''E</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11</w:t>
            </w:r>
            <w:r>
              <w:rPr>
                <w:rFonts w:hint="eastAsia" w:ascii="宋体" w:hAnsi="宋体" w:eastAsia="宋体" w:cs="宋体"/>
                <w:color w:val="auto"/>
                <w:kern w:val="0"/>
                <w:sz w:val="24"/>
                <w:szCs w:val="24"/>
                <w:highlight w:val="none"/>
                <w:lang w:val="en-US" w:eastAsia="zh-CN"/>
              </w:rPr>
              <w:t>1</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35</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28.003</w:t>
            </w:r>
            <w:r>
              <w:rPr>
                <w:rFonts w:hint="eastAsia" w:ascii="宋体" w:hAnsi="宋体" w:eastAsia="宋体" w:cs="宋体"/>
                <w:color w:val="auto"/>
                <w:kern w:val="0"/>
                <w:sz w:val="24"/>
                <w:szCs w:val="24"/>
                <w:highlight w:val="none"/>
              </w:rPr>
              <w:t>''</w:t>
            </w:r>
          </w:p>
        </w:tc>
        <w:tc>
          <w:tcPr>
            <w:tcW w:w="119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firstLine="0" w:firstLineChars="0"/>
              <w:jc w:val="center"/>
              <w:textAlignment w:val="center"/>
              <w:rPr>
                <w:rFonts w:hint="eastAsia" w:ascii="宋体" w:hAnsi="宋体" w:eastAsia="宋体" w:cs="宋体"/>
                <w:color w:val="auto"/>
                <w:spacing w:val="0"/>
                <w:sz w:val="24"/>
                <w:szCs w:val="24"/>
                <w:highlight w:val="none"/>
                <w:lang w:val="en-US" w:eastAsia="zh-CN"/>
              </w:rPr>
            </w:pPr>
            <w:r>
              <w:rPr>
                <w:rFonts w:hint="eastAsia" w:ascii="宋体" w:hAnsi="宋体" w:eastAsia="宋体" w:cs="宋体"/>
                <w:color w:val="auto"/>
                <w:spacing w:val="0"/>
                <w:kern w:val="0"/>
                <w:sz w:val="24"/>
                <w:szCs w:val="24"/>
                <w:highlight w:val="none"/>
              </w:rPr>
              <w:t>固态、</w:t>
            </w:r>
            <w:r>
              <w:rPr>
                <w:rFonts w:hint="eastAsia" w:ascii="宋体" w:hAnsi="宋体" w:eastAsia="宋体" w:cs="宋体"/>
                <w:color w:val="auto"/>
                <w:spacing w:val="0"/>
                <w:kern w:val="0"/>
                <w:sz w:val="24"/>
                <w:szCs w:val="24"/>
                <w:highlight w:val="none"/>
                <w:lang w:val="en-US" w:eastAsia="zh-CN"/>
              </w:rPr>
              <w:t>红</w:t>
            </w:r>
            <w:r>
              <w:rPr>
                <w:rFonts w:hint="eastAsia" w:ascii="宋体" w:hAnsi="宋体" w:eastAsia="宋体" w:cs="宋体"/>
                <w:color w:val="auto"/>
                <w:spacing w:val="0"/>
                <w:kern w:val="0"/>
                <w:sz w:val="24"/>
                <w:szCs w:val="24"/>
                <w:highlight w:val="none"/>
              </w:rPr>
              <w:t>色、</w:t>
            </w:r>
            <w:r>
              <w:rPr>
                <w:rFonts w:hint="eastAsia" w:ascii="宋体" w:hAnsi="宋体" w:eastAsia="宋体" w:cs="宋体"/>
                <w:color w:val="auto"/>
                <w:spacing w:val="0"/>
                <w:kern w:val="0"/>
                <w:sz w:val="24"/>
                <w:szCs w:val="24"/>
                <w:highlight w:val="none"/>
                <w:lang w:val="en-US" w:eastAsia="zh-CN"/>
              </w:rPr>
              <w:t>壤土</w:t>
            </w:r>
            <w:r>
              <w:rPr>
                <w:rFonts w:hint="eastAsia" w:ascii="宋体" w:hAnsi="宋体" w:eastAsia="宋体" w:cs="宋体"/>
                <w:color w:val="auto"/>
                <w:spacing w:val="0"/>
                <w:kern w:val="0"/>
                <w:sz w:val="24"/>
                <w:szCs w:val="24"/>
                <w:highlight w:val="none"/>
              </w:rPr>
              <w:t>、</w:t>
            </w:r>
            <w:r>
              <w:rPr>
                <w:rFonts w:hint="eastAsia" w:ascii="宋体" w:hAnsi="宋体" w:eastAsia="宋体" w:cs="宋体"/>
                <w:color w:val="auto"/>
                <w:spacing w:val="0"/>
                <w:kern w:val="0"/>
                <w:sz w:val="24"/>
                <w:szCs w:val="24"/>
                <w:highlight w:val="none"/>
                <w:lang w:val="en-US" w:eastAsia="zh-CN"/>
              </w:rPr>
              <w:t>干燥</w:t>
            </w:r>
            <w:r>
              <w:rPr>
                <w:rFonts w:hint="eastAsia" w:ascii="宋体" w:hAnsi="宋体" w:eastAsia="宋体" w:cs="宋体"/>
                <w:color w:val="auto"/>
                <w:spacing w:val="0"/>
                <w:kern w:val="0"/>
                <w:sz w:val="24"/>
                <w:szCs w:val="24"/>
                <w:highlight w:val="none"/>
              </w:rPr>
              <w:t>、</w:t>
            </w:r>
            <w:r>
              <w:rPr>
                <w:rFonts w:hint="eastAsia" w:ascii="宋体" w:hAnsi="宋体" w:eastAsia="宋体" w:cs="宋体"/>
                <w:color w:val="auto"/>
                <w:spacing w:val="0"/>
                <w:kern w:val="0"/>
                <w:sz w:val="24"/>
                <w:szCs w:val="24"/>
                <w:highlight w:val="none"/>
                <w:lang w:val="en-US" w:eastAsia="zh-CN"/>
              </w:rPr>
              <w:t>无</w:t>
            </w:r>
            <w:r>
              <w:rPr>
                <w:rFonts w:hint="eastAsia" w:ascii="宋体" w:hAnsi="宋体" w:eastAsia="宋体" w:cs="宋体"/>
                <w:color w:val="auto"/>
                <w:spacing w:val="0"/>
                <w:kern w:val="0"/>
                <w:sz w:val="24"/>
                <w:szCs w:val="24"/>
                <w:highlight w:val="none"/>
              </w:rPr>
              <w:t>砂粒、</w:t>
            </w:r>
            <w:r>
              <w:rPr>
                <w:rFonts w:hint="eastAsia" w:ascii="宋体" w:hAnsi="宋体" w:eastAsia="宋体" w:cs="宋体"/>
                <w:color w:val="auto"/>
                <w:spacing w:val="0"/>
                <w:kern w:val="0"/>
                <w:sz w:val="24"/>
                <w:szCs w:val="24"/>
                <w:highlight w:val="none"/>
                <w:lang w:val="en-US" w:eastAsia="zh-CN"/>
              </w:rPr>
              <w:t>少量根系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3" w:hRule="atLeast"/>
          <w:jc w:val="center"/>
        </w:trPr>
        <w:tc>
          <w:tcPr>
            <w:tcW w:w="414"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firstLine="0" w:firstLineChars="0"/>
              <w:jc w:val="center"/>
              <w:rPr>
                <w:rFonts w:hint="eastAsia" w:ascii="宋体" w:hAnsi="宋体" w:eastAsia="宋体" w:cs="宋体"/>
                <w:color w:val="auto"/>
                <w:spacing w:val="0"/>
                <w:sz w:val="24"/>
                <w:szCs w:val="24"/>
                <w:highlight w:val="none"/>
                <w:lang w:eastAsia="zh-CN"/>
              </w:rPr>
            </w:pPr>
          </w:p>
        </w:tc>
        <w:tc>
          <w:tcPr>
            <w:tcW w:w="1157" w:type="pct"/>
            <w:tcBorders>
              <w:tl2br w:val="nil"/>
              <w:tr2bl w:val="nil"/>
            </w:tcBorders>
            <w:noWrap w:val="0"/>
            <w:vAlign w:val="center"/>
          </w:tcPr>
          <w:p>
            <w:pPr>
              <w:keepNext w:val="0"/>
              <w:keepLines w:val="0"/>
              <w:pageBreakBefore w:val="0"/>
              <w:numPr>
                <w:ilvl w:val="0"/>
                <w:numId w:val="0"/>
              </w:numPr>
              <w:kinsoku/>
              <w:wordWrap/>
              <w:overflowPunct/>
              <w:topLinePunct w:val="0"/>
              <w:autoSpaceDE/>
              <w:autoSpaceDN/>
              <w:bidi w:val="0"/>
              <w:spacing w:line="240" w:lineRule="auto"/>
              <w:ind w:left="0" w:leftChars="0" w:firstLine="0" w:firstLineChars="0"/>
              <w:jc w:val="center"/>
              <w:rPr>
                <w:rFonts w:hint="eastAsia" w:ascii="宋体" w:hAnsi="宋体" w:eastAsia="宋体" w:cs="宋体"/>
                <w:b w:val="0"/>
                <w:bCs w:val="0"/>
                <w:color w:val="auto"/>
                <w:kern w:val="2"/>
                <w:sz w:val="24"/>
                <w:szCs w:val="24"/>
                <w:highlight w:val="none"/>
                <w:vertAlign w:val="baseline"/>
                <w:lang w:val="en-US" w:eastAsia="zh-CN" w:bidi="ar-SA"/>
              </w:rPr>
            </w:pPr>
            <w:r>
              <w:rPr>
                <w:rFonts w:hint="eastAsia" w:ascii="宋体" w:hAnsi="宋体" w:eastAsia="宋体" w:cs="宋体"/>
                <w:b w:val="0"/>
                <w:bCs w:val="0"/>
                <w:color w:val="auto"/>
                <w:sz w:val="24"/>
                <w:szCs w:val="24"/>
                <w:highlight w:val="none"/>
                <w:lang w:val="en-US" w:eastAsia="zh-CN"/>
              </w:rPr>
              <w:t>T4:固废、危废暂存间</w:t>
            </w:r>
          </w:p>
        </w:tc>
        <w:tc>
          <w:tcPr>
            <w:tcW w:w="780"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firstLine="0" w:firstLineChars="0"/>
              <w:jc w:val="center"/>
              <w:textAlignment w:val="center"/>
              <w:rPr>
                <w:rFonts w:hint="eastAsia" w:ascii="宋体" w:hAnsi="宋体" w:eastAsia="宋体" w:cs="宋体"/>
                <w:color w:val="auto"/>
                <w:spacing w:val="0"/>
                <w:kern w:val="2"/>
                <w:sz w:val="24"/>
                <w:szCs w:val="24"/>
                <w:highlight w:val="none"/>
                <w:lang w:val="en-US" w:eastAsia="zh-CN" w:bidi="ar-SA"/>
              </w:rPr>
            </w:pPr>
            <w:r>
              <w:rPr>
                <w:rFonts w:hint="eastAsia" w:ascii="宋体" w:hAnsi="宋体" w:eastAsia="宋体" w:cs="宋体"/>
                <w:color w:val="auto"/>
                <w:spacing w:val="0"/>
                <w:kern w:val="2"/>
                <w:sz w:val="24"/>
                <w:szCs w:val="24"/>
                <w:highlight w:val="none"/>
                <w:lang w:val="en-US" w:eastAsia="zh-CN" w:bidi="ar-SA"/>
              </w:rPr>
              <w:t>2023年6月8日</w:t>
            </w:r>
          </w:p>
        </w:tc>
        <w:tc>
          <w:tcPr>
            <w:tcW w:w="1449"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rPr>
              <w:t>N</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3</w:t>
            </w:r>
            <w:r>
              <w:rPr>
                <w:rFonts w:hint="eastAsia" w:ascii="宋体" w:hAnsi="宋体" w:eastAsia="宋体" w:cs="宋体"/>
                <w:color w:val="auto"/>
                <w:kern w:val="0"/>
                <w:sz w:val="24"/>
                <w:szCs w:val="24"/>
                <w:highlight w:val="none"/>
                <w:lang w:val="en-US" w:eastAsia="zh-CN"/>
              </w:rPr>
              <w:t>4</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40</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27.146</w:t>
            </w:r>
            <w:r>
              <w:rPr>
                <w:rFonts w:hint="eastAsia" w:ascii="宋体" w:hAnsi="宋体" w:eastAsia="宋体" w:cs="宋体"/>
                <w:color w:val="auto"/>
                <w:kern w:val="0"/>
                <w:sz w:val="24"/>
                <w:szCs w:val="24"/>
                <w:highlight w:val="none"/>
              </w:rPr>
              <w:t>''E</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11</w:t>
            </w:r>
            <w:r>
              <w:rPr>
                <w:rFonts w:hint="eastAsia" w:ascii="宋体" w:hAnsi="宋体" w:eastAsia="宋体" w:cs="宋体"/>
                <w:color w:val="auto"/>
                <w:kern w:val="0"/>
                <w:sz w:val="24"/>
                <w:szCs w:val="24"/>
                <w:highlight w:val="none"/>
                <w:lang w:val="en-US" w:eastAsia="zh-CN"/>
              </w:rPr>
              <w:t>1</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35</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28.100</w:t>
            </w:r>
            <w:r>
              <w:rPr>
                <w:rFonts w:hint="eastAsia" w:ascii="宋体" w:hAnsi="宋体" w:eastAsia="宋体" w:cs="宋体"/>
                <w:color w:val="auto"/>
                <w:kern w:val="0"/>
                <w:sz w:val="24"/>
                <w:szCs w:val="24"/>
                <w:highlight w:val="none"/>
              </w:rPr>
              <w:t>''</w:t>
            </w:r>
          </w:p>
        </w:tc>
        <w:tc>
          <w:tcPr>
            <w:tcW w:w="119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firstLine="0" w:firstLineChars="0"/>
              <w:jc w:val="center"/>
              <w:textAlignment w:val="center"/>
              <w:rPr>
                <w:rFonts w:hint="eastAsia" w:ascii="宋体" w:hAnsi="宋体" w:eastAsia="宋体" w:cs="宋体"/>
                <w:color w:val="auto"/>
                <w:spacing w:val="0"/>
                <w:sz w:val="24"/>
                <w:szCs w:val="24"/>
                <w:highlight w:val="none"/>
                <w:lang w:val="en-US" w:eastAsia="zh-CN"/>
              </w:rPr>
            </w:pPr>
            <w:r>
              <w:rPr>
                <w:rFonts w:hint="eastAsia" w:ascii="宋体" w:hAnsi="宋体" w:eastAsia="宋体" w:cs="宋体"/>
                <w:color w:val="auto"/>
                <w:spacing w:val="0"/>
                <w:kern w:val="0"/>
                <w:sz w:val="24"/>
                <w:szCs w:val="24"/>
                <w:highlight w:val="none"/>
              </w:rPr>
              <w:t>固态、</w:t>
            </w:r>
            <w:r>
              <w:rPr>
                <w:rFonts w:hint="eastAsia" w:ascii="宋体" w:hAnsi="宋体" w:eastAsia="宋体" w:cs="宋体"/>
                <w:color w:val="auto"/>
                <w:spacing w:val="0"/>
                <w:kern w:val="0"/>
                <w:sz w:val="24"/>
                <w:szCs w:val="24"/>
                <w:highlight w:val="none"/>
                <w:lang w:val="en-US" w:eastAsia="zh-CN"/>
              </w:rPr>
              <w:t>红</w:t>
            </w:r>
            <w:r>
              <w:rPr>
                <w:rFonts w:hint="eastAsia" w:ascii="宋体" w:hAnsi="宋体" w:eastAsia="宋体" w:cs="宋体"/>
                <w:color w:val="auto"/>
                <w:spacing w:val="0"/>
                <w:kern w:val="0"/>
                <w:sz w:val="24"/>
                <w:szCs w:val="24"/>
                <w:highlight w:val="none"/>
              </w:rPr>
              <w:t>色、</w:t>
            </w:r>
            <w:r>
              <w:rPr>
                <w:rFonts w:hint="eastAsia" w:ascii="宋体" w:hAnsi="宋体" w:eastAsia="宋体" w:cs="宋体"/>
                <w:color w:val="auto"/>
                <w:spacing w:val="0"/>
                <w:kern w:val="0"/>
                <w:sz w:val="24"/>
                <w:szCs w:val="24"/>
                <w:highlight w:val="none"/>
                <w:lang w:val="en-US" w:eastAsia="zh-CN"/>
              </w:rPr>
              <w:t>壤土</w:t>
            </w:r>
            <w:r>
              <w:rPr>
                <w:rFonts w:hint="eastAsia" w:ascii="宋体" w:hAnsi="宋体" w:eastAsia="宋体" w:cs="宋体"/>
                <w:color w:val="auto"/>
                <w:spacing w:val="0"/>
                <w:kern w:val="0"/>
                <w:sz w:val="24"/>
                <w:szCs w:val="24"/>
                <w:highlight w:val="none"/>
              </w:rPr>
              <w:t>、</w:t>
            </w:r>
            <w:r>
              <w:rPr>
                <w:rFonts w:hint="eastAsia" w:ascii="宋体" w:hAnsi="宋体" w:eastAsia="宋体" w:cs="宋体"/>
                <w:color w:val="auto"/>
                <w:spacing w:val="0"/>
                <w:kern w:val="0"/>
                <w:sz w:val="24"/>
                <w:szCs w:val="24"/>
                <w:highlight w:val="none"/>
                <w:lang w:val="en-US" w:eastAsia="zh-CN"/>
              </w:rPr>
              <w:t>干燥</w:t>
            </w:r>
            <w:r>
              <w:rPr>
                <w:rFonts w:hint="eastAsia" w:ascii="宋体" w:hAnsi="宋体" w:eastAsia="宋体" w:cs="宋体"/>
                <w:color w:val="auto"/>
                <w:spacing w:val="0"/>
                <w:kern w:val="0"/>
                <w:sz w:val="24"/>
                <w:szCs w:val="24"/>
                <w:highlight w:val="none"/>
              </w:rPr>
              <w:t>、</w:t>
            </w:r>
            <w:r>
              <w:rPr>
                <w:rFonts w:hint="eastAsia" w:ascii="宋体" w:hAnsi="宋体" w:eastAsia="宋体" w:cs="宋体"/>
                <w:color w:val="auto"/>
                <w:spacing w:val="0"/>
                <w:kern w:val="0"/>
                <w:sz w:val="24"/>
                <w:szCs w:val="24"/>
                <w:highlight w:val="none"/>
                <w:lang w:val="en-US" w:eastAsia="zh-CN"/>
              </w:rPr>
              <w:t>无</w:t>
            </w:r>
            <w:r>
              <w:rPr>
                <w:rFonts w:hint="eastAsia" w:ascii="宋体" w:hAnsi="宋体" w:eastAsia="宋体" w:cs="宋体"/>
                <w:color w:val="auto"/>
                <w:spacing w:val="0"/>
                <w:kern w:val="0"/>
                <w:sz w:val="24"/>
                <w:szCs w:val="24"/>
                <w:highlight w:val="none"/>
              </w:rPr>
              <w:t>砂粒、</w:t>
            </w:r>
            <w:r>
              <w:rPr>
                <w:rFonts w:hint="eastAsia" w:ascii="宋体" w:hAnsi="宋体" w:eastAsia="宋体" w:cs="宋体"/>
                <w:color w:val="auto"/>
                <w:spacing w:val="0"/>
                <w:kern w:val="0"/>
                <w:sz w:val="24"/>
                <w:szCs w:val="24"/>
                <w:highlight w:val="none"/>
                <w:lang w:val="en-US" w:eastAsia="zh-CN"/>
              </w:rPr>
              <w:t>少量根系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3" w:hRule="atLeast"/>
          <w:jc w:val="center"/>
        </w:trPr>
        <w:tc>
          <w:tcPr>
            <w:tcW w:w="414"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firstLine="0" w:firstLineChars="0"/>
              <w:jc w:val="center"/>
              <w:rPr>
                <w:rFonts w:hint="eastAsia" w:ascii="宋体" w:hAnsi="宋体" w:eastAsia="宋体" w:cs="宋体"/>
                <w:color w:val="auto"/>
                <w:spacing w:val="0"/>
                <w:sz w:val="24"/>
                <w:szCs w:val="24"/>
                <w:highlight w:val="none"/>
                <w:lang w:eastAsia="zh-CN"/>
              </w:rPr>
            </w:pPr>
          </w:p>
        </w:tc>
        <w:tc>
          <w:tcPr>
            <w:tcW w:w="1157" w:type="pct"/>
            <w:tcBorders>
              <w:tl2br w:val="nil"/>
              <w:tr2bl w:val="nil"/>
            </w:tcBorders>
            <w:noWrap w:val="0"/>
            <w:vAlign w:val="center"/>
          </w:tcPr>
          <w:p>
            <w:pPr>
              <w:keepNext w:val="0"/>
              <w:keepLines w:val="0"/>
              <w:pageBreakBefore w:val="0"/>
              <w:numPr>
                <w:ilvl w:val="0"/>
                <w:numId w:val="0"/>
              </w:numPr>
              <w:kinsoku/>
              <w:wordWrap/>
              <w:overflowPunct/>
              <w:topLinePunct w:val="0"/>
              <w:autoSpaceDE/>
              <w:autoSpaceDN/>
              <w:bidi w:val="0"/>
              <w:spacing w:line="240" w:lineRule="auto"/>
              <w:ind w:left="0" w:leftChars="0" w:firstLine="0" w:firstLineChars="0"/>
              <w:jc w:val="center"/>
              <w:rPr>
                <w:rFonts w:hint="eastAsia" w:ascii="宋体" w:hAnsi="宋体" w:eastAsia="宋体" w:cs="宋体"/>
                <w:b w:val="0"/>
                <w:bCs w:val="0"/>
                <w:color w:val="auto"/>
                <w:kern w:val="2"/>
                <w:sz w:val="24"/>
                <w:szCs w:val="24"/>
                <w:highlight w:val="none"/>
                <w:vertAlign w:val="baseline"/>
                <w:lang w:val="en-US" w:eastAsia="zh-CN" w:bidi="ar-SA"/>
              </w:rPr>
            </w:pPr>
            <w:r>
              <w:rPr>
                <w:rFonts w:hint="eastAsia" w:ascii="宋体" w:hAnsi="宋体" w:eastAsia="宋体" w:cs="宋体"/>
                <w:b w:val="0"/>
                <w:bCs w:val="0"/>
                <w:color w:val="auto"/>
                <w:sz w:val="24"/>
                <w:szCs w:val="24"/>
                <w:highlight w:val="none"/>
                <w:lang w:val="en-US" w:eastAsia="zh-CN"/>
              </w:rPr>
              <w:t>T5:1-4酸钠盐、尼文酸车间、1#2#仓库</w:t>
            </w:r>
          </w:p>
        </w:tc>
        <w:tc>
          <w:tcPr>
            <w:tcW w:w="780"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firstLine="0" w:firstLineChars="0"/>
              <w:jc w:val="center"/>
              <w:textAlignment w:val="center"/>
              <w:rPr>
                <w:rFonts w:hint="eastAsia" w:ascii="宋体" w:hAnsi="宋体" w:eastAsia="宋体" w:cs="宋体"/>
                <w:color w:val="auto"/>
                <w:spacing w:val="0"/>
                <w:kern w:val="2"/>
                <w:sz w:val="24"/>
                <w:szCs w:val="24"/>
                <w:highlight w:val="none"/>
                <w:lang w:val="en-US" w:eastAsia="zh-CN" w:bidi="ar-SA"/>
              </w:rPr>
            </w:pPr>
            <w:r>
              <w:rPr>
                <w:rFonts w:hint="eastAsia" w:ascii="宋体" w:hAnsi="宋体" w:eastAsia="宋体" w:cs="宋体"/>
                <w:color w:val="auto"/>
                <w:spacing w:val="0"/>
                <w:kern w:val="2"/>
                <w:sz w:val="24"/>
                <w:szCs w:val="24"/>
                <w:highlight w:val="none"/>
                <w:lang w:val="en-US" w:eastAsia="zh-CN" w:bidi="ar-SA"/>
              </w:rPr>
              <w:t>2023年6月8日</w:t>
            </w:r>
          </w:p>
        </w:tc>
        <w:tc>
          <w:tcPr>
            <w:tcW w:w="1449"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rPr>
              <w:t>N</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3</w:t>
            </w:r>
            <w:r>
              <w:rPr>
                <w:rFonts w:hint="eastAsia" w:ascii="宋体" w:hAnsi="宋体" w:eastAsia="宋体" w:cs="宋体"/>
                <w:color w:val="auto"/>
                <w:kern w:val="0"/>
                <w:sz w:val="24"/>
                <w:szCs w:val="24"/>
                <w:highlight w:val="none"/>
                <w:lang w:val="en-US" w:eastAsia="zh-CN"/>
              </w:rPr>
              <w:t>4</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40</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30.767</w:t>
            </w:r>
            <w:r>
              <w:rPr>
                <w:rFonts w:hint="eastAsia" w:ascii="宋体" w:hAnsi="宋体" w:eastAsia="宋体" w:cs="宋体"/>
                <w:color w:val="auto"/>
                <w:kern w:val="0"/>
                <w:sz w:val="24"/>
                <w:szCs w:val="24"/>
                <w:highlight w:val="none"/>
              </w:rPr>
              <w:t>''E</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11</w:t>
            </w:r>
            <w:r>
              <w:rPr>
                <w:rFonts w:hint="eastAsia" w:ascii="宋体" w:hAnsi="宋体" w:eastAsia="宋体" w:cs="宋体"/>
                <w:color w:val="auto"/>
                <w:kern w:val="0"/>
                <w:sz w:val="24"/>
                <w:szCs w:val="24"/>
                <w:highlight w:val="none"/>
                <w:lang w:val="en-US" w:eastAsia="zh-CN"/>
              </w:rPr>
              <w:t>1</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35</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19.661</w:t>
            </w:r>
            <w:r>
              <w:rPr>
                <w:rFonts w:hint="eastAsia" w:ascii="宋体" w:hAnsi="宋体" w:eastAsia="宋体" w:cs="宋体"/>
                <w:color w:val="auto"/>
                <w:kern w:val="0"/>
                <w:sz w:val="24"/>
                <w:szCs w:val="24"/>
                <w:highlight w:val="none"/>
              </w:rPr>
              <w:t>''</w:t>
            </w:r>
          </w:p>
        </w:tc>
        <w:tc>
          <w:tcPr>
            <w:tcW w:w="119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firstLine="0" w:firstLineChars="0"/>
              <w:jc w:val="center"/>
              <w:textAlignment w:val="center"/>
              <w:rPr>
                <w:rFonts w:hint="eastAsia" w:ascii="宋体" w:hAnsi="宋体" w:eastAsia="宋体" w:cs="宋体"/>
                <w:color w:val="auto"/>
                <w:spacing w:val="0"/>
                <w:kern w:val="2"/>
                <w:sz w:val="24"/>
                <w:szCs w:val="24"/>
                <w:highlight w:val="none"/>
                <w:lang w:val="en-US" w:eastAsia="zh-CN" w:bidi="ar-SA"/>
              </w:rPr>
            </w:pPr>
            <w:r>
              <w:rPr>
                <w:rFonts w:hint="eastAsia" w:ascii="宋体" w:hAnsi="宋体" w:eastAsia="宋体" w:cs="宋体"/>
                <w:color w:val="auto"/>
                <w:spacing w:val="0"/>
                <w:kern w:val="0"/>
                <w:sz w:val="24"/>
                <w:szCs w:val="24"/>
                <w:highlight w:val="none"/>
              </w:rPr>
              <w:t>固态、</w:t>
            </w:r>
            <w:r>
              <w:rPr>
                <w:rFonts w:hint="eastAsia" w:ascii="宋体" w:hAnsi="宋体" w:eastAsia="宋体" w:cs="宋体"/>
                <w:color w:val="auto"/>
                <w:spacing w:val="0"/>
                <w:kern w:val="0"/>
                <w:sz w:val="24"/>
                <w:szCs w:val="24"/>
                <w:highlight w:val="none"/>
                <w:lang w:val="en-US" w:eastAsia="zh-CN"/>
              </w:rPr>
              <w:t>红</w:t>
            </w:r>
            <w:r>
              <w:rPr>
                <w:rFonts w:hint="eastAsia" w:ascii="宋体" w:hAnsi="宋体" w:eastAsia="宋体" w:cs="宋体"/>
                <w:color w:val="auto"/>
                <w:spacing w:val="0"/>
                <w:kern w:val="0"/>
                <w:sz w:val="24"/>
                <w:szCs w:val="24"/>
                <w:highlight w:val="none"/>
              </w:rPr>
              <w:t>色、</w:t>
            </w:r>
            <w:r>
              <w:rPr>
                <w:rFonts w:hint="eastAsia" w:ascii="宋体" w:hAnsi="宋体" w:eastAsia="宋体" w:cs="宋体"/>
                <w:color w:val="auto"/>
                <w:spacing w:val="0"/>
                <w:kern w:val="0"/>
                <w:sz w:val="24"/>
                <w:szCs w:val="24"/>
                <w:highlight w:val="none"/>
                <w:lang w:val="en-US" w:eastAsia="zh-CN"/>
              </w:rPr>
              <w:t>壤土</w:t>
            </w:r>
            <w:r>
              <w:rPr>
                <w:rFonts w:hint="eastAsia" w:ascii="宋体" w:hAnsi="宋体" w:eastAsia="宋体" w:cs="宋体"/>
                <w:color w:val="auto"/>
                <w:spacing w:val="0"/>
                <w:kern w:val="0"/>
                <w:sz w:val="24"/>
                <w:szCs w:val="24"/>
                <w:highlight w:val="none"/>
              </w:rPr>
              <w:t>、</w:t>
            </w:r>
            <w:r>
              <w:rPr>
                <w:rFonts w:hint="eastAsia" w:ascii="宋体" w:hAnsi="宋体" w:eastAsia="宋体" w:cs="宋体"/>
                <w:color w:val="auto"/>
                <w:spacing w:val="0"/>
                <w:kern w:val="0"/>
                <w:sz w:val="24"/>
                <w:szCs w:val="24"/>
                <w:highlight w:val="none"/>
                <w:lang w:val="en-US" w:eastAsia="zh-CN"/>
              </w:rPr>
              <w:t>干燥</w:t>
            </w:r>
            <w:r>
              <w:rPr>
                <w:rFonts w:hint="eastAsia" w:ascii="宋体" w:hAnsi="宋体" w:eastAsia="宋体" w:cs="宋体"/>
                <w:color w:val="auto"/>
                <w:spacing w:val="0"/>
                <w:kern w:val="0"/>
                <w:sz w:val="24"/>
                <w:szCs w:val="24"/>
                <w:highlight w:val="none"/>
              </w:rPr>
              <w:t>、</w:t>
            </w:r>
            <w:r>
              <w:rPr>
                <w:rFonts w:hint="eastAsia" w:ascii="宋体" w:hAnsi="宋体" w:eastAsia="宋体" w:cs="宋体"/>
                <w:color w:val="auto"/>
                <w:spacing w:val="0"/>
                <w:kern w:val="0"/>
                <w:sz w:val="24"/>
                <w:szCs w:val="24"/>
                <w:highlight w:val="none"/>
                <w:lang w:val="en-US" w:eastAsia="zh-CN"/>
              </w:rPr>
              <w:t>无</w:t>
            </w:r>
            <w:r>
              <w:rPr>
                <w:rFonts w:hint="eastAsia" w:ascii="宋体" w:hAnsi="宋体" w:eastAsia="宋体" w:cs="宋体"/>
                <w:color w:val="auto"/>
                <w:spacing w:val="0"/>
                <w:kern w:val="0"/>
                <w:sz w:val="24"/>
                <w:szCs w:val="24"/>
                <w:highlight w:val="none"/>
              </w:rPr>
              <w:t>砂粒、</w:t>
            </w:r>
            <w:r>
              <w:rPr>
                <w:rFonts w:hint="eastAsia" w:ascii="宋体" w:hAnsi="宋体" w:eastAsia="宋体" w:cs="宋体"/>
                <w:color w:val="auto"/>
                <w:spacing w:val="0"/>
                <w:kern w:val="0"/>
                <w:sz w:val="24"/>
                <w:szCs w:val="24"/>
                <w:highlight w:val="none"/>
                <w:lang w:val="en-US" w:eastAsia="zh-CN"/>
              </w:rPr>
              <w:t>少量根系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3" w:hRule="atLeast"/>
          <w:jc w:val="center"/>
        </w:trPr>
        <w:tc>
          <w:tcPr>
            <w:tcW w:w="414"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firstLine="0" w:firstLineChars="0"/>
              <w:jc w:val="center"/>
              <w:rPr>
                <w:rFonts w:hint="eastAsia" w:ascii="宋体" w:hAnsi="宋体" w:eastAsia="宋体" w:cs="宋体"/>
                <w:color w:val="auto"/>
                <w:spacing w:val="0"/>
                <w:sz w:val="24"/>
                <w:szCs w:val="24"/>
                <w:highlight w:val="none"/>
                <w:lang w:eastAsia="zh-CN"/>
              </w:rPr>
            </w:pPr>
          </w:p>
        </w:tc>
        <w:tc>
          <w:tcPr>
            <w:tcW w:w="1157" w:type="pct"/>
            <w:tcBorders>
              <w:tl2br w:val="nil"/>
              <w:tr2bl w:val="nil"/>
            </w:tcBorders>
            <w:noWrap w:val="0"/>
            <w:vAlign w:val="center"/>
          </w:tcPr>
          <w:p>
            <w:pPr>
              <w:keepNext w:val="0"/>
              <w:keepLines w:val="0"/>
              <w:pageBreakBefore w:val="0"/>
              <w:numPr>
                <w:ilvl w:val="0"/>
                <w:numId w:val="0"/>
              </w:numPr>
              <w:kinsoku/>
              <w:wordWrap/>
              <w:overflowPunct/>
              <w:topLinePunct w:val="0"/>
              <w:autoSpaceDE/>
              <w:autoSpaceDN/>
              <w:bidi w:val="0"/>
              <w:spacing w:line="240" w:lineRule="auto"/>
              <w:ind w:left="0" w:leftChars="0" w:firstLine="0" w:firstLineChars="0"/>
              <w:jc w:val="center"/>
              <w:rPr>
                <w:rFonts w:hint="eastAsia" w:ascii="宋体" w:hAnsi="宋体" w:eastAsia="宋体" w:cs="宋体"/>
                <w:b w:val="0"/>
                <w:bCs w:val="0"/>
                <w:color w:val="auto"/>
                <w:kern w:val="2"/>
                <w:sz w:val="24"/>
                <w:szCs w:val="24"/>
                <w:highlight w:val="none"/>
                <w:vertAlign w:val="baseline"/>
                <w:lang w:val="en-US" w:eastAsia="zh-CN" w:bidi="ar-SA"/>
              </w:rPr>
            </w:pPr>
            <w:r>
              <w:rPr>
                <w:rFonts w:hint="eastAsia" w:ascii="宋体" w:hAnsi="宋体" w:eastAsia="宋体" w:cs="宋体"/>
                <w:b w:val="0"/>
                <w:bCs w:val="0"/>
                <w:color w:val="auto"/>
                <w:sz w:val="24"/>
                <w:szCs w:val="24"/>
                <w:highlight w:val="none"/>
                <w:lang w:val="en-US" w:eastAsia="zh-CN"/>
              </w:rPr>
              <w:t>T6:甲酸乙酯车间、仓库及应急池、乙醇甲酸地埋罐</w:t>
            </w:r>
          </w:p>
        </w:tc>
        <w:tc>
          <w:tcPr>
            <w:tcW w:w="780"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firstLine="0" w:firstLineChars="0"/>
              <w:jc w:val="center"/>
              <w:textAlignment w:val="center"/>
              <w:rPr>
                <w:rFonts w:hint="eastAsia" w:ascii="宋体" w:hAnsi="宋体" w:eastAsia="宋体" w:cs="宋体"/>
                <w:color w:val="auto"/>
                <w:spacing w:val="0"/>
                <w:kern w:val="2"/>
                <w:sz w:val="24"/>
                <w:szCs w:val="24"/>
                <w:highlight w:val="none"/>
                <w:lang w:val="en-US" w:eastAsia="zh-CN" w:bidi="ar-SA"/>
              </w:rPr>
            </w:pPr>
            <w:r>
              <w:rPr>
                <w:rFonts w:hint="eastAsia" w:ascii="宋体" w:hAnsi="宋体" w:eastAsia="宋体" w:cs="宋体"/>
                <w:color w:val="auto"/>
                <w:spacing w:val="0"/>
                <w:kern w:val="2"/>
                <w:sz w:val="24"/>
                <w:szCs w:val="24"/>
                <w:highlight w:val="none"/>
                <w:lang w:val="en-US" w:eastAsia="zh-CN" w:bidi="ar-SA"/>
              </w:rPr>
              <w:t>2023年6月8日</w:t>
            </w:r>
          </w:p>
        </w:tc>
        <w:tc>
          <w:tcPr>
            <w:tcW w:w="1449"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rPr>
              <w:t>N</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3</w:t>
            </w:r>
            <w:r>
              <w:rPr>
                <w:rFonts w:hint="eastAsia" w:ascii="宋体" w:hAnsi="宋体" w:eastAsia="宋体" w:cs="宋体"/>
                <w:color w:val="auto"/>
                <w:kern w:val="0"/>
                <w:sz w:val="24"/>
                <w:szCs w:val="24"/>
                <w:highlight w:val="none"/>
                <w:lang w:val="en-US" w:eastAsia="zh-CN"/>
              </w:rPr>
              <w:t>4</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40</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29.480</w:t>
            </w:r>
            <w:r>
              <w:rPr>
                <w:rFonts w:hint="eastAsia" w:ascii="宋体" w:hAnsi="宋体" w:eastAsia="宋体" w:cs="宋体"/>
                <w:color w:val="auto"/>
                <w:kern w:val="0"/>
                <w:sz w:val="24"/>
                <w:szCs w:val="24"/>
                <w:highlight w:val="none"/>
              </w:rPr>
              <w:t>''E</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11</w:t>
            </w:r>
            <w:r>
              <w:rPr>
                <w:rFonts w:hint="eastAsia" w:ascii="宋体" w:hAnsi="宋体" w:eastAsia="宋体" w:cs="宋体"/>
                <w:color w:val="auto"/>
                <w:kern w:val="0"/>
                <w:sz w:val="24"/>
                <w:szCs w:val="24"/>
                <w:highlight w:val="none"/>
                <w:lang w:val="en-US" w:eastAsia="zh-CN"/>
              </w:rPr>
              <w:t>1</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35</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22.422</w:t>
            </w:r>
            <w:r>
              <w:rPr>
                <w:rFonts w:hint="eastAsia" w:ascii="宋体" w:hAnsi="宋体" w:eastAsia="宋体" w:cs="宋体"/>
                <w:color w:val="auto"/>
                <w:kern w:val="0"/>
                <w:sz w:val="24"/>
                <w:szCs w:val="24"/>
                <w:highlight w:val="none"/>
              </w:rPr>
              <w:t>''</w:t>
            </w:r>
          </w:p>
        </w:tc>
        <w:tc>
          <w:tcPr>
            <w:tcW w:w="119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firstLine="0" w:firstLineChars="0"/>
              <w:jc w:val="center"/>
              <w:textAlignment w:val="center"/>
              <w:rPr>
                <w:rFonts w:hint="eastAsia" w:ascii="宋体" w:hAnsi="宋体" w:eastAsia="宋体" w:cs="宋体"/>
                <w:color w:val="auto"/>
                <w:spacing w:val="0"/>
                <w:kern w:val="2"/>
                <w:sz w:val="24"/>
                <w:szCs w:val="24"/>
                <w:highlight w:val="none"/>
                <w:lang w:val="en-US" w:eastAsia="zh-CN" w:bidi="ar-SA"/>
              </w:rPr>
            </w:pPr>
            <w:r>
              <w:rPr>
                <w:rFonts w:hint="eastAsia" w:ascii="宋体" w:hAnsi="宋体" w:eastAsia="宋体" w:cs="宋体"/>
                <w:color w:val="auto"/>
                <w:spacing w:val="0"/>
                <w:kern w:val="0"/>
                <w:sz w:val="24"/>
                <w:szCs w:val="24"/>
                <w:highlight w:val="none"/>
              </w:rPr>
              <w:t>固态、</w:t>
            </w:r>
            <w:r>
              <w:rPr>
                <w:rFonts w:hint="eastAsia" w:ascii="宋体" w:hAnsi="宋体" w:eastAsia="宋体" w:cs="宋体"/>
                <w:color w:val="auto"/>
                <w:spacing w:val="0"/>
                <w:kern w:val="0"/>
                <w:sz w:val="24"/>
                <w:szCs w:val="24"/>
                <w:highlight w:val="none"/>
                <w:lang w:val="en-US" w:eastAsia="zh-CN"/>
              </w:rPr>
              <w:t>红</w:t>
            </w:r>
            <w:r>
              <w:rPr>
                <w:rFonts w:hint="eastAsia" w:ascii="宋体" w:hAnsi="宋体" w:eastAsia="宋体" w:cs="宋体"/>
                <w:color w:val="auto"/>
                <w:spacing w:val="0"/>
                <w:kern w:val="0"/>
                <w:sz w:val="24"/>
                <w:szCs w:val="24"/>
                <w:highlight w:val="none"/>
              </w:rPr>
              <w:t>色、</w:t>
            </w:r>
            <w:r>
              <w:rPr>
                <w:rFonts w:hint="eastAsia" w:ascii="宋体" w:hAnsi="宋体" w:eastAsia="宋体" w:cs="宋体"/>
                <w:color w:val="auto"/>
                <w:spacing w:val="0"/>
                <w:kern w:val="0"/>
                <w:sz w:val="24"/>
                <w:szCs w:val="24"/>
                <w:highlight w:val="none"/>
                <w:lang w:val="en-US" w:eastAsia="zh-CN"/>
              </w:rPr>
              <w:t>壤土</w:t>
            </w:r>
            <w:r>
              <w:rPr>
                <w:rFonts w:hint="eastAsia" w:ascii="宋体" w:hAnsi="宋体" w:eastAsia="宋体" w:cs="宋体"/>
                <w:color w:val="auto"/>
                <w:spacing w:val="0"/>
                <w:kern w:val="0"/>
                <w:sz w:val="24"/>
                <w:szCs w:val="24"/>
                <w:highlight w:val="none"/>
              </w:rPr>
              <w:t>、</w:t>
            </w:r>
            <w:r>
              <w:rPr>
                <w:rFonts w:hint="eastAsia" w:ascii="宋体" w:hAnsi="宋体" w:eastAsia="宋体" w:cs="宋体"/>
                <w:color w:val="auto"/>
                <w:spacing w:val="0"/>
                <w:kern w:val="0"/>
                <w:sz w:val="24"/>
                <w:szCs w:val="24"/>
                <w:highlight w:val="none"/>
                <w:lang w:val="en-US" w:eastAsia="zh-CN"/>
              </w:rPr>
              <w:t>干燥</w:t>
            </w:r>
            <w:r>
              <w:rPr>
                <w:rFonts w:hint="eastAsia" w:ascii="宋体" w:hAnsi="宋体" w:eastAsia="宋体" w:cs="宋体"/>
                <w:color w:val="auto"/>
                <w:spacing w:val="0"/>
                <w:kern w:val="0"/>
                <w:sz w:val="24"/>
                <w:szCs w:val="24"/>
                <w:highlight w:val="none"/>
              </w:rPr>
              <w:t>、</w:t>
            </w:r>
            <w:r>
              <w:rPr>
                <w:rFonts w:hint="eastAsia" w:ascii="宋体" w:hAnsi="宋体" w:eastAsia="宋体" w:cs="宋体"/>
                <w:color w:val="auto"/>
                <w:spacing w:val="0"/>
                <w:kern w:val="0"/>
                <w:sz w:val="24"/>
                <w:szCs w:val="24"/>
                <w:highlight w:val="none"/>
                <w:lang w:val="en-US" w:eastAsia="zh-CN"/>
              </w:rPr>
              <w:t>无</w:t>
            </w:r>
            <w:r>
              <w:rPr>
                <w:rFonts w:hint="eastAsia" w:ascii="宋体" w:hAnsi="宋体" w:eastAsia="宋体" w:cs="宋体"/>
                <w:color w:val="auto"/>
                <w:spacing w:val="0"/>
                <w:kern w:val="0"/>
                <w:sz w:val="24"/>
                <w:szCs w:val="24"/>
                <w:highlight w:val="none"/>
              </w:rPr>
              <w:t>砂粒、</w:t>
            </w:r>
            <w:r>
              <w:rPr>
                <w:rFonts w:hint="eastAsia" w:ascii="宋体" w:hAnsi="宋体" w:eastAsia="宋体" w:cs="宋体"/>
                <w:color w:val="auto"/>
                <w:spacing w:val="0"/>
                <w:kern w:val="0"/>
                <w:sz w:val="24"/>
                <w:szCs w:val="24"/>
                <w:highlight w:val="none"/>
                <w:lang w:val="en-US" w:eastAsia="zh-CN"/>
              </w:rPr>
              <w:t>少量根系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3" w:hRule="atLeast"/>
          <w:jc w:val="center"/>
        </w:trPr>
        <w:tc>
          <w:tcPr>
            <w:tcW w:w="414"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firstLine="0" w:firstLineChars="0"/>
              <w:jc w:val="center"/>
              <w:rPr>
                <w:rFonts w:hint="eastAsia" w:ascii="宋体" w:hAnsi="宋体" w:eastAsia="宋体" w:cs="宋体"/>
                <w:color w:val="auto"/>
                <w:spacing w:val="0"/>
                <w:sz w:val="24"/>
                <w:szCs w:val="24"/>
                <w:highlight w:val="none"/>
                <w:lang w:eastAsia="zh-CN"/>
              </w:rPr>
            </w:pPr>
          </w:p>
        </w:tc>
        <w:tc>
          <w:tcPr>
            <w:tcW w:w="1157" w:type="pct"/>
            <w:tcBorders>
              <w:tl2br w:val="nil"/>
              <w:tr2bl w:val="nil"/>
            </w:tcBorders>
            <w:noWrap w:val="0"/>
            <w:vAlign w:val="center"/>
          </w:tcPr>
          <w:p>
            <w:pPr>
              <w:keepNext w:val="0"/>
              <w:keepLines w:val="0"/>
              <w:pageBreakBefore w:val="0"/>
              <w:numPr>
                <w:ilvl w:val="0"/>
                <w:numId w:val="0"/>
              </w:numPr>
              <w:kinsoku/>
              <w:wordWrap/>
              <w:overflowPunct/>
              <w:topLinePunct w:val="0"/>
              <w:autoSpaceDE/>
              <w:autoSpaceDN/>
              <w:bidi w:val="0"/>
              <w:spacing w:line="240" w:lineRule="auto"/>
              <w:ind w:left="0" w:leftChars="0" w:firstLine="0" w:firstLineChars="0"/>
              <w:jc w:val="center"/>
              <w:rPr>
                <w:rFonts w:hint="eastAsia" w:ascii="宋体" w:hAnsi="宋体" w:eastAsia="宋体" w:cs="宋体"/>
                <w:b w:val="0"/>
                <w:bCs w:val="0"/>
                <w:color w:val="auto"/>
                <w:kern w:val="2"/>
                <w:sz w:val="24"/>
                <w:szCs w:val="24"/>
                <w:highlight w:val="none"/>
                <w:vertAlign w:val="baseline"/>
                <w:lang w:val="en-US" w:eastAsia="zh-CN" w:bidi="ar-SA"/>
              </w:rPr>
            </w:pPr>
            <w:r>
              <w:rPr>
                <w:rFonts w:hint="eastAsia" w:ascii="宋体" w:hAnsi="宋体" w:eastAsia="宋体" w:cs="宋体"/>
                <w:b w:val="0"/>
                <w:bCs w:val="0"/>
                <w:color w:val="auto"/>
                <w:sz w:val="24"/>
                <w:szCs w:val="24"/>
                <w:highlight w:val="none"/>
                <w:lang w:val="en-US" w:eastAsia="zh-CN"/>
              </w:rPr>
              <w:t>T7:溴化氢车间（乙酸溶液）、二氯甲烷、双氧水、溴素储罐区</w:t>
            </w:r>
          </w:p>
        </w:tc>
        <w:tc>
          <w:tcPr>
            <w:tcW w:w="780"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firstLine="0" w:firstLineChars="0"/>
              <w:jc w:val="center"/>
              <w:textAlignment w:val="center"/>
              <w:rPr>
                <w:rFonts w:hint="eastAsia" w:ascii="宋体" w:hAnsi="宋体" w:eastAsia="宋体" w:cs="宋体"/>
                <w:color w:val="auto"/>
                <w:spacing w:val="0"/>
                <w:kern w:val="2"/>
                <w:sz w:val="24"/>
                <w:szCs w:val="24"/>
                <w:highlight w:val="none"/>
                <w:lang w:val="en-US" w:eastAsia="zh-CN" w:bidi="ar-SA"/>
              </w:rPr>
            </w:pPr>
            <w:r>
              <w:rPr>
                <w:rFonts w:hint="eastAsia" w:ascii="宋体" w:hAnsi="宋体" w:eastAsia="宋体" w:cs="宋体"/>
                <w:color w:val="auto"/>
                <w:spacing w:val="0"/>
                <w:kern w:val="2"/>
                <w:sz w:val="24"/>
                <w:szCs w:val="24"/>
                <w:highlight w:val="none"/>
                <w:lang w:val="en-US" w:eastAsia="zh-CN" w:bidi="ar-SA"/>
              </w:rPr>
              <w:t>2023年6月8日</w:t>
            </w:r>
          </w:p>
        </w:tc>
        <w:tc>
          <w:tcPr>
            <w:tcW w:w="1449"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b w:val="0"/>
                <w:bCs w:val="0"/>
                <w:color w:val="auto"/>
                <w:kern w:val="2"/>
                <w:sz w:val="24"/>
                <w:szCs w:val="24"/>
                <w:highlight w:val="none"/>
                <w:vertAlign w:val="baseline"/>
                <w:lang w:val="en-US" w:eastAsia="zh-CN" w:bidi="ar-SA"/>
              </w:rPr>
            </w:pPr>
            <w:r>
              <w:rPr>
                <w:rFonts w:hint="eastAsia" w:ascii="宋体" w:hAnsi="宋体" w:eastAsia="宋体" w:cs="宋体"/>
                <w:color w:val="auto"/>
                <w:kern w:val="0"/>
                <w:sz w:val="24"/>
                <w:szCs w:val="24"/>
                <w:highlight w:val="none"/>
              </w:rPr>
              <w:t>N</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3</w:t>
            </w:r>
            <w:r>
              <w:rPr>
                <w:rFonts w:hint="eastAsia" w:ascii="宋体" w:hAnsi="宋体" w:eastAsia="宋体" w:cs="宋体"/>
                <w:color w:val="auto"/>
                <w:kern w:val="0"/>
                <w:sz w:val="24"/>
                <w:szCs w:val="24"/>
                <w:highlight w:val="none"/>
                <w:lang w:val="en-US" w:eastAsia="zh-CN"/>
              </w:rPr>
              <w:t>4</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40</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27.130</w:t>
            </w:r>
            <w:r>
              <w:rPr>
                <w:rFonts w:hint="eastAsia" w:ascii="宋体" w:hAnsi="宋体" w:eastAsia="宋体" w:cs="宋体"/>
                <w:color w:val="auto"/>
                <w:kern w:val="0"/>
                <w:sz w:val="24"/>
                <w:szCs w:val="24"/>
                <w:highlight w:val="none"/>
              </w:rPr>
              <w:t>''E</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11</w:t>
            </w:r>
            <w:r>
              <w:rPr>
                <w:rFonts w:hint="eastAsia" w:ascii="宋体" w:hAnsi="宋体" w:eastAsia="宋体" w:cs="宋体"/>
                <w:color w:val="auto"/>
                <w:kern w:val="0"/>
                <w:sz w:val="24"/>
                <w:szCs w:val="24"/>
                <w:highlight w:val="none"/>
                <w:lang w:val="en-US" w:eastAsia="zh-CN"/>
              </w:rPr>
              <w:t>1</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35</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25.512</w:t>
            </w:r>
            <w:r>
              <w:rPr>
                <w:rFonts w:hint="eastAsia" w:ascii="宋体" w:hAnsi="宋体" w:eastAsia="宋体" w:cs="宋体"/>
                <w:color w:val="auto"/>
                <w:kern w:val="0"/>
                <w:sz w:val="24"/>
                <w:szCs w:val="24"/>
                <w:highlight w:val="none"/>
              </w:rPr>
              <w:t>''</w:t>
            </w:r>
          </w:p>
        </w:tc>
        <w:tc>
          <w:tcPr>
            <w:tcW w:w="119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firstLine="0" w:firstLineChars="0"/>
              <w:jc w:val="center"/>
              <w:textAlignment w:val="center"/>
              <w:rPr>
                <w:rFonts w:hint="eastAsia" w:ascii="宋体" w:hAnsi="宋体" w:eastAsia="宋体" w:cs="宋体"/>
                <w:color w:val="auto"/>
                <w:spacing w:val="0"/>
                <w:sz w:val="24"/>
                <w:szCs w:val="24"/>
                <w:highlight w:val="none"/>
                <w:lang w:val="en-US" w:eastAsia="zh-CN"/>
              </w:rPr>
            </w:pPr>
            <w:r>
              <w:rPr>
                <w:rFonts w:hint="eastAsia" w:ascii="宋体" w:hAnsi="宋体" w:eastAsia="宋体" w:cs="宋体"/>
                <w:color w:val="auto"/>
                <w:spacing w:val="0"/>
                <w:kern w:val="0"/>
                <w:sz w:val="24"/>
                <w:szCs w:val="24"/>
                <w:highlight w:val="none"/>
              </w:rPr>
              <w:t>固态、</w:t>
            </w:r>
            <w:r>
              <w:rPr>
                <w:rFonts w:hint="eastAsia" w:ascii="宋体" w:hAnsi="宋体" w:eastAsia="宋体" w:cs="宋体"/>
                <w:color w:val="auto"/>
                <w:spacing w:val="0"/>
                <w:kern w:val="0"/>
                <w:sz w:val="24"/>
                <w:szCs w:val="24"/>
                <w:highlight w:val="none"/>
                <w:lang w:val="en-US" w:eastAsia="zh-CN"/>
              </w:rPr>
              <w:t>红</w:t>
            </w:r>
            <w:r>
              <w:rPr>
                <w:rFonts w:hint="eastAsia" w:ascii="宋体" w:hAnsi="宋体" w:eastAsia="宋体" w:cs="宋体"/>
                <w:color w:val="auto"/>
                <w:spacing w:val="0"/>
                <w:kern w:val="0"/>
                <w:sz w:val="24"/>
                <w:szCs w:val="24"/>
                <w:highlight w:val="none"/>
              </w:rPr>
              <w:t>色、</w:t>
            </w:r>
            <w:r>
              <w:rPr>
                <w:rFonts w:hint="eastAsia" w:ascii="宋体" w:hAnsi="宋体" w:eastAsia="宋体" w:cs="宋体"/>
                <w:color w:val="auto"/>
                <w:spacing w:val="0"/>
                <w:kern w:val="0"/>
                <w:sz w:val="24"/>
                <w:szCs w:val="24"/>
                <w:highlight w:val="none"/>
                <w:lang w:val="en-US" w:eastAsia="zh-CN"/>
              </w:rPr>
              <w:t>壤土</w:t>
            </w:r>
            <w:r>
              <w:rPr>
                <w:rFonts w:hint="eastAsia" w:ascii="宋体" w:hAnsi="宋体" w:eastAsia="宋体" w:cs="宋体"/>
                <w:color w:val="auto"/>
                <w:spacing w:val="0"/>
                <w:kern w:val="0"/>
                <w:sz w:val="24"/>
                <w:szCs w:val="24"/>
                <w:highlight w:val="none"/>
              </w:rPr>
              <w:t>、</w:t>
            </w:r>
            <w:r>
              <w:rPr>
                <w:rFonts w:hint="eastAsia" w:ascii="宋体" w:hAnsi="宋体" w:eastAsia="宋体" w:cs="宋体"/>
                <w:color w:val="auto"/>
                <w:spacing w:val="0"/>
                <w:kern w:val="0"/>
                <w:sz w:val="24"/>
                <w:szCs w:val="24"/>
                <w:highlight w:val="none"/>
                <w:lang w:val="en-US" w:eastAsia="zh-CN"/>
              </w:rPr>
              <w:t>干燥</w:t>
            </w:r>
            <w:r>
              <w:rPr>
                <w:rFonts w:hint="eastAsia" w:ascii="宋体" w:hAnsi="宋体" w:eastAsia="宋体" w:cs="宋体"/>
                <w:color w:val="auto"/>
                <w:spacing w:val="0"/>
                <w:kern w:val="0"/>
                <w:sz w:val="24"/>
                <w:szCs w:val="24"/>
                <w:highlight w:val="none"/>
              </w:rPr>
              <w:t>、</w:t>
            </w:r>
            <w:r>
              <w:rPr>
                <w:rFonts w:hint="eastAsia" w:ascii="宋体" w:hAnsi="宋体" w:eastAsia="宋体" w:cs="宋体"/>
                <w:color w:val="auto"/>
                <w:spacing w:val="0"/>
                <w:kern w:val="0"/>
                <w:sz w:val="24"/>
                <w:szCs w:val="24"/>
                <w:highlight w:val="none"/>
                <w:lang w:val="en-US" w:eastAsia="zh-CN"/>
              </w:rPr>
              <w:t>无</w:t>
            </w:r>
            <w:r>
              <w:rPr>
                <w:rFonts w:hint="eastAsia" w:ascii="宋体" w:hAnsi="宋体" w:eastAsia="宋体" w:cs="宋体"/>
                <w:color w:val="auto"/>
                <w:spacing w:val="0"/>
                <w:kern w:val="0"/>
                <w:sz w:val="24"/>
                <w:szCs w:val="24"/>
                <w:highlight w:val="none"/>
              </w:rPr>
              <w:t>砂粒、</w:t>
            </w:r>
            <w:r>
              <w:rPr>
                <w:rFonts w:hint="eastAsia" w:ascii="宋体" w:hAnsi="宋体" w:eastAsia="宋体" w:cs="宋体"/>
                <w:color w:val="auto"/>
                <w:spacing w:val="0"/>
                <w:kern w:val="0"/>
                <w:sz w:val="24"/>
                <w:szCs w:val="24"/>
                <w:highlight w:val="none"/>
                <w:lang w:val="en-US" w:eastAsia="zh-CN"/>
              </w:rPr>
              <w:t>少量根系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3" w:hRule="atLeast"/>
          <w:jc w:val="center"/>
        </w:trPr>
        <w:tc>
          <w:tcPr>
            <w:tcW w:w="414"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firstLine="0" w:firstLineChars="0"/>
              <w:jc w:val="center"/>
              <w:rPr>
                <w:rFonts w:hint="eastAsia" w:ascii="宋体" w:hAnsi="宋体" w:eastAsia="宋体" w:cs="宋体"/>
                <w:color w:val="auto"/>
                <w:spacing w:val="0"/>
                <w:sz w:val="24"/>
                <w:szCs w:val="24"/>
                <w:highlight w:val="none"/>
                <w:lang w:eastAsia="zh-CN"/>
              </w:rPr>
            </w:pPr>
          </w:p>
        </w:tc>
        <w:tc>
          <w:tcPr>
            <w:tcW w:w="1157" w:type="pct"/>
            <w:tcBorders>
              <w:tl2br w:val="nil"/>
              <w:tr2bl w:val="nil"/>
            </w:tcBorders>
            <w:noWrap w:val="0"/>
            <w:vAlign w:val="center"/>
          </w:tcPr>
          <w:p>
            <w:pPr>
              <w:keepNext w:val="0"/>
              <w:keepLines w:val="0"/>
              <w:pageBreakBefore w:val="0"/>
              <w:numPr>
                <w:ilvl w:val="0"/>
                <w:numId w:val="0"/>
              </w:numPr>
              <w:kinsoku/>
              <w:wordWrap/>
              <w:overflowPunct/>
              <w:topLinePunct w:val="0"/>
              <w:autoSpaceDE/>
              <w:autoSpaceDN/>
              <w:bidi w:val="0"/>
              <w:spacing w:line="240" w:lineRule="auto"/>
              <w:ind w:left="0" w:leftChars="0" w:firstLine="0" w:firstLineChars="0"/>
              <w:jc w:val="center"/>
              <w:rPr>
                <w:rFonts w:hint="eastAsia" w:ascii="宋体" w:hAnsi="宋体" w:eastAsia="宋体" w:cs="宋体"/>
                <w:b w:val="0"/>
                <w:bCs w:val="0"/>
                <w:color w:val="auto"/>
                <w:kern w:val="2"/>
                <w:sz w:val="24"/>
                <w:szCs w:val="24"/>
                <w:highlight w:val="none"/>
                <w:lang w:val="en-US" w:eastAsia="zh-CN" w:bidi="ar-SA"/>
              </w:rPr>
            </w:pPr>
            <w:r>
              <w:rPr>
                <w:rFonts w:hint="eastAsia" w:ascii="宋体" w:hAnsi="宋体" w:eastAsia="宋体" w:cs="宋体"/>
                <w:b w:val="0"/>
                <w:bCs w:val="0"/>
                <w:color w:val="auto"/>
                <w:sz w:val="24"/>
                <w:szCs w:val="24"/>
                <w:highlight w:val="none"/>
                <w:lang w:val="en-US" w:eastAsia="zh-CN"/>
              </w:rPr>
              <w:t>T8:锅炉房缓冲池、冰醋酸储罐</w:t>
            </w:r>
          </w:p>
        </w:tc>
        <w:tc>
          <w:tcPr>
            <w:tcW w:w="780"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firstLine="0" w:firstLineChars="0"/>
              <w:jc w:val="center"/>
              <w:textAlignment w:val="center"/>
              <w:rPr>
                <w:rFonts w:hint="eastAsia" w:ascii="宋体" w:hAnsi="宋体" w:eastAsia="宋体" w:cs="宋体"/>
                <w:color w:val="auto"/>
                <w:spacing w:val="0"/>
                <w:kern w:val="2"/>
                <w:sz w:val="24"/>
                <w:szCs w:val="24"/>
                <w:highlight w:val="none"/>
                <w:lang w:val="en-US" w:eastAsia="zh-CN" w:bidi="ar-SA"/>
              </w:rPr>
            </w:pPr>
            <w:r>
              <w:rPr>
                <w:rFonts w:hint="eastAsia" w:ascii="宋体" w:hAnsi="宋体" w:eastAsia="宋体" w:cs="宋体"/>
                <w:color w:val="auto"/>
                <w:spacing w:val="0"/>
                <w:kern w:val="2"/>
                <w:sz w:val="24"/>
                <w:szCs w:val="24"/>
                <w:highlight w:val="none"/>
                <w:lang w:val="en-US" w:eastAsia="zh-CN" w:bidi="ar-SA"/>
              </w:rPr>
              <w:t>2023年6月8日</w:t>
            </w:r>
          </w:p>
        </w:tc>
        <w:tc>
          <w:tcPr>
            <w:tcW w:w="1449"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b w:val="0"/>
                <w:bCs w:val="0"/>
                <w:color w:val="auto"/>
                <w:kern w:val="2"/>
                <w:sz w:val="24"/>
                <w:szCs w:val="24"/>
                <w:highlight w:val="none"/>
                <w:vertAlign w:val="baseline"/>
                <w:lang w:val="en-US" w:eastAsia="zh-CN" w:bidi="ar-SA"/>
              </w:rPr>
            </w:pPr>
            <w:r>
              <w:rPr>
                <w:rFonts w:hint="eastAsia" w:ascii="宋体" w:hAnsi="宋体" w:eastAsia="宋体" w:cs="宋体"/>
                <w:color w:val="auto"/>
                <w:kern w:val="0"/>
                <w:sz w:val="24"/>
                <w:szCs w:val="24"/>
                <w:highlight w:val="none"/>
              </w:rPr>
              <w:t>N</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3</w:t>
            </w:r>
            <w:r>
              <w:rPr>
                <w:rFonts w:hint="eastAsia" w:ascii="宋体" w:hAnsi="宋体" w:eastAsia="宋体" w:cs="宋体"/>
                <w:color w:val="auto"/>
                <w:kern w:val="0"/>
                <w:sz w:val="24"/>
                <w:szCs w:val="24"/>
                <w:highlight w:val="none"/>
                <w:lang w:val="en-US" w:eastAsia="zh-CN"/>
              </w:rPr>
              <w:t>4</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40</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27.003</w:t>
            </w:r>
            <w:r>
              <w:rPr>
                <w:rFonts w:hint="eastAsia" w:ascii="宋体" w:hAnsi="宋体" w:eastAsia="宋体" w:cs="宋体"/>
                <w:color w:val="auto"/>
                <w:kern w:val="0"/>
                <w:sz w:val="24"/>
                <w:szCs w:val="24"/>
                <w:highlight w:val="none"/>
              </w:rPr>
              <w:t>''E</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11</w:t>
            </w:r>
            <w:r>
              <w:rPr>
                <w:rFonts w:hint="eastAsia" w:ascii="宋体" w:hAnsi="宋体" w:eastAsia="宋体" w:cs="宋体"/>
                <w:color w:val="auto"/>
                <w:kern w:val="0"/>
                <w:sz w:val="24"/>
                <w:szCs w:val="24"/>
                <w:highlight w:val="none"/>
                <w:lang w:val="en-US" w:eastAsia="zh-CN"/>
              </w:rPr>
              <w:t>1</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35</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23.697</w:t>
            </w:r>
            <w:r>
              <w:rPr>
                <w:rFonts w:hint="eastAsia" w:ascii="宋体" w:hAnsi="宋体" w:eastAsia="宋体" w:cs="宋体"/>
                <w:color w:val="auto"/>
                <w:kern w:val="0"/>
                <w:sz w:val="24"/>
                <w:szCs w:val="24"/>
                <w:highlight w:val="none"/>
              </w:rPr>
              <w:t>''</w:t>
            </w:r>
          </w:p>
        </w:tc>
        <w:tc>
          <w:tcPr>
            <w:tcW w:w="119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firstLine="0" w:firstLineChars="0"/>
              <w:jc w:val="center"/>
              <w:textAlignment w:val="center"/>
              <w:rPr>
                <w:rFonts w:hint="eastAsia" w:ascii="宋体" w:hAnsi="宋体" w:eastAsia="宋体" w:cs="宋体"/>
                <w:color w:val="auto"/>
                <w:spacing w:val="0"/>
                <w:sz w:val="24"/>
                <w:szCs w:val="24"/>
                <w:highlight w:val="none"/>
                <w:lang w:val="en-US" w:eastAsia="zh-CN"/>
              </w:rPr>
            </w:pPr>
            <w:r>
              <w:rPr>
                <w:rFonts w:hint="eastAsia" w:ascii="宋体" w:hAnsi="宋体" w:eastAsia="宋体" w:cs="宋体"/>
                <w:color w:val="auto"/>
                <w:spacing w:val="0"/>
                <w:kern w:val="0"/>
                <w:sz w:val="24"/>
                <w:szCs w:val="24"/>
                <w:highlight w:val="none"/>
              </w:rPr>
              <w:t>固态、</w:t>
            </w:r>
            <w:r>
              <w:rPr>
                <w:rFonts w:hint="eastAsia" w:ascii="宋体" w:hAnsi="宋体" w:eastAsia="宋体" w:cs="宋体"/>
                <w:color w:val="auto"/>
                <w:spacing w:val="0"/>
                <w:kern w:val="0"/>
                <w:sz w:val="24"/>
                <w:szCs w:val="24"/>
                <w:highlight w:val="none"/>
                <w:lang w:val="en-US" w:eastAsia="zh-CN"/>
              </w:rPr>
              <w:t>红</w:t>
            </w:r>
            <w:r>
              <w:rPr>
                <w:rFonts w:hint="eastAsia" w:ascii="宋体" w:hAnsi="宋体" w:eastAsia="宋体" w:cs="宋体"/>
                <w:color w:val="auto"/>
                <w:spacing w:val="0"/>
                <w:kern w:val="0"/>
                <w:sz w:val="24"/>
                <w:szCs w:val="24"/>
                <w:highlight w:val="none"/>
              </w:rPr>
              <w:t>色、</w:t>
            </w:r>
            <w:r>
              <w:rPr>
                <w:rFonts w:hint="eastAsia" w:ascii="宋体" w:hAnsi="宋体" w:eastAsia="宋体" w:cs="宋体"/>
                <w:color w:val="auto"/>
                <w:spacing w:val="0"/>
                <w:kern w:val="0"/>
                <w:sz w:val="24"/>
                <w:szCs w:val="24"/>
                <w:highlight w:val="none"/>
                <w:lang w:val="en-US" w:eastAsia="zh-CN"/>
              </w:rPr>
              <w:t>壤土</w:t>
            </w:r>
            <w:r>
              <w:rPr>
                <w:rFonts w:hint="eastAsia" w:ascii="宋体" w:hAnsi="宋体" w:eastAsia="宋体" w:cs="宋体"/>
                <w:color w:val="auto"/>
                <w:spacing w:val="0"/>
                <w:kern w:val="0"/>
                <w:sz w:val="24"/>
                <w:szCs w:val="24"/>
                <w:highlight w:val="none"/>
              </w:rPr>
              <w:t>、</w:t>
            </w:r>
            <w:r>
              <w:rPr>
                <w:rFonts w:hint="eastAsia" w:ascii="宋体" w:hAnsi="宋体" w:eastAsia="宋体" w:cs="宋体"/>
                <w:color w:val="auto"/>
                <w:spacing w:val="0"/>
                <w:kern w:val="0"/>
                <w:sz w:val="24"/>
                <w:szCs w:val="24"/>
                <w:highlight w:val="none"/>
                <w:lang w:val="en-US" w:eastAsia="zh-CN"/>
              </w:rPr>
              <w:t>干燥</w:t>
            </w:r>
            <w:r>
              <w:rPr>
                <w:rFonts w:hint="eastAsia" w:ascii="宋体" w:hAnsi="宋体" w:eastAsia="宋体" w:cs="宋体"/>
                <w:color w:val="auto"/>
                <w:spacing w:val="0"/>
                <w:kern w:val="0"/>
                <w:sz w:val="24"/>
                <w:szCs w:val="24"/>
                <w:highlight w:val="none"/>
              </w:rPr>
              <w:t>、</w:t>
            </w:r>
            <w:r>
              <w:rPr>
                <w:rFonts w:hint="eastAsia" w:ascii="宋体" w:hAnsi="宋体" w:eastAsia="宋体" w:cs="宋体"/>
                <w:color w:val="auto"/>
                <w:spacing w:val="0"/>
                <w:kern w:val="0"/>
                <w:sz w:val="24"/>
                <w:szCs w:val="24"/>
                <w:highlight w:val="none"/>
                <w:lang w:val="en-US" w:eastAsia="zh-CN"/>
              </w:rPr>
              <w:t>无</w:t>
            </w:r>
            <w:r>
              <w:rPr>
                <w:rFonts w:hint="eastAsia" w:ascii="宋体" w:hAnsi="宋体" w:eastAsia="宋体" w:cs="宋体"/>
                <w:color w:val="auto"/>
                <w:spacing w:val="0"/>
                <w:kern w:val="0"/>
                <w:sz w:val="24"/>
                <w:szCs w:val="24"/>
                <w:highlight w:val="none"/>
              </w:rPr>
              <w:t>砂粒、</w:t>
            </w:r>
            <w:r>
              <w:rPr>
                <w:rFonts w:hint="eastAsia" w:ascii="宋体" w:hAnsi="宋体" w:eastAsia="宋体" w:cs="宋体"/>
                <w:color w:val="auto"/>
                <w:spacing w:val="0"/>
                <w:kern w:val="0"/>
                <w:sz w:val="24"/>
                <w:szCs w:val="24"/>
                <w:highlight w:val="none"/>
                <w:lang w:val="en-US" w:eastAsia="zh-CN"/>
              </w:rPr>
              <w:t>少量根系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3" w:hRule="atLeast"/>
          <w:jc w:val="center"/>
        </w:trPr>
        <w:tc>
          <w:tcPr>
            <w:tcW w:w="414"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firstLine="0" w:firstLineChars="0"/>
              <w:jc w:val="center"/>
              <w:rPr>
                <w:rFonts w:hint="eastAsia" w:ascii="宋体" w:hAnsi="宋体" w:eastAsia="宋体" w:cs="宋体"/>
                <w:color w:val="auto"/>
                <w:spacing w:val="0"/>
                <w:sz w:val="24"/>
                <w:szCs w:val="24"/>
                <w:highlight w:val="none"/>
                <w:lang w:eastAsia="zh-CN"/>
              </w:rPr>
            </w:pPr>
          </w:p>
        </w:tc>
        <w:tc>
          <w:tcPr>
            <w:tcW w:w="1157" w:type="pct"/>
            <w:tcBorders>
              <w:tl2br w:val="nil"/>
              <w:tr2bl w:val="nil"/>
            </w:tcBorders>
            <w:noWrap w:val="0"/>
            <w:vAlign w:val="center"/>
          </w:tcPr>
          <w:p>
            <w:pPr>
              <w:keepNext w:val="0"/>
              <w:keepLines w:val="0"/>
              <w:pageBreakBefore w:val="0"/>
              <w:numPr>
                <w:ilvl w:val="0"/>
                <w:numId w:val="0"/>
              </w:numPr>
              <w:kinsoku/>
              <w:wordWrap/>
              <w:overflowPunct/>
              <w:topLinePunct w:val="0"/>
              <w:autoSpaceDE/>
              <w:autoSpaceDN/>
              <w:bidi w:val="0"/>
              <w:spacing w:line="240" w:lineRule="auto"/>
              <w:ind w:left="0" w:leftChars="0" w:firstLine="0" w:firstLineChars="0"/>
              <w:jc w:val="center"/>
              <w:rPr>
                <w:rFonts w:hint="eastAsia" w:ascii="宋体" w:hAnsi="宋体" w:eastAsia="宋体" w:cs="宋体"/>
                <w:b w:val="0"/>
                <w:bCs w:val="0"/>
                <w:color w:val="auto"/>
                <w:kern w:val="2"/>
                <w:sz w:val="24"/>
                <w:szCs w:val="24"/>
                <w:highlight w:val="none"/>
                <w:lang w:val="en-US" w:eastAsia="zh-CN" w:bidi="ar-SA"/>
              </w:rPr>
            </w:pPr>
            <w:r>
              <w:rPr>
                <w:rFonts w:hint="eastAsia" w:ascii="宋体" w:hAnsi="宋体" w:eastAsia="宋体" w:cs="宋体"/>
                <w:b w:val="0"/>
                <w:bCs w:val="0"/>
                <w:color w:val="auto"/>
                <w:sz w:val="24"/>
                <w:szCs w:val="24"/>
                <w:highlight w:val="none"/>
                <w:lang w:val="en-US" w:eastAsia="zh-CN"/>
              </w:rPr>
              <w:t>T9:酸碱储罐区、尼文酸应急池、4#仓库（甲苯、氯苯）</w:t>
            </w:r>
          </w:p>
        </w:tc>
        <w:tc>
          <w:tcPr>
            <w:tcW w:w="780"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firstLine="0" w:firstLineChars="0"/>
              <w:jc w:val="center"/>
              <w:textAlignment w:val="center"/>
              <w:rPr>
                <w:rFonts w:hint="eastAsia" w:ascii="宋体" w:hAnsi="宋体" w:eastAsia="宋体" w:cs="宋体"/>
                <w:color w:val="auto"/>
                <w:spacing w:val="0"/>
                <w:kern w:val="2"/>
                <w:sz w:val="24"/>
                <w:szCs w:val="24"/>
                <w:highlight w:val="none"/>
                <w:lang w:val="en-US" w:eastAsia="zh-CN" w:bidi="ar-SA"/>
              </w:rPr>
            </w:pPr>
            <w:r>
              <w:rPr>
                <w:rFonts w:hint="eastAsia" w:ascii="宋体" w:hAnsi="宋体" w:eastAsia="宋体" w:cs="宋体"/>
                <w:color w:val="auto"/>
                <w:spacing w:val="0"/>
                <w:kern w:val="2"/>
                <w:sz w:val="24"/>
                <w:szCs w:val="24"/>
                <w:highlight w:val="none"/>
                <w:lang w:val="en-US" w:eastAsia="zh-CN" w:bidi="ar-SA"/>
              </w:rPr>
              <w:t>2023年6月8日</w:t>
            </w:r>
          </w:p>
        </w:tc>
        <w:tc>
          <w:tcPr>
            <w:tcW w:w="1449"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b w:val="0"/>
                <w:bCs w:val="0"/>
                <w:color w:val="auto"/>
                <w:kern w:val="2"/>
                <w:sz w:val="24"/>
                <w:szCs w:val="24"/>
                <w:highlight w:val="none"/>
                <w:vertAlign w:val="baseline"/>
                <w:lang w:val="en-US" w:eastAsia="zh-CN" w:bidi="ar-SA"/>
              </w:rPr>
            </w:pPr>
            <w:r>
              <w:rPr>
                <w:rFonts w:hint="eastAsia" w:ascii="宋体" w:hAnsi="宋体" w:eastAsia="宋体" w:cs="宋体"/>
                <w:color w:val="auto"/>
                <w:kern w:val="0"/>
                <w:sz w:val="24"/>
                <w:szCs w:val="24"/>
                <w:highlight w:val="none"/>
              </w:rPr>
              <w:t>N</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3</w:t>
            </w:r>
            <w:r>
              <w:rPr>
                <w:rFonts w:hint="eastAsia" w:ascii="宋体" w:hAnsi="宋体" w:eastAsia="宋体" w:cs="宋体"/>
                <w:color w:val="auto"/>
                <w:kern w:val="0"/>
                <w:sz w:val="24"/>
                <w:szCs w:val="24"/>
                <w:highlight w:val="none"/>
                <w:lang w:val="en-US" w:eastAsia="zh-CN"/>
              </w:rPr>
              <w:t>4</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40</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27.050</w:t>
            </w:r>
            <w:r>
              <w:rPr>
                <w:rFonts w:hint="eastAsia" w:ascii="宋体" w:hAnsi="宋体" w:eastAsia="宋体" w:cs="宋体"/>
                <w:color w:val="auto"/>
                <w:kern w:val="0"/>
                <w:sz w:val="24"/>
                <w:szCs w:val="24"/>
                <w:highlight w:val="none"/>
              </w:rPr>
              <w:t>''E</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11</w:t>
            </w:r>
            <w:r>
              <w:rPr>
                <w:rFonts w:hint="eastAsia" w:ascii="宋体" w:hAnsi="宋体" w:eastAsia="宋体" w:cs="宋体"/>
                <w:color w:val="auto"/>
                <w:kern w:val="0"/>
                <w:sz w:val="24"/>
                <w:szCs w:val="24"/>
                <w:highlight w:val="none"/>
                <w:lang w:val="en-US" w:eastAsia="zh-CN"/>
              </w:rPr>
              <w:t>1</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35</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21.939</w:t>
            </w:r>
            <w:r>
              <w:rPr>
                <w:rFonts w:hint="eastAsia" w:ascii="宋体" w:hAnsi="宋体" w:eastAsia="宋体" w:cs="宋体"/>
                <w:color w:val="auto"/>
                <w:kern w:val="0"/>
                <w:sz w:val="24"/>
                <w:szCs w:val="24"/>
                <w:highlight w:val="none"/>
              </w:rPr>
              <w:t>''</w:t>
            </w:r>
          </w:p>
        </w:tc>
        <w:tc>
          <w:tcPr>
            <w:tcW w:w="119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firstLine="0" w:firstLineChars="0"/>
              <w:jc w:val="center"/>
              <w:textAlignment w:val="center"/>
              <w:rPr>
                <w:rFonts w:hint="eastAsia" w:ascii="宋体" w:hAnsi="宋体" w:eastAsia="宋体" w:cs="宋体"/>
                <w:color w:val="auto"/>
                <w:spacing w:val="0"/>
                <w:sz w:val="24"/>
                <w:szCs w:val="24"/>
                <w:highlight w:val="none"/>
                <w:lang w:val="en-US" w:eastAsia="zh-CN"/>
              </w:rPr>
            </w:pPr>
            <w:r>
              <w:rPr>
                <w:rFonts w:hint="eastAsia" w:ascii="宋体" w:hAnsi="宋体" w:eastAsia="宋体" w:cs="宋体"/>
                <w:color w:val="auto"/>
                <w:kern w:val="0"/>
                <w:sz w:val="24"/>
                <w:szCs w:val="24"/>
                <w:highlight w:val="none"/>
              </w:rPr>
              <w:t>固态、</w:t>
            </w:r>
            <w:r>
              <w:rPr>
                <w:rFonts w:hint="eastAsia" w:ascii="宋体" w:hAnsi="宋体" w:eastAsia="宋体" w:cs="宋体"/>
                <w:color w:val="auto"/>
                <w:kern w:val="0"/>
                <w:sz w:val="24"/>
                <w:szCs w:val="24"/>
                <w:highlight w:val="none"/>
                <w:lang w:val="en-US" w:eastAsia="zh-CN"/>
              </w:rPr>
              <w:t>红</w:t>
            </w:r>
            <w:r>
              <w:rPr>
                <w:rFonts w:hint="eastAsia" w:ascii="宋体" w:hAnsi="宋体" w:eastAsia="宋体" w:cs="宋体"/>
                <w:color w:val="auto"/>
                <w:kern w:val="0"/>
                <w:sz w:val="24"/>
                <w:szCs w:val="24"/>
                <w:highlight w:val="none"/>
              </w:rPr>
              <w:t>色、</w:t>
            </w:r>
            <w:r>
              <w:rPr>
                <w:rFonts w:hint="eastAsia" w:ascii="宋体" w:hAnsi="宋体" w:eastAsia="宋体" w:cs="宋体"/>
                <w:color w:val="auto"/>
                <w:kern w:val="0"/>
                <w:sz w:val="24"/>
                <w:szCs w:val="24"/>
                <w:highlight w:val="none"/>
                <w:lang w:val="en-US" w:eastAsia="zh-CN"/>
              </w:rPr>
              <w:t>壤土</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潮湿</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少量</w:t>
            </w:r>
            <w:r>
              <w:rPr>
                <w:rFonts w:hint="eastAsia" w:ascii="宋体" w:hAnsi="宋体" w:eastAsia="宋体" w:cs="宋体"/>
                <w:color w:val="auto"/>
                <w:kern w:val="0"/>
                <w:sz w:val="24"/>
                <w:szCs w:val="24"/>
                <w:highlight w:val="none"/>
              </w:rPr>
              <w:t>砂粒、</w:t>
            </w:r>
            <w:r>
              <w:rPr>
                <w:rFonts w:hint="eastAsia" w:ascii="宋体" w:hAnsi="宋体" w:eastAsia="宋体" w:cs="宋体"/>
                <w:color w:val="auto"/>
                <w:kern w:val="0"/>
                <w:sz w:val="24"/>
                <w:szCs w:val="24"/>
                <w:highlight w:val="none"/>
                <w:lang w:val="en-US" w:eastAsia="zh-CN"/>
              </w:rPr>
              <w:t>少量根系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3" w:hRule="atLeast"/>
          <w:jc w:val="center"/>
        </w:trPr>
        <w:tc>
          <w:tcPr>
            <w:tcW w:w="414" w:type="pct"/>
            <w:vMerge w:val="continue"/>
            <w:vAlign w:val="center"/>
          </w:tcPr>
          <w:p>
            <w:pPr>
              <w:keepNext w:val="0"/>
              <w:keepLines w:val="0"/>
              <w:pageBreakBefore w:val="0"/>
              <w:widowControl/>
              <w:kinsoku/>
              <w:wordWrap/>
              <w:overflowPunct/>
              <w:topLinePunct w:val="0"/>
              <w:autoSpaceDE/>
              <w:autoSpaceDN/>
              <w:bidi w:val="0"/>
              <w:adjustRightInd w:val="0"/>
              <w:snapToGrid/>
              <w:spacing w:line="240" w:lineRule="auto"/>
              <w:ind w:firstLine="0" w:firstLineChars="0"/>
              <w:jc w:val="center"/>
              <w:rPr>
                <w:rFonts w:hint="eastAsia" w:ascii="宋体" w:hAnsi="宋体" w:eastAsia="宋体" w:cs="宋体"/>
                <w:color w:val="auto"/>
                <w:spacing w:val="0"/>
                <w:sz w:val="24"/>
                <w:szCs w:val="24"/>
                <w:highlight w:val="none"/>
                <w:lang w:eastAsia="zh-CN"/>
              </w:rPr>
            </w:pPr>
          </w:p>
        </w:tc>
        <w:tc>
          <w:tcPr>
            <w:tcW w:w="1157" w:type="pct"/>
            <w:vAlign w:val="center"/>
          </w:tcPr>
          <w:p>
            <w:pPr>
              <w:keepNext w:val="0"/>
              <w:keepLines w:val="0"/>
              <w:pageBreakBefore w:val="0"/>
              <w:numPr>
                <w:ilvl w:val="0"/>
                <w:numId w:val="0"/>
              </w:numPr>
              <w:kinsoku/>
              <w:wordWrap/>
              <w:overflowPunct/>
              <w:topLinePunct w:val="0"/>
              <w:autoSpaceDE/>
              <w:autoSpaceDN/>
              <w:bidi w:val="0"/>
              <w:spacing w:line="240" w:lineRule="auto"/>
              <w:ind w:left="0" w:leftChars="0" w:firstLine="0" w:firstLineChars="0"/>
              <w:jc w:val="center"/>
              <w:rPr>
                <w:rFonts w:hint="eastAsia" w:ascii="宋体" w:hAnsi="宋体" w:eastAsia="宋体" w:cs="宋体"/>
                <w:b w:val="0"/>
                <w:bCs w:val="0"/>
                <w:color w:val="auto"/>
                <w:kern w:val="2"/>
                <w:sz w:val="24"/>
                <w:szCs w:val="24"/>
                <w:highlight w:val="none"/>
                <w:lang w:val="en-US" w:eastAsia="zh-CN" w:bidi="ar-SA"/>
              </w:rPr>
            </w:pPr>
            <w:r>
              <w:rPr>
                <w:rFonts w:hint="eastAsia" w:ascii="宋体" w:hAnsi="宋体" w:eastAsia="宋体" w:cs="宋体"/>
                <w:b w:val="0"/>
                <w:bCs w:val="0"/>
                <w:color w:val="auto"/>
                <w:sz w:val="24"/>
                <w:szCs w:val="24"/>
                <w:highlight w:val="none"/>
                <w:lang w:val="en-US" w:eastAsia="zh-CN"/>
              </w:rPr>
              <w:t>T10:固废前处理车间、四溴应急池及缓冲池</w:t>
            </w:r>
          </w:p>
        </w:tc>
        <w:tc>
          <w:tcPr>
            <w:tcW w:w="780" w:type="pct"/>
            <w:vAlign w:val="center"/>
          </w:tcPr>
          <w:p>
            <w:pPr>
              <w:keepNext w:val="0"/>
              <w:keepLines w:val="0"/>
              <w:pageBreakBefore w:val="0"/>
              <w:widowControl/>
              <w:kinsoku/>
              <w:wordWrap/>
              <w:overflowPunct/>
              <w:topLinePunct w:val="0"/>
              <w:autoSpaceDE/>
              <w:autoSpaceDN/>
              <w:bidi w:val="0"/>
              <w:adjustRightInd w:val="0"/>
              <w:snapToGrid/>
              <w:spacing w:line="240" w:lineRule="auto"/>
              <w:ind w:firstLine="0" w:firstLineChars="0"/>
              <w:jc w:val="center"/>
              <w:textAlignment w:val="center"/>
              <w:rPr>
                <w:rFonts w:hint="eastAsia" w:ascii="宋体" w:hAnsi="宋体" w:eastAsia="宋体" w:cs="宋体"/>
                <w:color w:val="auto"/>
                <w:spacing w:val="0"/>
                <w:kern w:val="2"/>
                <w:sz w:val="24"/>
                <w:szCs w:val="24"/>
                <w:highlight w:val="none"/>
                <w:lang w:val="en-US" w:eastAsia="zh-CN" w:bidi="ar-SA"/>
              </w:rPr>
            </w:pPr>
            <w:r>
              <w:rPr>
                <w:rFonts w:hint="eastAsia" w:ascii="宋体" w:hAnsi="宋体" w:eastAsia="宋体" w:cs="宋体"/>
                <w:color w:val="auto"/>
                <w:spacing w:val="0"/>
                <w:kern w:val="2"/>
                <w:sz w:val="24"/>
                <w:szCs w:val="24"/>
                <w:highlight w:val="none"/>
                <w:lang w:val="en-US" w:eastAsia="zh-CN" w:bidi="ar-SA"/>
              </w:rPr>
              <w:t>2023年6月8日</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b w:val="0"/>
                <w:bCs w:val="0"/>
                <w:color w:val="auto"/>
                <w:kern w:val="2"/>
                <w:sz w:val="24"/>
                <w:szCs w:val="24"/>
                <w:highlight w:val="none"/>
                <w:vertAlign w:val="baseline"/>
                <w:lang w:val="en-US" w:eastAsia="zh-CN" w:bidi="ar-SA"/>
              </w:rPr>
            </w:pPr>
            <w:r>
              <w:rPr>
                <w:rFonts w:hint="eastAsia" w:ascii="宋体" w:hAnsi="宋体" w:eastAsia="宋体" w:cs="宋体"/>
                <w:color w:val="auto"/>
                <w:kern w:val="0"/>
                <w:sz w:val="24"/>
                <w:szCs w:val="24"/>
                <w:highlight w:val="none"/>
              </w:rPr>
              <w:t>N</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3</w:t>
            </w:r>
            <w:r>
              <w:rPr>
                <w:rFonts w:hint="eastAsia" w:ascii="宋体" w:hAnsi="宋体" w:eastAsia="宋体" w:cs="宋体"/>
                <w:color w:val="auto"/>
                <w:kern w:val="0"/>
                <w:sz w:val="24"/>
                <w:szCs w:val="24"/>
                <w:highlight w:val="none"/>
                <w:lang w:val="en-US" w:eastAsia="zh-CN"/>
              </w:rPr>
              <w:t>4</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40</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25.796</w:t>
            </w:r>
            <w:r>
              <w:rPr>
                <w:rFonts w:hint="eastAsia" w:ascii="宋体" w:hAnsi="宋体" w:eastAsia="宋体" w:cs="宋体"/>
                <w:color w:val="auto"/>
                <w:kern w:val="0"/>
                <w:sz w:val="24"/>
                <w:szCs w:val="24"/>
                <w:highlight w:val="none"/>
              </w:rPr>
              <w:t>''E</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11</w:t>
            </w:r>
            <w:r>
              <w:rPr>
                <w:rFonts w:hint="eastAsia" w:ascii="宋体" w:hAnsi="宋体" w:eastAsia="宋体" w:cs="宋体"/>
                <w:color w:val="auto"/>
                <w:kern w:val="0"/>
                <w:sz w:val="24"/>
                <w:szCs w:val="24"/>
                <w:highlight w:val="none"/>
                <w:lang w:val="en-US" w:eastAsia="zh-CN"/>
              </w:rPr>
              <w:t>1</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35</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27.520</w:t>
            </w:r>
            <w:r>
              <w:rPr>
                <w:rFonts w:hint="eastAsia" w:ascii="宋体" w:hAnsi="宋体" w:eastAsia="宋体" w:cs="宋体"/>
                <w:color w:val="auto"/>
                <w:kern w:val="0"/>
                <w:sz w:val="24"/>
                <w:szCs w:val="24"/>
                <w:highlight w:val="none"/>
              </w:rPr>
              <w:t>''</w:t>
            </w:r>
          </w:p>
        </w:tc>
        <w:tc>
          <w:tcPr>
            <w:tcW w:w="0" w:type="auto"/>
            <w:vAlign w:val="center"/>
          </w:tcPr>
          <w:p>
            <w:pPr>
              <w:keepNext w:val="0"/>
              <w:keepLines w:val="0"/>
              <w:pageBreakBefore w:val="0"/>
              <w:widowControl/>
              <w:kinsoku/>
              <w:wordWrap/>
              <w:overflowPunct/>
              <w:topLinePunct w:val="0"/>
              <w:autoSpaceDE/>
              <w:autoSpaceDN/>
              <w:bidi w:val="0"/>
              <w:adjustRightInd w:val="0"/>
              <w:snapToGrid/>
              <w:spacing w:line="240" w:lineRule="auto"/>
              <w:ind w:firstLine="0" w:firstLineChars="0"/>
              <w:jc w:val="center"/>
              <w:textAlignment w:val="center"/>
              <w:rPr>
                <w:rFonts w:hint="eastAsia" w:ascii="宋体" w:hAnsi="宋体" w:eastAsia="宋体" w:cs="宋体"/>
                <w:color w:val="auto"/>
                <w:spacing w:val="0"/>
                <w:sz w:val="24"/>
                <w:szCs w:val="24"/>
                <w:highlight w:val="none"/>
                <w:lang w:val="en-US" w:eastAsia="zh-CN"/>
              </w:rPr>
            </w:pPr>
            <w:r>
              <w:rPr>
                <w:rFonts w:hint="eastAsia" w:ascii="宋体" w:hAnsi="宋体" w:eastAsia="宋体" w:cs="宋体"/>
                <w:color w:val="auto"/>
                <w:kern w:val="0"/>
                <w:sz w:val="24"/>
                <w:szCs w:val="24"/>
                <w:highlight w:val="none"/>
              </w:rPr>
              <w:t>固态、</w:t>
            </w:r>
            <w:r>
              <w:rPr>
                <w:rFonts w:hint="eastAsia" w:ascii="宋体" w:hAnsi="宋体" w:eastAsia="宋体" w:cs="宋体"/>
                <w:color w:val="auto"/>
                <w:kern w:val="0"/>
                <w:sz w:val="24"/>
                <w:szCs w:val="24"/>
                <w:highlight w:val="none"/>
                <w:lang w:val="en-US" w:eastAsia="zh-CN"/>
              </w:rPr>
              <w:t>红</w:t>
            </w:r>
            <w:r>
              <w:rPr>
                <w:rFonts w:hint="eastAsia" w:ascii="宋体" w:hAnsi="宋体" w:eastAsia="宋体" w:cs="宋体"/>
                <w:color w:val="auto"/>
                <w:kern w:val="0"/>
                <w:sz w:val="24"/>
                <w:szCs w:val="24"/>
                <w:highlight w:val="none"/>
              </w:rPr>
              <w:t>色、</w:t>
            </w:r>
            <w:r>
              <w:rPr>
                <w:rFonts w:hint="eastAsia" w:ascii="宋体" w:hAnsi="宋体" w:eastAsia="宋体" w:cs="宋体"/>
                <w:color w:val="auto"/>
                <w:kern w:val="0"/>
                <w:sz w:val="24"/>
                <w:szCs w:val="24"/>
                <w:highlight w:val="none"/>
                <w:lang w:val="en-US" w:eastAsia="zh-CN"/>
              </w:rPr>
              <w:t>壤土</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潮湿</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少量</w:t>
            </w:r>
            <w:r>
              <w:rPr>
                <w:rFonts w:hint="eastAsia" w:ascii="宋体" w:hAnsi="宋体" w:eastAsia="宋体" w:cs="宋体"/>
                <w:color w:val="auto"/>
                <w:kern w:val="0"/>
                <w:sz w:val="24"/>
                <w:szCs w:val="24"/>
                <w:highlight w:val="none"/>
              </w:rPr>
              <w:t>砂粒、</w:t>
            </w:r>
            <w:r>
              <w:rPr>
                <w:rFonts w:hint="eastAsia" w:ascii="宋体" w:hAnsi="宋体" w:eastAsia="宋体" w:cs="宋体"/>
                <w:color w:val="auto"/>
                <w:kern w:val="0"/>
                <w:sz w:val="24"/>
                <w:szCs w:val="24"/>
                <w:highlight w:val="none"/>
                <w:lang w:val="en-US" w:eastAsia="zh-CN"/>
              </w:rPr>
              <w:t>少量根系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3" w:hRule="atLeast"/>
          <w:jc w:val="center"/>
        </w:trPr>
        <w:tc>
          <w:tcPr>
            <w:tcW w:w="414" w:type="pct"/>
            <w:vMerge w:val="continue"/>
            <w:vAlign w:val="center"/>
          </w:tcPr>
          <w:p>
            <w:pPr>
              <w:keepNext w:val="0"/>
              <w:keepLines w:val="0"/>
              <w:pageBreakBefore w:val="0"/>
              <w:widowControl/>
              <w:kinsoku/>
              <w:wordWrap/>
              <w:overflowPunct/>
              <w:topLinePunct w:val="0"/>
              <w:autoSpaceDE/>
              <w:autoSpaceDN/>
              <w:bidi w:val="0"/>
              <w:adjustRightInd w:val="0"/>
              <w:snapToGrid/>
              <w:spacing w:line="240" w:lineRule="auto"/>
              <w:ind w:firstLine="0" w:firstLineChars="0"/>
              <w:jc w:val="center"/>
              <w:rPr>
                <w:rFonts w:hint="eastAsia" w:ascii="宋体" w:hAnsi="宋体" w:eastAsia="宋体" w:cs="宋体"/>
                <w:color w:val="auto"/>
                <w:spacing w:val="0"/>
                <w:sz w:val="24"/>
                <w:szCs w:val="24"/>
                <w:highlight w:val="none"/>
                <w:lang w:eastAsia="zh-CN"/>
              </w:rPr>
            </w:pPr>
          </w:p>
        </w:tc>
        <w:tc>
          <w:tcPr>
            <w:tcW w:w="1157" w:type="pct"/>
            <w:vAlign w:val="center"/>
          </w:tcPr>
          <w:p>
            <w:pPr>
              <w:keepNext w:val="0"/>
              <w:keepLines w:val="0"/>
              <w:pageBreakBefore w:val="0"/>
              <w:numPr>
                <w:ilvl w:val="0"/>
                <w:numId w:val="0"/>
              </w:numPr>
              <w:kinsoku/>
              <w:wordWrap/>
              <w:overflowPunct/>
              <w:topLinePunct w:val="0"/>
              <w:autoSpaceDE/>
              <w:autoSpaceDN/>
              <w:bidi w:val="0"/>
              <w:spacing w:line="240" w:lineRule="auto"/>
              <w:ind w:left="0" w:leftChars="0" w:firstLine="0" w:firstLineChars="0"/>
              <w:jc w:val="center"/>
              <w:rPr>
                <w:rFonts w:hint="eastAsia" w:ascii="宋体" w:hAnsi="宋体" w:eastAsia="宋体" w:cs="宋体"/>
                <w:b w:val="0"/>
                <w:bCs w:val="0"/>
                <w:color w:val="auto"/>
                <w:kern w:val="2"/>
                <w:sz w:val="24"/>
                <w:szCs w:val="24"/>
                <w:highlight w:val="none"/>
                <w:vertAlign w:val="baseline"/>
                <w:lang w:val="en-US" w:eastAsia="zh-CN" w:bidi="ar-SA"/>
              </w:rPr>
            </w:pPr>
            <w:r>
              <w:rPr>
                <w:rFonts w:hint="eastAsia" w:ascii="宋体" w:hAnsi="宋体" w:eastAsia="宋体" w:cs="宋体"/>
                <w:b w:val="0"/>
                <w:bCs w:val="0"/>
                <w:color w:val="auto"/>
                <w:sz w:val="24"/>
                <w:szCs w:val="24"/>
                <w:highlight w:val="none"/>
                <w:u w:val="none"/>
                <w:lang w:val="en-US" w:eastAsia="zh-CN"/>
              </w:rPr>
              <w:t>11:</w:t>
            </w:r>
            <w:r>
              <w:rPr>
                <w:rFonts w:hint="eastAsia" w:ascii="宋体" w:hAnsi="宋体" w:eastAsia="宋体" w:cs="宋体"/>
                <w:b w:val="0"/>
                <w:bCs w:val="0"/>
                <w:color w:val="auto"/>
                <w:sz w:val="24"/>
                <w:szCs w:val="24"/>
                <w:highlight w:val="none"/>
                <w:u w:val="none"/>
              </w:rPr>
              <w:t>土壤背景监测点</w:t>
            </w:r>
          </w:p>
        </w:tc>
        <w:tc>
          <w:tcPr>
            <w:tcW w:w="780" w:type="pct"/>
            <w:vAlign w:val="center"/>
          </w:tcPr>
          <w:p>
            <w:pPr>
              <w:keepNext w:val="0"/>
              <w:keepLines w:val="0"/>
              <w:pageBreakBefore w:val="0"/>
              <w:widowControl/>
              <w:kinsoku/>
              <w:wordWrap/>
              <w:overflowPunct/>
              <w:topLinePunct w:val="0"/>
              <w:autoSpaceDE/>
              <w:autoSpaceDN/>
              <w:bidi w:val="0"/>
              <w:adjustRightInd w:val="0"/>
              <w:snapToGrid/>
              <w:spacing w:line="240" w:lineRule="auto"/>
              <w:ind w:firstLine="0" w:firstLineChars="0"/>
              <w:jc w:val="center"/>
              <w:textAlignment w:val="center"/>
              <w:rPr>
                <w:rFonts w:hint="eastAsia" w:ascii="宋体" w:hAnsi="宋体" w:eastAsia="宋体" w:cs="宋体"/>
                <w:color w:val="auto"/>
                <w:spacing w:val="0"/>
                <w:kern w:val="2"/>
                <w:sz w:val="24"/>
                <w:szCs w:val="24"/>
                <w:highlight w:val="none"/>
                <w:lang w:val="en-US" w:eastAsia="zh-CN" w:bidi="ar-SA"/>
              </w:rPr>
            </w:pPr>
            <w:r>
              <w:rPr>
                <w:rFonts w:hint="eastAsia" w:ascii="宋体" w:hAnsi="宋体" w:eastAsia="宋体" w:cs="宋体"/>
                <w:color w:val="auto"/>
                <w:spacing w:val="0"/>
                <w:kern w:val="2"/>
                <w:sz w:val="24"/>
                <w:szCs w:val="24"/>
                <w:highlight w:val="none"/>
                <w:lang w:val="en-US" w:eastAsia="zh-CN" w:bidi="ar-SA"/>
              </w:rPr>
              <w:t>2023年6月8日</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b w:val="0"/>
                <w:bCs w:val="0"/>
                <w:color w:val="auto"/>
                <w:kern w:val="2"/>
                <w:sz w:val="24"/>
                <w:szCs w:val="24"/>
                <w:highlight w:val="none"/>
                <w:vertAlign w:val="baseline"/>
                <w:lang w:val="en-US" w:eastAsia="zh-CN" w:bidi="ar-SA"/>
              </w:rPr>
            </w:pPr>
            <w:r>
              <w:rPr>
                <w:rFonts w:hint="eastAsia" w:ascii="宋体" w:hAnsi="宋体" w:eastAsia="宋体" w:cs="宋体"/>
                <w:color w:val="auto"/>
                <w:kern w:val="0"/>
                <w:sz w:val="24"/>
                <w:szCs w:val="24"/>
                <w:highlight w:val="none"/>
              </w:rPr>
              <w:t>N</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3</w:t>
            </w:r>
            <w:r>
              <w:rPr>
                <w:rFonts w:hint="eastAsia" w:ascii="宋体" w:hAnsi="宋体" w:eastAsia="宋体" w:cs="宋体"/>
                <w:color w:val="auto"/>
                <w:kern w:val="0"/>
                <w:sz w:val="24"/>
                <w:szCs w:val="24"/>
                <w:highlight w:val="none"/>
                <w:lang w:val="en-US" w:eastAsia="zh-CN"/>
              </w:rPr>
              <w:t>4</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40</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33.435</w:t>
            </w:r>
            <w:r>
              <w:rPr>
                <w:rFonts w:hint="eastAsia" w:ascii="宋体" w:hAnsi="宋体" w:eastAsia="宋体" w:cs="宋体"/>
                <w:color w:val="auto"/>
                <w:kern w:val="0"/>
                <w:sz w:val="24"/>
                <w:szCs w:val="24"/>
                <w:highlight w:val="none"/>
              </w:rPr>
              <w:t>''E</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11</w:t>
            </w:r>
            <w:r>
              <w:rPr>
                <w:rFonts w:hint="eastAsia" w:ascii="宋体" w:hAnsi="宋体" w:eastAsia="宋体" w:cs="宋体"/>
                <w:color w:val="auto"/>
                <w:kern w:val="0"/>
                <w:sz w:val="24"/>
                <w:szCs w:val="24"/>
                <w:highlight w:val="none"/>
                <w:lang w:val="en-US" w:eastAsia="zh-CN"/>
              </w:rPr>
              <w:t>1</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35</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24.024</w:t>
            </w:r>
            <w:r>
              <w:rPr>
                <w:rFonts w:hint="eastAsia" w:ascii="宋体" w:hAnsi="宋体" w:eastAsia="宋体" w:cs="宋体"/>
                <w:color w:val="auto"/>
                <w:kern w:val="0"/>
                <w:sz w:val="24"/>
                <w:szCs w:val="24"/>
                <w:highlight w:val="none"/>
              </w:rPr>
              <w:t>''</w:t>
            </w:r>
          </w:p>
        </w:tc>
        <w:tc>
          <w:tcPr>
            <w:tcW w:w="0" w:type="auto"/>
            <w:vAlign w:val="center"/>
          </w:tcPr>
          <w:p>
            <w:pPr>
              <w:keepNext w:val="0"/>
              <w:keepLines w:val="0"/>
              <w:pageBreakBefore w:val="0"/>
              <w:widowControl/>
              <w:kinsoku/>
              <w:wordWrap/>
              <w:overflowPunct/>
              <w:topLinePunct w:val="0"/>
              <w:autoSpaceDE/>
              <w:autoSpaceDN/>
              <w:bidi w:val="0"/>
              <w:adjustRightInd w:val="0"/>
              <w:snapToGrid/>
              <w:spacing w:line="240" w:lineRule="auto"/>
              <w:ind w:firstLine="0" w:firstLineChars="0"/>
              <w:jc w:val="center"/>
              <w:textAlignment w:val="center"/>
              <w:rPr>
                <w:rFonts w:hint="eastAsia" w:ascii="宋体" w:hAnsi="宋体" w:eastAsia="宋体" w:cs="宋体"/>
                <w:color w:val="auto"/>
                <w:spacing w:val="0"/>
                <w:sz w:val="24"/>
                <w:szCs w:val="24"/>
                <w:highlight w:val="none"/>
                <w:lang w:val="en-US" w:eastAsia="zh-CN"/>
              </w:rPr>
            </w:pPr>
            <w:r>
              <w:rPr>
                <w:rFonts w:hint="eastAsia" w:ascii="宋体" w:hAnsi="宋体" w:eastAsia="宋体" w:cs="宋体"/>
                <w:color w:val="auto"/>
                <w:kern w:val="0"/>
                <w:sz w:val="24"/>
                <w:szCs w:val="24"/>
                <w:highlight w:val="none"/>
              </w:rPr>
              <w:t>固态、</w:t>
            </w:r>
            <w:r>
              <w:rPr>
                <w:rFonts w:hint="eastAsia" w:ascii="宋体" w:hAnsi="宋体" w:eastAsia="宋体" w:cs="宋体"/>
                <w:color w:val="auto"/>
                <w:kern w:val="0"/>
                <w:sz w:val="24"/>
                <w:szCs w:val="24"/>
                <w:highlight w:val="none"/>
                <w:lang w:val="en-US" w:eastAsia="zh-CN"/>
              </w:rPr>
              <w:t>红</w:t>
            </w:r>
            <w:r>
              <w:rPr>
                <w:rFonts w:hint="eastAsia" w:ascii="宋体" w:hAnsi="宋体" w:eastAsia="宋体" w:cs="宋体"/>
                <w:color w:val="auto"/>
                <w:kern w:val="0"/>
                <w:sz w:val="24"/>
                <w:szCs w:val="24"/>
                <w:highlight w:val="none"/>
              </w:rPr>
              <w:t>色、</w:t>
            </w:r>
            <w:r>
              <w:rPr>
                <w:rFonts w:hint="eastAsia" w:ascii="宋体" w:hAnsi="宋体" w:eastAsia="宋体" w:cs="宋体"/>
                <w:color w:val="auto"/>
                <w:kern w:val="0"/>
                <w:sz w:val="24"/>
                <w:szCs w:val="24"/>
                <w:highlight w:val="none"/>
                <w:lang w:val="en-US" w:eastAsia="zh-CN"/>
              </w:rPr>
              <w:t>壤土</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潮湿</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少量</w:t>
            </w:r>
            <w:r>
              <w:rPr>
                <w:rFonts w:hint="eastAsia" w:ascii="宋体" w:hAnsi="宋体" w:eastAsia="宋体" w:cs="宋体"/>
                <w:color w:val="auto"/>
                <w:kern w:val="0"/>
                <w:sz w:val="24"/>
                <w:szCs w:val="24"/>
                <w:highlight w:val="none"/>
              </w:rPr>
              <w:t>砂粒、</w:t>
            </w:r>
            <w:r>
              <w:rPr>
                <w:rFonts w:hint="eastAsia" w:ascii="宋体" w:hAnsi="宋体" w:eastAsia="宋体" w:cs="宋体"/>
                <w:color w:val="auto"/>
                <w:kern w:val="0"/>
                <w:sz w:val="24"/>
                <w:szCs w:val="24"/>
                <w:highlight w:val="none"/>
                <w:lang w:val="en-US" w:eastAsia="zh-CN"/>
              </w:rPr>
              <w:t>少量根系</w:t>
            </w:r>
          </w:p>
        </w:tc>
      </w:tr>
    </w:tbl>
    <w:p>
      <w:pPr>
        <w:keepNext/>
        <w:keepLines/>
        <w:widowControl w:val="0"/>
        <w:numPr>
          <w:ilvl w:val="1"/>
          <w:numId w:val="1"/>
        </w:numPr>
        <w:bidi w:val="0"/>
        <w:spacing w:line="520" w:lineRule="exact"/>
        <w:ind w:firstLine="0" w:firstLineChars="0"/>
        <w:jc w:val="left"/>
        <w:outlineLvl w:val="1"/>
        <w:rPr>
          <w:rFonts w:hint="eastAsia" w:ascii="宋体" w:hAnsi="宋体" w:eastAsia="宋体" w:cs="宋体"/>
          <w:b/>
          <w:bCs/>
          <w:kern w:val="2"/>
          <w:sz w:val="28"/>
          <w:szCs w:val="32"/>
          <w:lang w:val="en-US" w:eastAsia="zh-CN" w:bidi="ar-SA"/>
        </w:rPr>
      </w:pPr>
      <w:bookmarkStart w:id="259" w:name="_Toc26619"/>
      <w:r>
        <w:rPr>
          <w:rFonts w:hint="eastAsia" w:ascii="宋体" w:hAnsi="宋体" w:eastAsia="宋体" w:cs="宋体"/>
          <w:b/>
          <w:bCs/>
          <w:kern w:val="2"/>
          <w:sz w:val="28"/>
          <w:szCs w:val="32"/>
          <w:lang w:val="en-US" w:eastAsia="zh-CN" w:bidi="ar-SA"/>
        </w:rPr>
        <w:t>8.2监测结果</w:t>
      </w:r>
      <w:bookmarkEnd w:id="242"/>
      <w:bookmarkEnd w:id="243"/>
      <w:bookmarkEnd w:id="244"/>
      <w:bookmarkEnd w:id="245"/>
      <w:bookmarkEnd w:id="259"/>
    </w:p>
    <w:p>
      <w:pPr>
        <w:keepNext w:val="0"/>
        <w:keepLines w:val="0"/>
        <w:pageBreakBefore w:val="0"/>
        <w:widowControl w:val="0"/>
        <w:kinsoku/>
        <w:wordWrap/>
        <w:overflowPunct/>
        <w:topLinePunct w:val="0"/>
        <w:autoSpaceDE/>
        <w:autoSpaceDN/>
        <w:bidi w:val="0"/>
        <w:adjustRightInd/>
        <w:snapToGrid/>
        <w:spacing w:line="520" w:lineRule="exact"/>
        <w:ind w:left="0" w:right="0" w:firstLine="560" w:firstLineChars="200"/>
        <w:jc w:val="left"/>
        <w:textAlignment w:val="auto"/>
        <w:rPr>
          <w:rFonts w:hint="eastAsia" w:ascii="宋体" w:hAnsi="宋体" w:eastAsia="宋体" w:cs="宋体"/>
          <w:color w:val="auto"/>
          <w:kern w:val="2"/>
          <w:sz w:val="28"/>
          <w:szCs w:val="28"/>
          <w:highlight w:val="none"/>
          <w:lang w:val="zh-CN" w:eastAsia="zh-CN" w:bidi="zh-CN"/>
        </w:rPr>
      </w:pPr>
      <w:r>
        <w:rPr>
          <w:rFonts w:hint="eastAsia" w:ascii="宋体" w:hAnsi="宋体" w:eastAsia="宋体" w:cs="宋体"/>
          <w:color w:val="auto"/>
          <w:kern w:val="2"/>
          <w:sz w:val="28"/>
          <w:szCs w:val="28"/>
          <w:highlight w:val="none"/>
          <w:lang w:val="zh-CN" w:eastAsia="zh-CN" w:bidi="zh-CN"/>
        </w:rPr>
        <w:t>监测结果汇总情况见下表：</w:t>
      </w:r>
    </w:p>
    <w:tbl>
      <w:tblPr>
        <w:tblStyle w:val="21"/>
        <w:tblW w:w="8998" w:type="dxa"/>
        <w:jc w:val="center"/>
        <w:tblBorders>
          <w:top w:val="double" w:color="auto" w:sz="4" w:space="0"/>
          <w:left w:val="none" w:color="auto" w:sz="0" w:space="0"/>
          <w:bottom w:val="doub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292"/>
        <w:gridCol w:w="2510"/>
        <w:gridCol w:w="2032"/>
        <w:gridCol w:w="1929"/>
        <w:gridCol w:w="1235"/>
      </w:tblGrid>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36" w:hRule="atLeast"/>
          <w:tblHeader/>
          <w:jc w:val="center"/>
        </w:trPr>
        <w:tc>
          <w:tcPr>
            <w:tcW w:w="1292" w:type="dxa"/>
            <w:vMerge w:val="restart"/>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eastAsia" w:ascii="宋体" w:hAnsi="宋体" w:eastAsia="宋体" w:cs="宋体"/>
                <w:b/>
                <w:bCs/>
                <w:color w:val="auto"/>
                <w:kern w:val="0"/>
                <w:sz w:val="24"/>
                <w:highlight w:val="none"/>
              </w:rPr>
            </w:pPr>
            <w:bookmarkStart w:id="260" w:name="_Toc1875"/>
            <w:bookmarkStart w:id="261" w:name="_Toc20781"/>
            <w:bookmarkStart w:id="262" w:name="_Toc27605"/>
            <w:r>
              <w:rPr>
                <w:rFonts w:hint="eastAsia" w:ascii="宋体" w:hAnsi="宋体" w:eastAsia="宋体" w:cs="宋体"/>
                <w:b/>
                <w:bCs/>
                <w:color w:val="auto"/>
                <w:kern w:val="0"/>
                <w:sz w:val="24"/>
                <w:highlight w:val="none"/>
              </w:rPr>
              <w:t>采样时间</w:t>
            </w:r>
          </w:p>
        </w:tc>
        <w:tc>
          <w:tcPr>
            <w:tcW w:w="2510" w:type="dxa"/>
            <w:vMerge w:val="restart"/>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eastAsia" w:ascii="宋体" w:hAnsi="宋体" w:eastAsia="宋体" w:cs="宋体"/>
                <w:b/>
                <w:bCs/>
                <w:color w:val="auto"/>
                <w:kern w:val="0"/>
                <w:sz w:val="24"/>
                <w:highlight w:val="none"/>
              </w:rPr>
            </w:pPr>
            <w:r>
              <w:rPr>
                <w:rFonts w:hint="eastAsia" w:ascii="宋体" w:hAnsi="宋体" w:eastAsia="宋体" w:cs="宋体"/>
                <w:b/>
                <w:bCs/>
                <w:color w:val="auto"/>
                <w:kern w:val="0"/>
                <w:sz w:val="24"/>
                <w:highlight w:val="none"/>
              </w:rPr>
              <w:t>检测因子</w:t>
            </w:r>
          </w:p>
        </w:tc>
        <w:tc>
          <w:tcPr>
            <w:tcW w:w="3961" w:type="dxa"/>
            <w:gridSpan w:val="2"/>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eastAsia" w:ascii="宋体" w:hAnsi="宋体" w:eastAsia="宋体" w:cs="宋体"/>
                <w:b/>
                <w:bCs/>
                <w:color w:val="auto"/>
                <w:kern w:val="0"/>
                <w:sz w:val="24"/>
                <w:highlight w:val="none"/>
              </w:rPr>
            </w:pPr>
            <w:r>
              <w:rPr>
                <w:rFonts w:hint="eastAsia" w:ascii="宋体" w:hAnsi="宋体" w:eastAsia="宋体" w:cs="宋体"/>
                <w:b/>
                <w:bCs/>
                <w:color w:val="auto"/>
                <w:kern w:val="0"/>
                <w:sz w:val="24"/>
                <w:highlight w:val="none"/>
              </w:rPr>
              <w:t>检测结果</w:t>
            </w:r>
          </w:p>
        </w:tc>
        <w:tc>
          <w:tcPr>
            <w:tcW w:w="1235"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color w:val="auto"/>
                <w:kern w:val="0"/>
                <w:sz w:val="24"/>
                <w:highlight w:val="none"/>
                <w:lang w:val="en-US" w:eastAsia="zh-CN"/>
              </w:rPr>
            </w:pPr>
            <w:r>
              <w:rPr>
                <w:rFonts w:hint="eastAsia" w:ascii="宋体" w:hAnsi="宋体" w:eastAsia="宋体" w:cs="宋体"/>
                <w:b/>
                <w:bCs/>
                <w:color w:val="auto"/>
                <w:kern w:val="0"/>
                <w:sz w:val="24"/>
                <w:highlight w:val="none"/>
                <w:lang w:val="en-US" w:eastAsia="zh-CN"/>
              </w:rPr>
              <w:t>样品状态</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40" w:hRule="atLeast"/>
          <w:tblHeader/>
          <w:jc w:val="center"/>
        </w:trPr>
        <w:tc>
          <w:tcPr>
            <w:tcW w:w="1292" w:type="dxa"/>
            <w:vMerge w:val="continue"/>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eastAsia" w:ascii="宋体" w:hAnsi="宋体" w:eastAsia="宋体" w:cs="宋体"/>
                <w:b/>
                <w:bCs/>
                <w:color w:val="auto"/>
                <w:kern w:val="0"/>
                <w:sz w:val="24"/>
                <w:highlight w:val="none"/>
              </w:rPr>
            </w:pPr>
          </w:p>
        </w:tc>
        <w:tc>
          <w:tcPr>
            <w:tcW w:w="2510" w:type="dxa"/>
            <w:vMerge w:val="continue"/>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eastAsia" w:ascii="宋体" w:hAnsi="宋体" w:eastAsia="宋体" w:cs="宋体"/>
                <w:b/>
                <w:bCs/>
                <w:color w:val="auto"/>
                <w:kern w:val="0"/>
                <w:sz w:val="24"/>
                <w:highlight w:val="none"/>
              </w:rPr>
            </w:pPr>
          </w:p>
        </w:tc>
        <w:tc>
          <w:tcPr>
            <w:tcW w:w="203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highlight w:val="none"/>
                <w:lang w:val="en-US"/>
              </w:rPr>
            </w:pPr>
            <w:r>
              <w:rPr>
                <w:rFonts w:hint="eastAsia" w:ascii="宋体" w:hAnsi="宋体" w:eastAsia="宋体" w:cs="宋体"/>
                <w:b/>
                <w:bCs/>
                <w:color w:val="auto"/>
                <w:kern w:val="0"/>
                <w:sz w:val="24"/>
                <w:highlight w:val="none"/>
                <w:lang w:val="en-US" w:eastAsia="zh-CN"/>
              </w:rPr>
              <w:t>园区地下水点位</w:t>
            </w:r>
          </w:p>
        </w:tc>
        <w:tc>
          <w:tcPr>
            <w:tcW w:w="192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highlight w:val="none"/>
                <w:lang w:val="en-US"/>
              </w:rPr>
            </w:pPr>
            <w:r>
              <w:rPr>
                <w:rFonts w:hint="eastAsia" w:ascii="宋体" w:hAnsi="宋体" w:eastAsia="宋体" w:cs="宋体"/>
                <w:b/>
                <w:bCs/>
                <w:color w:val="auto"/>
                <w:kern w:val="0"/>
                <w:sz w:val="24"/>
                <w:highlight w:val="none"/>
                <w:lang w:val="en-US" w:eastAsia="zh-CN"/>
              </w:rPr>
              <w:t>厂区地下水点位</w:t>
            </w:r>
          </w:p>
        </w:tc>
        <w:tc>
          <w:tcPr>
            <w:tcW w:w="1235" w:type="dxa"/>
            <w:vMerge w:val="continue"/>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eastAsia" w:ascii="宋体" w:hAnsi="宋体" w:eastAsia="宋体" w:cs="宋体"/>
                <w:b/>
                <w:bCs/>
                <w:color w:val="auto"/>
                <w:kern w:val="0"/>
                <w:sz w:val="24"/>
                <w:highlight w:val="none"/>
                <w:lang w:val="en-US" w:eastAsia="zh-CN"/>
              </w:rPr>
            </w:pP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20" w:hRule="atLeast"/>
          <w:jc w:val="center"/>
        </w:trPr>
        <w:tc>
          <w:tcPr>
            <w:tcW w:w="1292"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color w:val="auto"/>
                <w:kern w:val="0"/>
                <w:sz w:val="24"/>
                <w:highlight w:val="none"/>
                <w:lang w:val="en-US" w:eastAsia="zh-CN"/>
              </w:rPr>
            </w:pPr>
            <w:r>
              <w:rPr>
                <w:rFonts w:hint="eastAsia" w:ascii="宋体" w:hAnsi="宋体" w:eastAsia="宋体" w:cs="宋体"/>
                <w:color w:val="auto"/>
                <w:kern w:val="0"/>
                <w:sz w:val="24"/>
                <w:highlight w:val="none"/>
              </w:rPr>
              <w:t>202</w:t>
            </w:r>
            <w:r>
              <w:rPr>
                <w:rFonts w:hint="eastAsia" w:ascii="宋体" w:hAnsi="宋体" w:eastAsia="宋体" w:cs="宋体"/>
                <w:color w:val="auto"/>
                <w:kern w:val="0"/>
                <w:sz w:val="24"/>
                <w:highlight w:val="none"/>
                <w:lang w:val="en-US" w:eastAsia="zh-CN"/>
              </w:rPr>
              <w:t>3</w:t>
            </w:r>
            <w:r>
              <w:rPr>
                <w:rFonts w:hint="eastAsia" w:ascii="宋体" w:hAnsi="宋体" w:eastAsia="宋体" w:cs="宋体"/>
                <w:color w:val="auto"/>
                <w:kern w:val="0"/>
                <w:sz w:val="24"/>
                <w:highlight w:val="none"/>
              </w:rPr>
              <w:t>.0</w:t>
            </w:r>
            <w:r>
              <w:rPr>
                <w:rFonts w:hint="eastAsia" w:ascii="宋体" w:hAnsi="宋体" w:eastAsia="宋体" w:cs="宋体"/>
                <w:color w:val="auto"/>
                <w:kern w:val="0"/>
                <w:sz w:val="24"/>
                <w:highlight w:val="none"/>
                <w:lang w:val="en-US" w:eastAsia="zh-CN"/>
              </w:rPr>
              <w:t>6.08</w:t>
            </w:r>
          </w:p>
        </w:tc>
        <w:tc>
          <w:tcPr>
            <w:tcW w:w="2510"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pH值</w:t>
            </w:r>
          </w:p>
        </w:tc>
        <w:tc>
          <w:tcPr>
            <w:tcW w:w="2032"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lang w:val="en-US" w:eastAsia="zh-CN"/>
              </w:rPr>
              <w:t>7.9</w:t>
            </w:r>
          </w:p>
        </w:tc>
        <w:tc>
          <w:tcPr>
            <w:tcW w:w="1929"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lang w:val="en-US" w:eastAsia="zh-CN"/>
              </w:rPr>
              <w:t>7.9</w:t>
            </w:r>
          </w:p>
        </w:tc>
        <w:tc>
          <w:tcPr>
            <w:tcW w:w="1235" w:type="dxa"/>
            <w:vMerge w:val="restart"/>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lang w:val="en-US" w:eastAsia="zh-CN"/>
              </w:rPr>
              <w:t>水样均为液态、无色、无味、无肉眼可见物。</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20" w:hRule="atLeast"/>
          <w:jc w:val="center"/>
        </w:trPr>
        <w:tc>
          <w:tcPr>
            <w:tcW w:w="1292" w:type="dxa"/>
            <w:vMerge w:val="continue"/>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eastAsia" w:ascii="宋体" w:hAnsi="宋体" w:eastAsia="宋体" w:cs="宋体"/>
                <w:color w:val="auto"/>
                <w:kern w:val="0"/>
                <w:sz w:val="24"/>
                <w:highlight w:val="none"/>
              </w:rPr>
            </w:pPr>
          </w:p>
        </w:tc>
        <w:tc>
          <w:tcPr>
            <w:tcW w:w="2510"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氨氮(mg/L)</w:t>
            </w:r>
          </w:p>
        </w:tc>
        <w:tc>
          <w:tcPr>
            <w:tcW w:w="2032"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eastAsia="zh-CN"/>
              </w:rPr>
              <w:t>未检出</w:t>
            </w:r>
          </w:p>
        </w:tc>
        <w:tc>
          <w:tcPr>
            <w:tcW w:w="1929"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eastAsia="zh-CN"/>
              </w:rPr>
              <w:t>未检出</w:t>
            </w:r>
          </w:p>
        </w:tc>
        <w:tc>
          <w:tcPr>
            <w:tcW w:w="1235" w:type="dxa"/>
            <w:vMerge w:val="continue"/>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lang w:val="en-US" w:eastAsia="zh-CN"/>
              </w:rPr>
            </w:pP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20" w:hRule="atLeast"/>
          <w:jc w:val="center"/>
        </w:trPr>
        <w:tc>
          <w:tcPr>
            <w:tcW w:w="1292" w:type="dxa"/>
            <w:vMerge w:val="continue"/>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eastAsia" w:ascii="宋体" w:hAnsi="宋体" w:eastAsia="宋体" w:cs="宋体"/>
                <w:color w:val="auto"/>
                <w:kern w:val="0"/>
                <w:sz w:val="24"/>
                <w:highlight w:val="none"/>
              </w:rPr>
            </w:pPr>
          </w:p>
        </w:tc>
        <w:tc>
          <w:tcPr>
            <w:tcW w:w="2510"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钾(mg/L)</w:t>
            </w:r>
          </w:p>
        </w:tc>
        <w:tc>
          <w:tcPr>
            <w:tcW w:w="2032"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lang w:val="en-US" w:eastAsia="zh-CN"/>
              </w:rPr>
              <w:t>8.64</w:t>
            </w:r>
          </w:p>
        </w:tc>
        <w:tc>
          <w:tcPr>
            <w:tcW w:w="1929"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lang w:val="en-US" w:eastAsia="zh-CN"/>
              </w:rPr>
              <w:t>9.77</w:t>
            </w:r>
          </w:p>
        </w:tc>
        <w:tc>
          <w:tcPr>
            <w:tcW w:w="1235" w:type="dxa"/>
            <w:vMerge w:val="continue"/>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lang w:val="en-US" w:eastAsia="zh-CN"/>
              </w:rPr>
            </w:pP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20" w:hRule="atLeast"/>
          <w:jc w:val="center"/>
        </w:trPr>
        <w:tc>
          <w:tcPr>
            <w:tcW w:w="1292" w:type="dxa"/>
            <w:vMerge w:val="continue"/>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eastAsia" w:ascii="宋体" w:hAnsi="宋体" w:eastAsia="宋体" w:cs="宋体"/>
                <w:color w:val="auto"/>
                <w:kern w:val="0"/>
                <w:sz w:val="24"/>
                <w:highlight w:val="none"/>
              </w:rPr>
            </w:pPr>
          </w:p>
        </w:tc>
        <w:tc>
          <w:tcPr>
            <w:tcW w:w="2510"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钠(mg/L)</w:t>
            </w:r>
          </w:p>
        </w:tc>
        <w:tc>
          <w:tcPr>
            <w:tcW w:w="2032"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lang w:val="en-US" w:eastAsia="zh-CN"/>
              </w:rPr>
              <w:t>14.8</w:t>
            </w:r>
          </w:p>
        </w:tc>
        <w:tc>
          <w:tcPr>
            <w:tcW w:w="1929"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lang w:val="en-US" w:eastAsia="zh-CN"/>
              </w:rPr>
              <w:t>15.3</w:t>
            </w:r>
          </w:p>
        </w:tc>
        <w:tc>
          <w:tcPr>
            <w:tcW w:w="1235" w:type="dxa"/>
            <w:vMerge w:val="continue"/>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lang w:val="en-US" w:eastAsia="zh-CN"/>
              </w:rPr>
            </w:pP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20" w:hRule="atLeast"/>
          <w:jc w:val="center"/>
        </w:trPr>
        <w:tc>
          <w:tcPr>
            <w:tcW w:w="1292" w:type="dxa"/>
            <w:vMerge w:val="continue"/>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eastAsia" w:ascii="宋体" w:hAnsi="宋体" w:eastAsia="宋体" w:cs="宋体"/>
                <w:color w:val="auto"/>
                <w:kern w:val="0"/>
                <w:sz w:val="24"/>
                <w:highlight w:val="none"/>
              </w:rPr>
            </w:pPr>
          </w:p>
        </w:tc>
        <w:tc>
          <w:tcPr>
            <w:tcW w:w="2510"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钙(mg/L)</w:t>
            </w:r>
          </w:p>
        </w:tc>
        <w:tc>
          <w:tcPr>
            <w:tcW w:w="2032"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lang w:val="en-US" w:eastAsia="zh-CN"/>
              </w:rPr>
              <w:t>98</w:t>
            </w:r>
          </w:p>
        </w:tc>
        <w:tc>
          <w:tcPr>
            <w:tcW w:w="1929"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lang w:val="en-US" w:eastAsia="zh-CN"/>
              </w:rPr>
              <w:t>95</w:t>
            </w:r>
          </w:p>
        </w:tc>
        <w:tc>
          <w:tcPr>
            <w:tcW w:w="1235" w:type="dxa"/>
            <w:vMerge w:val="continue"/>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lang w:val="en-US" w:eastAsia="zh-CN"/>
              </w:rPr>
            </w:pP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20" w:hRule="atLeast"/>
          <w:jc w:val="center"/>
        </w:trPr>
        <w:tc>
          <w:tcPr>
            <w:tcW w:w="1292" w:type="dxa"/>
            <w:vMerge w:val="continue"/>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eastAsia" w:ascii="宋体" w:hAnsi="宋体" w:eastAsia="宋体" w:cs="宋体"/>
                <w:color w:val="auto"/>
                <w:kern w:val="0"/>
                <w:sz w:val="24"/>
                <w:highlight w:val="none"/>
              </w:rPr>
            </w:pPr>
          </w:p>
        </w:tc>
        <w:tc>
          <w:tcPr>
            <w:tcW w:w="2510"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镁(mg/L)</w:t>
            </w:r>
          </w:p>
        </w:tc>
        <w:tc>
          <w:tcPr>
            <w:tcW w:w="2032"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lang w:val="en-US" w:eastAsia="zh-CN"/>
              </w:rPr>
              <w:t>10.0</w:t>
            </w:r>
          </w:p>
        </w:tc>
        <w:tc>
          <w:tcPr>
            <w:tcW w:w="1929"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lang w:val="en-US" w:eastAsia="zh-CN"/>
              </w:rPr>
              <w:t>11.0</w:t>
            </w:r>
          </w:p>
        </w:tc>
        <w:tc>
          <w:tcPr>
            <w:tcW w:w="1235" w:type="dxa"/>
            <w:vMerge w:val="continue"/>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lang w:val="en-US" w:eastAsia="zh-CN"/>
              </w:rPr>
            </w:pP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20" w:hRule="atLeast"/>
          <w:jc w:val="center"/>
        </w:trPr>
        <w:tc>
          <w:tcPr>
            <w:tcW w:w="1292" w:type="dxa"/>
            <w:vMerge w:val="continue"/>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eastAsia" w:ascii="宋体" w:hAnsi="宋体" w:eastAsia="宋体" w:cs="宋体"/>
                <w:color w:val="auto"/>
                <w:kern w:val="0"/>
                <w:sz w:val="24"/>
                <w:highlight w:val="none"/>
              </w:rPr>
            </w:pPr>
          </w:p>
        </w:tc>
        <w:tc>
          <w:tcPr>
            <w:tcW w:w="2510"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砷(μg/L)</w:t>
            </w:r>
          </w:p>
        </w:tc>
        <w:tc>
          <w:tcPr>
            <w:tcW w:w="2032"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eastAsia="zh-CN"/>
              </w:rPr>
              <w:t>未检出</w:t>
            </w:r>
          </w:p>
        </w:tc>
        <w:tc>
          <w:tcPr>
            <w:tcW w:w="1929"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eastAsia="zh-CN"/>
              </w:rPr>
              <w:t>未检出</w:t>
            </w:r>
          </w:p>
        </w:tc>
        <w:tc>
          <w:tcPr>
            <w:tcW w:w="1235" w:type="dxa"/>
            <w:vMerge w:val="continue"/>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lang w:val="en-US" w:eastAsia="zh-CN"/>
              </w:rPr>
            </w:pP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20" w:hRule="atLeast"/>
          <w:jc w:val="center"/>
        </w:trPr>
        <w:tc>
          <w:tcPr>
            <w:tcW w:w="1292" w:type="dxa"/>
            <w:vMerge w:val="continue"/>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eastAsia" w:ascii="宋体" w:hAnsi="宋体" w:eastAsia="宋体" w:cs="宋体"/>
                <w:color w:val="auto"/>
                <w:kern w:val="0"/>
                <w:sz w:val="24"/>
                <w:highlight w:val="none"/>
              </w:rPr>
            </w:pPr>
          </w:p>
        </w:tc>
        <w:tc>
          <w:tcPr>
            <w:tcW w:w="2510"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汞(μg/L)</w:t>
            </w:r>
          </w:p>
        </w:tc>
        <w:tc>
          <w:tcPr>
            <w:tcW w:w="2032"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eastAsia="zh-CN"/>
              </w:rPr>
              <w:t>未检出</w:t>
            </w:r>
          </w:p>
        </w:tc>
        <w:tc>
          <w:tcPr>
            <w:tcW w:w="1929"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eastAsia="zh-CN"/>
              </w:rPr>
              <w:t>未检出</w:t>
            </w:r>
          </w:p>
        </w:tc>
        <w:tc>
          <w:tcPr>
            <w:tcW w:w="1235" w:type="dxa"/>
            <w:vMerge w:val="continue"/>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lang w:val="en-US" w:eastAsia="zh-CN"/>
              </w:rPr>
            </w:pP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20" w:hRule="atLeast"/>
          <w:jc w:val="center"/>
        </w:trPr>
        <w:tc>
          <w:tcPr>
            <w:tcW w:w="1292" w:type="dxa"/>
            <w:vMerge w:val="continue"/>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eastAsia" w:ascii="宋体" w:hAnsi="宋体" w:eastAsia="宋体" w:cs="宋体"/>
                <w:color w:val="auto"/>
                <w:kern w:val="0"/>
                <w:sz w:val="24"/>
                <w:highlight w:val="none"/>
              </w:rPr>
            </w:pPr>
          </w:p>
        </w:tc>
        <w:tc>
          <w:tcPr>
            <w:tcW w:w="2510"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铅(μg/L)</w:t>
            </w:r>
          </w:p>
        </w:tc>
        <w:tc>
          <w:tcPr>
            <w:tcW w:w="2032"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eastAsia="zh-CN"/>
              </w:rPr>
              <w:t>未检出</w:t>
            </w:r>
          </w:p>
        </w:tc>
        <w:tc>
          <w:tcPr>
            <w:tcW w:w="1929"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eastAsia="zh-CN"/>
              </w:rPr>
              <w:t>未检出</w:t>
            </w:r>
          </w:p>
        </w:tc>
        <w:tc>
          <w:tcPr>
            <w:tcW w:w="1235" w:type="dxa"/>
            <w:vMerge w:val="continue"/>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rPr>
            </w:pP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20" w:hRule="atLeast"/>
          <w:jc w:val="center"/>
        </w:trPr>
        <w:tc>
          <w:tcPr>
            <w:tcW w:w="1292" w:type="dxa"/>
            <w:vMerge w:val="continue"/>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eastAsia" w:ascii="宋体" w:hAnsi="宋体" w:eastAsia="宋体" w:cs="宋体"/>
                <w:color w:val="auto"/>
                <w:kern w:val="0"/>
                <w:sz w:val="24"/>
                <w:highlight w:val="none"/>
              </w:rPr>
            </w:pPr>
          </w:p>
        </w:tc>
        <w:tc>
          <w:tcPr>
            <w:tcW w:w="2510"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六价铬(mg/L)</w:t>
            </w:r>
          </w:p>
        </w:tc>
        <w:tc>
          <w:tcPr>
            <w:tcW w:w="2032"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eastAsia="zh-CN"/>
              </w:rPr>
              <w:t>未检出</w:t>
            </w:r>
          </w:p>
        </w:tc>
        <w:tc>
          <w:tcPr>
            <w:tcW w:w="1929"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eastAsia="zh-CN"/>
              </w:rPr>
              <w:t>未检出</w:t>
            </w:r>
          </w:p>
        </w:tc>
        <w:tc>
          <w:tcPr>
            <w:tcW w:w="1235" w:type="dxa"/>
            <w:vMerge w:val="continue"/>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rPr>
            </w:pP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20" w:hRule="atLeast"/>
          <w:jc w:val="center"/>
        </w:trPr>
        <w:tc>
          <w:tcPr>
            <w:tcW w:w="1292" w:type="dxa"/>
            <w:vMerge w:val="continue"/>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eastAsia" w:ascii="宋体" w:hAnsi="宋体" w:eastAsia="宋体" w:cs="宋体"/>
                <w:color w:val="auto"/>
                <w:kern w:val="0"/>
                <w:sz w:val="24"/>
                <w:highlight w:val="none"/>
              </w:rPr>
            </w:pPr>
          </w:p>
        </w:tc>
        <w:tc>
          <w:tcPr>
            <w:tcW w:w="2510"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镉(μg/L)</w:t>
            </w:r>
          </w:p>
        </w:tc>
        <w:tc>
          <w:tcPr>
            <w:tcW w:w="2032"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eastAsia="zh-CN"/>
              </w:rPr>
              <w:t>未检出</w:t>
            </w:r>
          </w:p>
        </w:tc>
        <w:tc>
          <w:tcPr>
            <w:tcW w:w="1929"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eastAsia="zh-CN"/>
              </w:rPr>
              <w:t>未检出</w:t>
            </w:r>
          </w:p>
        </w:tc>
        <w:tc>
          <w:tcPr>
            <w:tcW w:w="1235" w:type="dxa"/>
            <w:vMerge w:val="continue"/>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rPr>
            </w:pP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20" w:hRule="atLeast"/>
          <w:jc w:val="center"/>
        </w:trPr>
        <w:tc>
          <w:tcPr>
            <w:tcW w:w="1292" w:type="dxa"/>
            <w:vMerge w:val="continue"/>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eastAsia" w:ascii="宋体" w:hAnsi="宋体" w:eastAsia="宋体" w:cs="宋体"/>
                <w:color w:val="auto"/>
                <w:kern w:val="0"/>
                <w:sz w:val="24"/>
                <w:highlight w:val="none"/>
              </w:rPr>
            </w:pPr>
          </w:p>
        </w:tc>
        <w:tc>
          <w:tcPr>
            <w:tcW w:w="2510"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en-US" w:eastAsia="zh-CN"/>
              </w:rPr>
              <w:t>锌</w:t>
            </w:r>
            <w:r>
              <w:rPr>
                <w:rFonts w:hint="eastAsia" w:ascii="宋体" w:hAnsi="宋体" w:eastAsia="宋体" w:cs="宋体"/>
                <w:color w:val="auto"/>
                <w:kern w:val="0"/>
                <w:sz w:val="24"/>
                <w:highlight w:val="none"/>
              </w:rPr>
              <w:t>(mg/L)</w:t>
            </w:r>
          </w:p>
        </w:tc>
        <w:tc>
          <w:tcPr>
            <w:tcW w:w="2032"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eastAsia="zh-CN"/>
              </w:rPr>
              <w:t>未检出</w:t>
            </w:r>
          </w:p>
        </w:tc>
        <w:tc>
          <w:tcPr>
            <w:tcW w:w="1929"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eastAsia="zh-CN"/>
              </w:rPr>
              <w:t>未检出</w:t>
            </w:r>
          </w:p>
        </w:tc>
        <w:tc>
          <w:tcPr>
            <w:tcW w:w="1235" w:type="dxa"/>
            <w:vMerge w:val="continue"/>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rPr>
            </w:pP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20" w:hRule="atLeast"/>
          <w:jc w:val="center"/>
        </w:trPr>
        <w:tc>
          <w:tcPr>
            <w:tcW w:w="1292" w:type="dxa"/>
            <w:vMerge w:val="continue"/>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eastAsia" w:ascii="宋体" w:hAnsi="宋体" w:eastAsia="宋体" w:cs="宋体"/>
                <w:color w:val="auto"/>
                <w:kern w:val="0"/>
                <w:sz w:val="24"/>
                <w:highlight w:val="none"/>
              </w:rPr>
            </w:pPr>
          </w:p>
        </w:tc>
        <w:tc>
          <w:tcPr>
            <w:tcW w:w="2510"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锰(mg/L)</w:t>
            </w:r>
          </w:p>
        </w:tc>
        <w:tc>
          <w:tcPr>
            <w:tcW w:w="2032"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lang w:eastAsia="zh-CN"/>
              </w:rPr>
            </w:pPr>
            <w:r>
              <w:rPr>
                <w:rFonts w:hint="eastAsia" w:ascii="宋体" w:hAnsi="宋体" w:eastAsia="宋体" w:cs="宋体"/>
                <w:color w:val="auto"/>
                <w:kern w:val="0"/>
                <w:sz w:val="24"/>
                <w:highlight w:val="none"/>
                <w:lang w:eastAsia="zh-CN"/>
              </w:rPr>
              <w:t>未检出</w:t>
            </w:r>
          </w:p>
        </w:tc>
        <w:tc>
          <w:tcPr>
            <w:tcW w:w="1929"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lang w:eastAsia="zh-CN"/>
              </w:rPr>
            </w:pPr>
            <w:r>
              <w:rPr>
                <w:rFonts w:hint="eastAsia" w:ascii="宋体" w:hAnsi="宋体" w:eastAsia="宋体" w:cs="宋体"/>
                <w:color w:val="auto"/>
                <w:kern w:val="0"/>
                <w:sz w:val="24"/>
                <w:highlight w:val="none"/>
                <w:lang w:eastAsia="zh-CN"/>
              </w:rPr>
              <w:t>未检出</w:t>
            </w:r>
          </w:p>
        </w:tc>
        <w:tc>
          <w:tcPr>
            <w:tcW w:w="1235" w:type="dxa"/>
            <w:vMerge w:val="continue"/>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rPr>
            </w:pP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20" w:hRule="atLeast"/>
          <w:jc w:val="center"/>
        </w:trPr>
        <w:tc>
          <w:tcPr>
            <w:tcW w:w="1292" w:type="dxa"/>
            <w:vMerge w:val="continue"/>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eastAsia" w:ascii="宋体" w:hAnsi="宋体" w:eastAsia="宋体" w:cs="宋体"/>
                <w:color w:val="auto"/>
                <w:kern w:val="0"/>
                <w:sz w:val="24"/>
                <w:highlight w:val="none"/>
              </w:rPr>
            </w:pPr>
          </w:p>
        </w:tc>
        <w:tc>
          <w:tcPr>
            <w:tcW w:w="2510"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耗氧量(mg/L)</w:t>
            </w:r>
          </w:p>
        </w:tc>
        <w:tc>
          <w:tcPr>
            <w:tcW w:w="2032"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lang w:val="en-US" w:eastAsia="zh-CN"/>
              </w:rPr>
              <w:t>1.28</w:t>
            </w:r>
          </w:p>
        </w:tc>
        <w:tc>
          <w:tcPr>
            <w:tcW w:w="1929"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lang w:val="en-US" w:eastAsia="zh-CN"/>
              </w:rPr>
              <w:t>1.26</w:t>
            </w:r>
          </w:p>
        </w:tc>
        <w:tc>
          <w:tcPr>
            <w:tcW w:w="1235" w:type="dxa"/>
            <w:vMerge w:val="continue"/>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lang w:val="en-US" w:eastAsia="zh-CN"/>
              </w:rPr>
            </w:pP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20" w:hRule="atLeast"/>
          <w:jc w:val="center"/>
        </w:trPr>
        <w:tc>
          <w:tcPr>
            <w:tcW w:w="1292" w:type="dxa"/>
            <w:vMerge w:val="continue"/>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eastAsia" w:ascii="宋体" w:hAnsi="宋体" w:eastAsia="宋体" w:cs="宋体"/>
                <w:color w:val="auto"/>
                <w:kern w:val="0"/>
                <w:sz w:val="24"/>
                <w:highlight w:val="none"/>
              </w:rPr>
            </w:pPr>
          </w:p>
        </w:tc>
        <w:tc>
          <w:tcPr>
            <w:tcW w:w="2510"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碳酸盐碱度(m</w:t>
            </w:r>
            <w:r>
              <w:rPr>
                <w:rFonts w:hint="eastAsia" w:ascii="宋体" w:hAnsi="宋体" w:eastAsia="宋体" w:cs="宋体"/>
                <w:color w:val="auto"/>
                <w:kern w:val="0"/>
                <w:sz w:val="24"/>
                <w:highlight w:val="none"/>
                <w:lang w:val="en-US" w:eastAsia="zh-CN"/>
              </w:rPr>
              <w:t>m</w:t>
            </w:r>
            <w:r>
              <w:rPr>
                <w:rFonts w:hint="eastAsia" w:ascii="宋体" w:hAnsi="宋体" w:eastAsia="宋体" w:cs="宋体"/>
                <w:color w:val="auto"/>
                <w:kern w:val="0"/>
                <w:sz w:val="24"/>
                <w:highlight w:val="none"/>
              </w:rPr>
              <w:t>ol/L)</w:t>
            </w:r>
          </w:p>
        </w:tc>
        <w:tc>
          <w:tcPr>
            <w:tcW w:w="2032"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eastAsia="zh-CN"/>
              </w:rPr>
              <w:t>未检出</w:t>
            </w:r>
          </w:p>
        </w:tc>
        <w:tc>
          <w:tcPr>
            <w:tcW w:w="1929"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eastAsia="zh-CN"/>
              </w:rPr>
              <w:t>未检出</w:t>
            </w:r>
          </w:p>
        </w:tc>
        <w:tc>
          <w:tcPr>
            <w:tcW w:w="1235" w:type="dxa"/>
            <w:vMerge w:val="continue"/>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rPr>
            </w:pP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026" w:hRule="atLeast"/>
          <w:jc w:val="center"/>
        </w:trPr>
        <w:tc>
          <w:tcPr>
            <w:tcW w:w="1292" w:type="dxa"/>
            <w:vMerge w:val="continue"/>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rPr>
                <w:rFonts w:hint="eastAsia" w:ascii="宋体" w:hAnsi="宋体" w:eastAsia="宋体" w:cs="宋体"/>
                <w:color w:val="auto"/>
                <w:kern w:val="0"/>
                <w:sz w:val="24"/>
                <w:highlight w:val="none"/>
              </w:rPr>
            </w:pPr>
          </w:p>
        </w:tc>
        <w:tc>
          <w:tcPr>
            <w:tcW w:w="2510"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重碳酸盐碱度(m</w:t>
            </w:r>
            <w:r>
              <w:rPr>
                <w:rFonts w:hint="eastAsia" w:ascii="宋体" w:hAnsi="宋体" w:eastAsia="宋体" w:cs="宋体"/>
                <w:color w:val="auto"/>
                <w:kern w:val="0"/>
                <w:sz w:val="24"/>
                <w:highlight w:val="none"/>
                <w:lang w:val="en-US" w:eastAsia="zh-CN"/>
              </w:rPr>
              <w:t>m</w:t>
            </w:r>
            <w:r>
              <w:rPr>
                <w:rFonts w:hint="eastAsia" w:ascii="宋体" w:hAnsi="宋体" w:eastAsia="宋体" w:cs="宋体"/>
                <w:color w:val="auto"/>
                <w:kern w:val="0"/>
                <w:sz w:val="24"/>
                <w:highlight w:val="none"/>
              </w:rPr>
              <w:t>ol/L)</w:t>
            </w:r>
          </w:p>
        </w:tc>
        <w:tc>
          <w:tcPr>
            <w:tcW w:w="2032"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lang w:val="en-US" w:eastAsia="zh-CN"/>
              </w:rPr>
              <w:t>1.1</w:t>
            </w:r>
          </w:p>
        </w:tc>
        <w:tc>
          <w:tcPr>
            <w:tcW w:w="1929"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lang w:val="en-US" w:eastAsia="zh-CN"/>
              </w:rPr>
              <w:t>1.3</w:t>
            </w:r>
          </w:p>
        </w:tc>
        <w:tc>
          <w:tcPr>
            <w:tcW w:w="1235" w:type="dxa"/>
            <w:vMerge w:val="continue"/>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lang w:val="en-US" w:eastAsia="zh-CN"/>
              </w:rPr>
            </w:pP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20" w:hRule="atLeast"/>
          <w:jc w:val="center"/>
        </w:trPr>
        <w:tc>
          <w:tcPr>
            <w:tcW w:w="1292" w:type="dxa"/>
            <w:vMerge w:val="continue"/>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rPr>
                <w:rFonts w:hint="eastAsia" w:ascii="宋体" w:hAnsi="宋体" w:eastAsia="宋体" w:cs="宋体"/>
                <w:color w:val="auto"/>
                <w:kern w:val="0"/>
                <w:sz w:val="24"/>
                <w:highlight w:val="none"/>
              </w:rPr>
            </w:pPr>
          </w:p>
        </w:tc>
        <w:tc>
          <w:tcPr>
            <w:tcW w:w="2510"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硝酸盐</w:t>
            </w:r>
            <w:r>
              <w:rPr>
                <w:rFonts w:hint="eastAsia" w:ascii="宋体" w:hAnsi="宋体" w:eastAsia="宋体" w:cs="宋体"/>
                <w:color w:val="auto"/>
                <w:kern w:val="0"/>
                <w:sz w:val="24"/>
                <w:highlight w:val="none"/>
                <w:lang w:eastAsia="zh-CN"/>
              </w:rPr>
              <w:t>氮</w:t>
            </w:r>
            <w:r>
              <w:rPr>
                <w:rFonts w:hint="eastAsia" w:ascii="宋体" w:hAnsi="宋体" w:eastAsia="宋体" w:cs="宋体"/>
                <w:color w:val="auto"/>
                <w:kern w:val="0"/>
                <w:sz w:val="24"/>
                <w:highlight w:val="none"/>
              </w:rPr>
              <w:t>(mg/L)</w:t>
            </w:r>
          </w:p>
        </w:tc>
        <w:tc>
          <w:tcPr>
            <w:tcW w:w="2032"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lang w:val="en-US" w:eastAsia="zh-CN"/>
              </w:rPr>
              <w:t>7.96</w:t>
            </w:r>
          </w:p>
        </w:tc>
        <w:tc>
          <w:tcPr>
            <w:tcW w:w="1929"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lang w:val="en-US" w:eastAsia="zh-CN"/>
              </w:rPr>
              <w:t>8.16</w:t>
            </w:r>
          </w:p>
        </w:tc>
        <w:tc>
          <w:tcPr>
            <w:tcW w:w="1235" w:type="dxa"/>
            <w:vMerge w:val="continue"/>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Style w:val="25"/>
                <w:rFonts w:hint="eastAsia" w:ascii="宋体" w:hAnsi="宋体" w:eastAsia="宋体" w:cs="宋体"/>
                <w:color w:val="auto"/>
                <w:highlight w:val="none"/>
                <w:lang w:val="en-US" w:eastAsia="zh-CN"/>
              </w:rPr>
            </w:pP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20" w:hRule="atLeast"/>
          <w:jc w:val="center"/>
        </w:trPr>
        <w:tc>
          <w:tcPr>
            <w:tcW w:w="1292" w:type="dxa"/>
            <w:vMerge w:val="continue"/>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rPr>
                <w:rFonts w:hint="eastAsia" w:ascii="宋体" w:hAnsi="宋体" w:eastAsia="宋体" w:cs="宋体"/>
                <w:color w:val="auto"/>
                <w:kern w:val="0"/>
                <w:sz w:val="24"/>
                <w:highlight w:val="none"/>
              </w:rPr>
            </w:pPr>
          </w:p>
        </w:tc>
        <w:tc>
          <w:tcPr>
            <w:tcW w:w="2510"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亚硝酸盐(mg/L)</w:t>
            </w:r>
          </w:p>
        </w:tc>
        <w:tc>
          <w:tcPr>
            <w:tcW w:w="2032"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eastAsia="zh-CN"/>
              </w:rPr>
              <w:t>未检出</w:t>
            </w:r>
          </w:p>
        </w:tc>
        <w:tc>
          <w:tcPr>
            <w:tcW w:w="1929"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eastAsia="zh-CN"/>
              </w:rPr>
              <w:t>未检出</w:t>
            </w:r>
          </w:p>
        </w:tc>
        <w:tc>
          <w:tcPr>
            <w:tcW w:w="1235" w:type="dxa"/>
            <w:vMerge w:val="continue"/>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rPr>
            </w:pP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20" w:hRule="atLeast"/>
          <w:jc w:val="center"/>
        </w:trPr>
        <w:tc>
          <w:tcPr>
            <w:tcW w:w="1292" w:type="dxa"/>
            <w:vMerge w:val="continue"/>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rPr>
                <w:rFonts w:hint="eastAsia" w:ascii="宋体" w:hAnsi="宋体" w:eastAsia="宋体" w:cs="宋体"/>
                <w:color w:val="auto"/>
                <w:kern w:val="0"/>
                <w:sz w:val="24"/>
                <w:highlight w:val="none"/>
              </w:rPr>
            </w:pPr>
          </w:p>
        </w:tc>
        <w:tc>
          <w:tcPr>
            <w:tcW w:w="2510"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挥发</w:t>
            </w:r>
            <w:r>
              <w:rPr>
                <w:rFonts w:hint="eastAsia" w:ascii="宋体" w:hAnsi="宋体" w:eastAsia="宋体" w:cs="宋体"/>
                <w:color w:val="auto"/>
                <w:kern w:val="0"/>
                <w:sz w:val="24"/>
                <w:highlight w:val="none"/>
                <w:lang w:val="en-US" w:eastAsia="zh-CN"/>
              </w:rPr>
              <w:t>性</w:t>
            </w:r>
            <w:r>
              <w:rPr>
                <w:rFonts w:hint="eastAsia" w:ascii="宋体" w:hAnsi="宋体" w:eastAsia="宋体" w:cs="宋体"/>
                <w:color w:val="auto"/>
                <w:kern w:val="0"/>
                <w:sz w:val="24"/>
                <w:highlight w:val="none"/>
              </w:rPr>
              <w:t>酚</w:t>
            </w:r>
            <w:r>
              <w:rPr>
                <w:rFonts w:hint="eastAsia" w:ascii="宋体" w:hAnsi="宋体" w:eastAsia="宋体" w:cs="宋体"/>
                <w:color w:val="auto"/>
                <w:kern w:val="0"/>
                <w:sz w:val="24"/>
                <w:highlight w:val="none"/>
                <w:lang w:val="en-US" w:eastAsia="zh-CN"/>
              </w:rPr>
              <w:t>类</w:t>
            </w:r>
            <w:r>
              <w:rPr>
                <w:rFonts w:hint="eastAsia" w:ascii="宋体" w:hAnsi="宋体" w:eastAsia="宋体" w:cs="宋体"/>
                <w:color w:val="auto"/>
                <w:kern w:val="0"/>
                <w:sz w:val="24"/>
                <w:highlight w:val="none"/>
              </w:rPr>
              <w:t>(mg/L)</w:t>
            </w:r>
          </w:p>
        </w:tc>
        <w:tc>
          <w:tcPr>
            <w:tcW w:w="2032"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eastAsia="zh-CN"/>
              </w:rPr>
              <w:t>未检出</w:t>
            </w:r>
          </w:p>
        </w:tc>
        <w:tc>
          <w:tcPr>
            <w:tcW w:w="1929"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eastAsia="zh-CN"/>
              </w:rPr>
              <w:t>未检出</w:t>
            </w:r>
          </w:p>
        </w:tc>
        <w:tc>
          <w:tcPr>
            <w:tcW w:w="1235" w:type="dxa"/>
            <w:vMerge w:val="continue"/>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rPr>
            </w:pP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20" w:hRule="atLeast"/>
          <w:jc w:val="center"/>
        </w:trPr>
        <w:tc>
          <w:tcPr>
            <w:tcW w:w="1292" w:type="dxa"/>
            <w:vMerge w:val="continue"/>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rPr>
                <w:rFonts w:hint="eastAsia" w:ascii="宋体" w:hAnsi="宋体" w:eastAsia="宋体" w:cs="宋体"/>
                <w:color w:val="auto"/>
                <w:kern w:val="0"/>
                <w:sz w:val="24"/>
                <w:highlight w:val="none"/>
              </w:rPr>
            </w:pPr>
          </w:p>
        </w:tc>
        <w:tc>
          <w:tcPr>
            <w:tcW w:w="2510"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氰化物(mg/L)</w:t>
            </w:r>
          </w:p>
        </w:tc>
        <w:tc>
          <w:tcPr>
            <w:tcW w:w="2032"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eastAsia="zh-CN"/>
              </w:rPr>
              <w:t>未检出</w:t>
            </w:r>
          </w:p>
        </w:tc>
        <w:tc>
          <w:tcPr>
            <w:tcW w:w="1929"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eastAsia="zh-CN"/>
              </w:rPr>
              <w:t>未检出</w:t>
            </w:r>
          </w:p>
        </w:tc>
        <w:tc>
          <w:tcPr>
            <w:tcW w:w="1235" w:type="dxa"/>
            <w:vMerge w:val="continue"/>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rPr>
            </w:pP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20" w:hRule="atLeast"/>
          <w:jc w:val="center"/>
        </w:trPr>
        <w:tc>
          <w:tcPr>
            <w:tcW w:w="1292" w:type="dxa"/>
            <w:vMerge w:val="continue"/>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rPr>
                <w:rFonts w:hint="eastAsia" w:ascii="宋体" w:hAnsi="宋体" w:eastAsia="宋体" w:cs="宋体"/>
                <w:color w:val="auto"/>
                <w:kern w:val="0"/>
                <w:sz w:val="24"/>
                <w:highlight w:val="none"/>
              </w:rPr>
            </w:pPr>
          </w:p>
        </w:tc>
        <w:tc>
          <w:tcPr>
            <w:tcW w:w="2510"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lang w:eastAsia="zh-CN"/>
              </w:rPr>
            </w:pPr>
            <w:r>
              <w:rPr>
                <w:rFonts w:hint="eastAsia" w:ascii="宋体" w:hAnsi="宋体" w:eastAsia="宋体" w:cs="宋体"/>
                <w:color w:val="auto"/>
                <w:kern w:val="0"/>
                <w:sz w:val="24"/>
                <w:highlight w:val="none"/>
                <w:lang w:eastAsia="zh-CN"/>
              </w:rPr>
              <w:t>总硬度</w:t>
            </w:r>
            <w:r>
              <w:rPr>
                <w:rFonts w:hint="eastAsia" w:ascii="宋体" w:hAnsi="宋体" w:eastAsia="宋体" w:cs="宋体"/>
                <w:color w:val="auto"/>
                <w:kern w:val="0"/>
                <w:sz w:val="24"/>
                <w:highlight w:val="none"/>
              </w:rPr>
              <w:t>(mg/L)</w:t>
            </w:r>
          </w:p>
        </w:tc>
        <w:tc>
          <w:tcPr>
            <w:tcW w:w="2032"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lang w:val="en-US" w:eastAsia="zh-CN"/>
              </w:rPr>
              <w:t>368</w:t>
            </w:r>
          </w:p>
        </w:tc>
        <w:tc>
          <w:tcPr>
            <w:tcW w:w="1929"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lang w:val="en-US" w:eastAsia="zh-CN"/>
              </w:rPr>
              <w:t>382</w:t>
            </w:r>
          </w:p>
        </w:tc>
        <w:tc>
          <w:tcPr>
            <w:tcW w:w="1235" w:type="dxa"/>
            <w:vMerge w:val="continue"/>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lang w:val="en-US" w:eastAsia="zh-CN"/>
              </w:rPr>
            </w:pP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20" w:hRule="atLeast"/>
          <w:jc w:val="center"/>
        </w:trPr>
        <w:tc>
          <w:tcPr>
            <w:tcW w:w="1292" w:type="dxa"/>
            <w:vMerge w:val="continue"/>
            <w:vAlign w:val="center"/>
          </w:tcPr>
          <w:p>
            <w:pPr>
              <w:keepNext w:val="0"/>
              <w:keepLines w:val="0"/>
              <w:pageBreakBefore w:val="0"/>
              <w:kinsoku/>
              <w:wordWrap/>
              <w:overflowPunct/>
              <w:topLinePunct w:val="0"/>
              <w:autoSpaceDE/>
              <w:autoSpaceDN/>
              <w:bidi w:val="0"/>
              <w:snapToGrid w:val="0"/>
              <w:spacing w:line="240" w:lineRule="auto"/>
              <w:ind w:firstLine="0" w:firstLineChars="0"/>
              <w:jc w:val="center"/>
              <w:rPr>
                <w:rFonts w:hint="eastAsia" w:ascii="宋体" w:hAnsi="宋体" w:eastAsia="宋体" w:cs="宋体"/>
                <w:color w:val="auto"/>
                <w:kern w:val="0"/>
                <w:sz w:val="24"/>
                <w:highlight w:val="none"/>
              </w:rPr>
            </w:pPr>
          </w:p>
        </w:tc>
        <w:tc>
          <w:tcPr>
            <w:tcW w:w="2510"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溶解性总固体(mg/L)</w:t>
            </w:r>
          </w:p>
        </w:tc>
        <w:tc>
          <w:tcPr>
            <w:tcW w:w="2032"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lang w:val="en-US" w:eastAsia="zh-CN"/>
              </w:rPr>
              <w:t>640</w:t>
            </w:r>
          </w:p>
        </w:tc>
        <w:tc>
          <w:tcPr>
            <w:tcW w:w="1929"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lang w:val="en-US" w:eastAsia="zh-CN"/>
              </w:rPr>
              <w:t>651</w:t>
            </w:r>
          </w:p>
        </w:tc>
        <w:tc>
          <w:tcPr>
            <w:tcW w:w="1235" w:type="dxa"/>
            <w:vMerge w:val="continue"/>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lang w:val="en-US" w:eastAsia="zh-CN"/>
              </w:rPr>
            </w:pP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20" w:hRule="atLeast"/>
          <w:tblHeader/>
          <w:jc w:val="center"/>
        </w:trPr>
        <w:tc>
          <w:tcPr>
            <w:tcW w:w="1292" w:type="dxa"/>
            <w:vMerge w:val="continue"/>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eastAsia" w:ascii="宋体" w:hAnsi="宋体" w:eastAsia="宋体" w:cs="宋体"/>
                <w:b/>
                <w:bCs/>
                <w:color w:val="auto"/>
                <w:kern w:val="0"/>
                <w:sz w:val="24"/>
                <w:highlight w:val="none"/>
              </w:rPr>
            </w:pPr>
          </w:p>
        </w:tc>
        <w:tc>
          <w:tcPr>
            <w:tcW w:w="2510"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硫酸盐(mg/L)</w:t>
            </w:r>
          </w:p>
        </w:tc>
        <w:tc>
          <w:tcPr>
            <w:tcW w:w="2032"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lang w:val="en-US" w:eastAsia="zh-CN"/>
              </w:rPr>
              <w:t>113</w:t>
            </w:r>
          </w:p>
        </w:tc>
        <w:tc>
          <w:tcPr>
            <w:tcW w:w="1929"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lang w:val="en-US" w:eastAsia="zh-CN"/>
              </w:rPr>
              <w:t>119</w:t>
            </w:r>
          </w:p>
        </w:tc>
        <w:tc>
          <w:tcPr>
            <w:tcW w:w="1235" w:type="dxa"/>
            <w:vMerge w:val="continue"/>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lang w:val="en-US" w:eastAsia="zh-CN"/>
              </w:rPr>
            </w:pP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20" w:hRule="atLeast"/>
          <w:tblHeader/>
          <w:jc w:val="center"/>
        </w:trPr>
        <w:tc>
          <w:tcPr>
            <w:tcW w:w="1292" w:type="dxa"/>
            <w:vMerge w:val="continue"/>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eastAsia" w:ascii="宋体" w:hAnsi="宋体" w:eastAsia="宋体" w:cs="宋体"/>
                <w:b/>
                <w:bCs/>
                <w:color w:val="auto"/>
                <w:kern w:val="0"/>
                <w:sz w:val="24"/>
                <w:highlight w:val="none"/>
              </w:rPr>
            </w:pPr>
          </w:p>
        </w:tc>
        <w:tc>
          <w:tcPr>
            <w:tcW w:w="2510"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氯化物(mg/L)</w:t>
            </w:r>
          </w:p>
        </w:tc>
        <w:tc>
          <w:tcPr>
            <w:tcW w:w="2032"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lang w:val="en-US" w:eastAsia="zh-CN"/>
              </w:rPr>
              <w:t>65.2</w:t>
            </w:r>
          </w:p>
        </w:tc>
        <w:tc>
          <w:tcPr>
            <w:tcW w:w="1929"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lang w:val="en-US" w:eastAsia="zh-CN"/>
              </w:rPr>
              <w:t>67.8</w:t>
            </w:r>
          </w:p>
        </w:tc>
        <w:tc>
          <w:tcPr>
            <w:tcW w:w="1235" w:type="dxa"/>
            <w:vMerge w:val="continue"/>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lang w:val="en-US" w:eastAsia="zh-CN"/>
              </w:rPr>
            </w:pP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20" w:hRule="atLeast"/>
          <w:tblHeader/>
          <w:jc w:val="center"/>
        </w:trPr>
        <w:tc>
          <w:tcPr>
            <w:tcW w:w="1292" w:type="dxa"/>
            <w:vMerge w:val="continue"/>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eastAsia" w:ascii="宋体" w:hAnsi="宋体" w:eastAsia="宋体" w:cs="宋体"/>
                <w:b/>
                <w:bCs/>
                <w:color w:val="auto"/>
                <w:kern w:val="0"/>
                <w:sz w:val="24"/>
                <w:highlight w:val="none"/>
              </w:rPr>
            </w:pPr>
          </w:p>
        </w:tc>
        <w:tc>
          <w:tcPr>
            <w:tcW w:w="2510"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氟化物(mg/L)</w:t>
            </w:r>
          </w:p>
        </w:tc>
        <w:tc>
          <w:tcPr>
            <w:tcW w:w="2032"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lang w:val="en-US" w:eastAsia="zh-CN"/>
              </w:rPr>
              <w:t>0.78</w:t>
            </w:r>
          </w:p>
        </w:tc>
        <w:tc>
          <w:tcPr>
            <w:tcW w:w="1929"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lang w:val="en-US" w:eastAsia="zh-CN"/>
              </w:rPr>
              <w:t>0.54</w:t>
            </w:r>
          </w:p>
        </w:tc>
        <w:tc>
          <w:tcPr>
            <w:tcW w:w="1235" w:type="dxa"/>
            <w:vMerge w:val="continue"/>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rPr>
            </w:pP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20" w:hRule="atLeast"/>
          <w:tblHeader/>
          <w:jc w:val="center"/>
        </w:trPr>
        <w:tc>
          <w:tcPr>
            <w:tcW w:w="1292" w:type="dxa"/>
            <w:vMerge w:val="continue"/>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eastAsia" w:ascii="宋体" w:hAnsi="宋体" w:eastAsia="宋体" w:cs="宋体"/>
                <w:b/>
                <w:bCs/>
                <w:color w:val="auto"/>
                <w:kern w:val="0"/>
                <w:sz w:val="24"/>
                <w:highlight w:val="none"/>
              </w:rPr>
            </w:pPr>
          </w:p>
        </w:tc>
        <w:tc>
          <w:tcPr>
            <w:tcW w:w="2510"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lang w:eastAsia="zh-CN"/>
              </w:rPr>
            </w:pPr>
            <w:r>
              <w:rPr>
                <w:rFonts w:hint="eastAsia" w:ascii="宋体" w:hAnsi="宋体" w:eastAsia="宋体" w:cs="宋体"/>
                <w:color w:val="auto"/>
                <w:kern w:val="0"/>
                <w:sz w:val="24"/>
                <w:highlight w:val="none"/>
              </w:rPr>
              <w:t>总大肠菌</w:t>
            </w:r>
            <w:r>
              <w:rPr>
                <w:rFonts w:hint="eastAsia" w:ascii="宋体" w:hAnsi="宋体" w:eastAsia="宋体" w:cs="宋体"/>
                <w:color w:val="auto"/>
                <w:kern w:val="0"/>
                <w:sz w:val="24"/>
                <w:highlight w:val="none"/>
                <w:lang w:val="en-US" w:eastAsia="zh-CN"/>
              </w:rPr>
              <w:t>群</w:t>
            </w:r>
            <w:r>
              <w:rPr>
                <w:rFonts w:hint="eastAsia" w:ascii="宋体" w:hAnsi="宋体" w:eastAsia="宋体" w:cs="宋体"/>
                <w:color w:val="auto"/>
                <w:kern w:val="0"/>
                <w:sz w:val="24"/>
                <w:highlight w:val="none"/>
                <w:lang w:eastAsia="zh-CN"/>
              </w:rPr>
              <w:t>（</w:t>
            </w:r>
            <w:r>
              <w:rPr>
                <w:rFonts w:hint="eastAsia" w:ascii="宋体" w:hAnsi="宋体" w:eastAsia="宋体" w:cs="宋体"/>
                <w:color w:val="auto"/>
                <w:kern w:val="0"/>
                <w:sz w:val="24"/>
                <w:highlight w:val="none"/>
                <w:lang w:val="en-US" w:eastAsia="zh-CN"/>
              </w:rPr>
              <w:t>MPN/L)</w:t>
            </w:r>
          </w:p>
        </w:tc>
        <w:tc>
          <w:tcPr>
            <w:tcW w:w="2032"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lang w:eastAsia="zh-CN"/>
              </w:rPr>
            </w:pPr>
            <w:r>
              <w:rPr>
                <w:rFonts w:hint="eastAsia" w:ascii="宋体" w:hAnsi="宋体" w:eastAsia="宋体" w:cs="宋体"/>
                <w:color w:val="auto"/>
                <w:kern w:val="0"/>
                <w:sz w:val="24"/>
                <w:highlight w:val="none"/>
                <w:lang w:eastAsia="zh-CN"/>
              </w:rPr>
              <w:t>未检出</w:t>
            </w:r>
          </w:p>
        </w:tc>
        <w:tc>
          <w:tcPr>
            <w:tcW w:w="1929"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eastAsia="zh-CN"/>
              </w:rPr>
              <w:t>未检出</w:t>
            </w:r>
          </w:p>
        </w:tc>
        <w:tc>
          <w:tcPr>
            <w:tcW w:w="1235" w:type="dxa"/>
            <w:vMerge w:val="continue"/>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lang w:eastAsia="zh-CN"/>
              </w:rPr>
            </w:pP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74" w:hRule="atLeast"/>
          <w:tblHeader/>
          <w:jc w:val="center"/>
        </w:trPr>
        <w:tc>
          <w:tcPr>
            <w:tcW w:w="1292" w:type="dxa"/>
            <w:vMerge w:val="continue"/>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eastAsia" w:ascii="宋体" w:hAnsi="宋体" w:eastAsia="宋体" w:cs="宋体"/>
                <w:b/>
                <w:bCs/>
                <w:color w:val="auto"/>
                <w:kern w:val="0"/>
                <w:sz w:val="24"/>
                <w:highlight w:val="none"/>
              </w:rPr>
            </w:pPr>
          </w:p>
        </w:tc>
        <w:tc>
          <w:tcPr>
            <w:tcW w:w="2510"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lang w:val="en-US" w:eastAsia="zh-CN"/>
              </w:rPr>
              <w:t>细菌总数</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en-US" w:eastAsia="zh-CN"/>
              </w:rPr>
              <w:t>CFU/mL</w:t>
            </w:r>
            <w:r>
              <w:rPr>
                <w:rFonts w:hint="eastAsia" w:ascii="宋体" w:hAnsi="宋体" w:eastAsia="宋体" w:cs="宋体"/>
                <w:color w:val="auto"/>
                <w:kern w:val="0"/>
                <w:sz w:val="24"/>
                <w:highlight w:val="none"/>
              </w:rPr>
              <w:t>)</w:t>
            </w:r>
          </w:p>
        </w:tc>
        <w:tc>
          <w:tcPr>
            <w:tcW w:w="2032"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lang w:val="en-US" w:eastAsia="zh-CN"/>
              </w:rPr>
              <w:t>40</w:t>
            </w:r>
          </w:p>
        </w:tc>
        <w:tc>
          <w:tcPr>
            <w:tcW w:w="1929" w:type="dxa"/>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lang w:val="en-US" w:eastAsia="zh-CN"/>
              </w:rPr>
              <w:t>30</w:t>
            </w:r>
          </w:p>
        </w:tc>
        <w:tc>
          <w:tcPr>
            <w:tcW w:w="1235" w:type="dxa"/>
            <w:vMerge w:val="continue"/>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0"/>
                <w:sz w:val="24"/>
                <w:highlight w:val="none"/>
                <w:lang w:val="en-US" w:eastAsia="zh-CN"/>
              </w:rPr>
            </w:pPr>
          </w:p>
        </w:tc>
      </w:tr>
    </w:tbl>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 xml:space="preserve"> </w:t>
      </w:r>
    </w:p>
    <w:p>
      <w:pPr>
        <w:rPr>
          <w:rFonts w:hint="eastAsia" w:ascii="宋体" w:hAnsi="宋体" w:eastAsia="宋体" w:cs="宋体"/>
          <w:b/>
          <w:color w:val="auto"/>
          <w:sz w:val="24"/>
          <w:highlight w:val="none"/>
        </w:rPr>
      </w:pPr>
      <w:r>
        <w:rPr>
          <w:rFonts w:hint="eastAsia" w:ascii="宋体" w:hAnsi="宋体" w:eastAsia="宋体" w:cs="宋体"/>
          <w:b/>
          <w:color w:val="auto"/>
          <w:sz w:val="24"/>
          <w:highlight w:val="none"/>
        </w:rPr>
        <w:br w:type="page"/>
      </w:r>
    </w:p>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宋体" w:hAnsi="宋体" w:eastAsia="宋体" w:cs="宋体"/>
          <w:color w:val="auto"/>
          <w:highlight w:val="none"/>
        </w:rPr>
      </w:pPr>
      <w:r>
        <w:rPr>
          <w:rFonts w:hint="eastAsia" w:ascii="宋体" w:hAnsi="宋体" w:eastAsia="宋体" w:cs="宋体"/>
          <w:b/>
          <w:color w:val="auto"/>
          <w:sz w:val="24"/>
          <w:highlight w:val="none"/>
        </w:rPr>
        <w:t>土壤检测结果统计表</w:t>
      </w:r>
    </w:p>
    <w:tbl>
      <w:tblPr>
        <w:tblStyle w:val="21"/>
        <w:tblW w:w="9257" w:type="dxa"/>
        <w:tblInd w:w="-256" w:type="dxa"/>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003"/>
        <w:gridCol w:w="1861"/>
        <w:gridCol w:w="1696"/>
        <w:gridCol w:w="1508"/>
        <w:gridCol w:w="1687"/>
        <w:gridCol w:w="1502"/>
      </w:tblGrid>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72" w:hRule="atLeast"/>
          <w:tblHeader/>
        </w:trPr>
        <w:tc>
          <w:tcPr>
            <w:tcW w:w="1003"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采样时间</w:t>
            </w:r>
          </w:p>
        </w:tc>
        <w:tc>
          <w:tcPr>
            <w:tcW w:w="186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检测地点</w:t>
            </w:r>
          </w:p>
        </w:tc>
        <w:tc>
          <w:tcPr>
            <w:tcW w:w="1696"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检测因子</w:t>
            </w:r>
          </w:p>
        </w:tc>
        <w:tc>
          <w:tcPr>
            <w:tcW w:w="150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检测结果</w:t>
            </w:r>
          </w:p>
        </w:tc>
        <w:tc>
          <w:tcPr>
            <w:tcW w:w="168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检测因子</w:t>
            </w:r>
          </w:p>
        </w:tc>
        <w:tc>
          <w:tcPr>
            <w:tcW w:w="150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检测结果</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86" w:hRule="atLeast"/>
        </w:trPr>
        <w:tc>
          <w:tcPr>
            <w:tcW w:w="1003" w:type="dxa"/>
            <w:vMerge w:val="restart"/>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rPr>
            </w:pPr>
            <w:r>
              <w:rPr>
                <w:rFonts w:hint="eastAsia" w:ascii="宋体" w:hAnsi="宋体" w:eastAsia="宋体" w:cs="宋体"/>
                <w:color w:val="auto"/>
                <w:kern w:val="0"/>
                <w:sz w:val="24"/>
                <w:highlight w:val="none"/>
              </w:rPr>
              <w:t>202</w:t>
            </w:r>
            <w:r>
              <w:rPr>
                <w:rFonts w:hint="eastAsia" w:ascii="宋体" w:hAnsi="宋体" w:eastAsia="宋体" w:cs="宋体"/>
                <w:color w:val="auto"/>
                <w:kern w:val="0"/>
                <w:sz w:val="24"/>
                <w:highlight w:val="none"/>
                <w:lang w:val="en-US" w:eastAsia="zh-CN"/>
              </w:rPr>
              <w:t>3</w:t>
            </w:r>
            <w:r>
              <w:rPr>
                <w:rFonts w:hint="eastAsia" w:ascii="宋体" w:hAnsi="宋体" w:eastAsia="宋体" w:cs="宋体"/>
                <w:color w:val="auto"/>
                <w:kern w:val="0"/>
                <w:sz w:val="24"/>
                <w:highlight w:val="none"/>
              </w:rPr>
              <w:t>.0</w:t>
            </w:r>
            <w:r>
              <w:rPr>
                <w:rFonts w:hint="eastAsia" w:ascii="宋体" w:hAnsi="宋体" w:eastAsia="宋体" w:cs="宋体"/>
                <w:color w:val="auto"/>
                <w:kern w:val="0"/>
                <w:sz w:val="24"/>
                <w:highlight w:val="none"/>
                <w:lang w:val="en-US" w:eastAsia="zh-CN"/>
              </w:rPr>
              <w:t>6.08</w:t>
            </w:r>
          </w:p>
        </w:tc>
        <w:tc>
          <w:tcPr>
            <w:tcW w:w="1861" w:type="dxa"/>
            <w:vMerge w:val="restart"/>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lang w:val="en-US" w:eastAsia="zh-CN"/>
              </w:rPr>
              <w:t>污水处理站及事故池、厌氧IC塔</w:t>
            </w:r>
          </w:p>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（N</w:t>
            </w:r>
            <w:r>
              <w:rPr>
                <w:rFonts w:hint="eastAsia" w:ascii="宋体" w:hAnsi="宋体" w:eastAsia="宋体" w:cs="宋体"/>
                <w:color w:val="auto"/>
                <w:kern w:val="0"/>
                <w:sz w:val="24"/>
                <w:highlight w:val="none"/>
                <w:lang w:eastAsia="zh-CN"/>
              </w:rPr>
              <w:t>：</w:t>
            </w:r>
            <w:r>
              <w:rPr>
                <w:rFonts w:hint="eastAsia" w:ascii="宋体" w:hAnsi="宋体" w:eastAsia="宋体" w:cs="宋体"/>
                <w:color w:val="auto"/>
                <w:kern w:val="0"/>
                <w:sz w:val="24"/>
                <w:highlight w:val="none"/>
              </w:rPr>
              <w:t>3</w:t>
            </w:r>
            <w:r>
              <w:rPr>
                <w:rFonts w:hint="eastAsia" w:ascii="宋体" w:hAnsi="宋体" w:eastAsia="宋体" w:cs="宋体"/>
                <w:color w:val="auto"/>
                <w:kern w:val="0"/>
                <w:sz w:val="24"/>
                <w:highlight w:val="none"/>
                <w:lang w:val="en-US" w:eastAsia="zh-CN"/>
              </w:rPr>
              <w:t>4</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en-US" w:eastAsia="zh-CN"/>
              </w:rPr>
              <w:t>40</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en-US" w:eastAsia="zh-CN"/>
              </w:rPr>
              <w:t>29.957</w:t>
            </w:r>
            <w:r>
              <w:rPr>
                <w:rFonts w:hint="eastAsia" w:ascii="宋体" w:hAnsi="宋体" w:eastAsia="宋体" w:cs="宋体"/>
                <w:color w:val="auto"/>
                <w:kern w:val="0"/>
                <w:sz w:val="24"/>
                <w:highlight w:val="none"/>
              </w:rPr>
              <w:t>''  E</w:t>
            </w:r>
            <w:r>
              <w:rPr>
                <w:rFonts w:hint="eastAsia" w:ascii="宋体" w:hAnsi="宋体" w:eastAsia="宋体" w:cs="宋体"/>
                <w:color w:val="auto"/>
                <w:kern w:val="0"/>
                <w:sz w:val="24"/>
                <w:highlight w:val="none"/>
                <w:lang w:eastAsia="zh-CN"/>
              </w:rPr>
              <w:t>：</w:t>
            </w:r>
            <w:r>
              <w:rPr>
                <w:rFonts w:hint="eastAsia" w:ascii="宋体" w:hAnsi="宋体" w:eastAsia="宋体" w:cs="宋体"/>
                <w:color w:val="auto"/>
                <w:kern w:val="0"/>
                <w:sz w:val="24"/>
                <w:highlight w:val="none"/>
              </w:rPr>
              <w:t>11</w:t>
            </w:r>
            <w:r>
              <w:rPr>
                <w:rFonts w:hint="eastAsia" w:ascii="宋体" w:hAnsi="宋体" w:eastAsia="宋体" w:cs="宋体"/>
                <w:color w:val="auto"/>
                <w:kern w:val="0"/>
                <w:sz w:val="24"/>
                <w:highlight w:val="none"/>
                <w:lang w:val="en-US" w:eastAsia="zh-CN"/>
              </w:rPr>
              <w:t>1</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en-US" w:eastAsia="zh-CN"/>
              </w:rPr>
              <w:t>35</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en-US" w:eastAsia="zh-CN"/>
              </w:rPr>
              <w:t>28.930</w:t>
            </w:r>
            <w:r>
              <w:rPr>
                <w:rFonts w:hint="eastAsia" w:ascii="宋体" w:hAnsi="宋体" w:eastAsia="宋体" w:cs="宋体"/>
                <w:color w:val="auto"/>
                <w:kern w:val="0"/>
                <w:sz w:val="24"/>
                <w:highlight w:val="none"/>
              </w:rPr>
              <w:t>''）</w:t>
            </w:r>
          </w:p>
        </w:tc>
        <w:tc>
          <w:tcPr>
            <w:tcW w:w="1696"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pH值</w:t>
            </w:r>
          </w:p>
        </w:tc>
        <w:tc>
          <w:tcPr>
            <w:tcW w:w="150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lang w:val="en-US" w:eastAsia="zh-CN"/>
              </w:rPr>
              <w:t>7.76</w:t>
            </w:r>
          </w:p>
        </w:tc>
        <w:tc>
          <w:tcPr>
            <w:tcW w:w="168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三氯乙烯</w:t>
            </w:r>
          </w:p>
        </w:tc>
        <w:tc>
          <w:tcPr>
            <w:tcW w:w="150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25" w:hRule="atLeast"/>
        </w:trPr>
        <w:tc>
          <w:tcPr>
            <w:tcW w:w="1003"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61"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96"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砷</w:t>
            </w:r>
          </w:p>
        </w:tc>
        <w:tc>
          <w:tcPr>
            <w:tcW w:w="150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en-US" w:eastAsia="zh-CN"/>
              </w:rPr>
              <w:t>8.96</w:t>
            </w:r>
            <w:r>
              <w:rPr>
                <w:rFonts w:hint="eastAsia" w:ascii="宋体" w:hAnsi="宋体" w:eastAsia="宋体" w:cs="宋体"/>
                <w:color w:val="auto"/>
                <w:kern w:val="0"/>
                <w:sz w:val="24"/>
                <w:highlight w:val="none"/>
              </w:rPr>
              <w:t>mg/kg</w:t>
            </w:r>
          </w:p>
        </w:tc>
        <w:tc>
          <w:tcPr>
            <w:tcW w:w="168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1,2,3-三氯丙烷</w:t>
            </w:r>
          </w:p>
        </w:tc>
        <w:tc>
          <w:tcPr>
            <w:tcW w:w="150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86" w:hRule="atLeast"/>
        </w:trPr>
        <w:tc>
          <w:tcPr>
            <w:tcW w:w="1003"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61"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96"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镉</w:t>
            </w:r>
          </w:p>
        </w:tc>
        <w:tc>
          <w:tcPr>
            <w:tcW w:w="150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en-US" w:eastAsia="zh-CN"/>
              </w:rPr>
              <w:t>0.58</w:t>
            </w:r>
            <w:r>
              <w:rPr>
                <w:rFonts w:hint="eastAsia" w:ascii="宋体" w:hAnsi="宋体" w:eastAsia="宋体" w:cs="宋体"/>
                <w:color w:val="auto"/>
                <w:kern w:val="0"/>
                <w:sz w:val="24"/>
                <w:highlight w:val="none"/>
              </w:rPr>
              <w:t>mg/kg</w:t>
            </w:r>
          </w:p>
        </w:tc>
        <w:tc>
          <w:tcPr>
            <w:tcW w:w="168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氯乙烯</w:t>
            </w:r>
          </w:p>
        </w:tc>
        <w:tc>
          <w:tcPr>
            <w:tcW w:w="150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86" w:hRule="atLeast"/>
        </w:trPr>
        <w:tc>
          <w:tcPr>
            <w:tcW w:w="1003"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61"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96"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铬（六价）</w:t>
            </w:r>
          </w:p>
        </w:tc>
        <w:tc>
          <w:tcPr>
            <w:tcW w:w="150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8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w:t>
            </w:r>
          </w:p>
        </w:tc>
        <w:tc>
          <w:tcPr>
            <w:tcW w:w="150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86" w:hRule="atLeast"/>
        </w:trPr>
        <w:tc>
          <w:tcPr>
            <w:tcW w:w="1003"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61"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96"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铜</w:t>
            </w:r>
          </w:p>
        </w:tc>
        <w:tc>
          <w:tcPr>
            <w:tcW w:w="150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en-US" w:eastAsia="zh-CN"/>
              </w:rPr>
              <w:t>53</w:t>
            </w:r>
            <w:r>
              <w:rPr>
                <w:rFonts w:hint="eastAsia" w:ascii="宋体" w:hAnsi="宋体" w:eastAsia="宋体" w:cs="宋体"/>
                <w:color w:val="auto"/>
                <w:kern w:val="0"/>
                <w:sz w:val="24"/>
                <w:highlight w:val="none"/>
              </w:rPr>
              <w:t>mg/kg</w:t>
            </w:r>
          </w:p>
        </w:tc>
        <w:tc>
          <w:tcPr>
            <w:tcW w:w="168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氯苯</w:t>
            </w:r>
          </w:p>
        </w:tc>
        <w:tc>
          <w:tcPr>
            <w:tcW w:w="150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86" w:hRule="atLeast"/>
        </w:trPr>
        <w:tc>
          <w:tcPr>
            <w:tcW w:w="1003"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61"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96"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铅</w:t>
            </w:r>
          </w:p>
        </w:tc>
        <w:tc>
          <w:tcPr>
            <w:tcW w:w="150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en-US" w:eastAsia="zh-CN"/>
              </w:rPr>
              <w:t>141</w:t>
            </w:r>
            <w:r>
              <w:rPr>
                <w:rFonts w:hint="eastAsia" w:ascii="宋体" w:hAnsi="宋体" w:eastAsia="宋体" w:cs="宋体"/>
                <w:color w:val="auto"/>
                <w:kern w:val="0"/>
                <w:sz w:val="24"/>
                <w:highlight w:val="none"/>
              </w:rPr>
              <w:t>mg/kg</w:t>
            </w:r>
          </w:p>
        </w:tc>
        <w:tc>
          <w:tcPr>
            <w:tcW w:w="168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1,2-二氯苯</w:t>
            </w:r>
          </w:p>
        </w:tc>
        <w:tc>
          <w:tcPr>
            <w:tcW w:w="150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86" w:hRule="atLeast"/>
        </w:trPr>
        <w:tc>
          <w:tcPr>
            <w:tcW w:w="1003"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61"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96"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汞</w:t>
            </w:r>
          </w:p>
        </w:tc>
        <w:tc>
          <w:tcPr>
            <w:tcW w:w="150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0</w:t>
            </w:r>
            <w:r>
              <w:rPr>
                <w:rFonts w:hint="eastAsia" w:ascii="宋体" w:hAnsi="宋体" w:eastAsia="宋体" w:cs="宋体"/>
                <w:color w:val="auto"/>
                <w:kern w:val="0"/>
                <w:sz w:val="24"/>
                <w:highlight w:val="none"/>
                <w:lang w:val="en-US" w:eastAsia="zh-CN"/>
              </w:rPr>
              <w:t>.191</w:t>
            </w:r>
            <w:r>
              <w:rPr>
                <w:rFonts w:hint="eastAsia" w:ascii="宋体" w:hAnsi="宋体" w:eastAsia="宋体" w:cs="宋体"/>
                <w:color w:val="auto"/>
                <w:kern w:val="0"/>
                <w:sz w:val="24"/>
                <w:highlight w:val="none"/>
              </w:rPr>
              <w:t>mg/kg</w:t>
            </w:r>
          </w:p>
        </w:tc>
        <w:tc>
          <w:tcPr>
            <w:tcW w:w="168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1,4-二氯苯</w:t>
            </w:r>
          </w:p>
        </w:tc>
        <w:tc>
          <w:tcPr>
            <w:tcW w:w="150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86" w:hRule="atLeast"/>
        </w:trPr>
        <w:tc>
          <w:tcPr>
            <w:tcW w:w="1003"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61"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96"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镍</w:t>
            </w:r>
          </w:p>
        </w:tc>
        <w:tc>
          <w:tcPr>
            <w:tcW w:w="150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en-US" w:eastAsia="zh-CN"/>
              </w:rPr>
              <w:t>61</w:t>
            </w:r>
            <w:r>
              <w:rPr>
                <w:rFonts w:hint="eastAsia" w:ascii="宋体" w:hAnsi="宋体" w:eastAsia="宋体" w:cs="宋体"/>
                <w:color w:val="auto"/>
                <w:kern w:val="0"/>
                <w:sz w:val="24"/>
                <w:highlight w:val="none"/>
              </w:rPr>
              <w:t>mg/kg</w:t>
            </w:r>
          </w:p>
        </w:tc>
        <w:tc>
          <w:tcPr>
            <w:tcW w:w="168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乙苯</w:t>
            </w:r>
          </w:p>
        </w:tc>
        <w:tc>
          <w:tcPr>
            <w:tcW w:w="150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86" w:hRule="atLeast"/>
        </w:trPr>
        <w:tc>
          <w:tcPr>
            <w:tcW w:w="1003"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61"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96"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四氯化碳</w:t>
            </w:r>
          </w:p>
        </w:tc>
        <w:tc>
          <w:tcPr>
            <w:tcW w:w="150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8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苯乙烯</w:t>
            </w:r>
          </w:p>
        </w:tc>
        <w:tc>
          <w:tcPr>
            <w:tcW w:w="150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86" w:hRule="atLeast"/>
        </w:trPr>
        <w:tc>
          <w:tcPr>
            <w:tcW w:w="1003"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61"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96"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氯仿</w:t>
            </w:r>
          </w:p>
        </w:tc>
        <w:tc>
          <w:tcPr>
            <w:tcW w:w="150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未检出</w:t>
            </w:r>
          </w:p>
        </w:tc>
        <w:tc>
          <w:tcPr>
            <w:tcW w:w="168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甲苯</w:t>
            </w:r>
          </w:p>
        </w:tc>
        <w:tc>
          <w:tcPr>
            <w:tcW w:w="150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86" w:hRule="atLeast"/>
        </w:trPr>
        <w:tc>
          <w:tcPr>
            <w:tcW w:w="1003"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61"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96"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氯甲烷</w:t>
            </w:r>
          </w:p>
        </w:tc>
        <w:tc>
          <w:tcPr>
            <w:tcW w:w="150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8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间,对-二甲苯</w:t>
            </w:r>
          </w:p>
        </w:tc>
        <w:tc>
          <w:tcPr>
            <w:tcW w:w="150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86" w:hRule="atLeast"/>
        </w:trPr>
        <w:tc>
          <w:tcPr>
            <w:tcW w:w="1003"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61"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96"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1,1-二氯乙烷</w:t>
            </w:r>
          </w:p>
        </w:tc>
        <w:tc>
          <w:tcPr>
            <w:tcW w:w="150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未检出</w:t>
            </w:r>
          </w:p>
        </w:tc>
        <w:tc>
          <w:tcPr>
            <w:tcW w:w="168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邻-二甲苯</w:t>
            </w:r>
          </w:p>
        </w:tc>
        <w:tc>
          <w:tcPr>
            <w:tcW w:w="150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86" w:hRule="atLeast"/>
        </w:trPr>
        <w:tc>
          <w:tcPr>
            <w:tcW w:w="1003"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61"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96"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1,2-二氯乙烷</w:t>
            </w:r>
          </w:p>
        </w:tc>
        <w:tc>
          <w:tcPr>
            <w:tcW w:w="150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未检出</w:t>
            </w:r>
          </w:p>
        </w:tc>
        <w:tc>
          <w:tcPr>
            <w:tcW w:w="168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硝基苯</w:t>
            </w:r>
          </w:p>
        </w:tc>
        <w:tc>
          <w:tcPr>
            <w:tcW w:w="150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86" w:hRule="atLeast"/>
        </w:trPr>
        <w:tc>
          <w:tcPr>
            <w:tcW w:w="1003"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61"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96"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1,1-二氯乙烯</w:t>
            </w:r>
          </w:p>
        </w:tc>
        <w:tc>
          <w:tcPr>
            <w:tcW w:w="150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8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苯胺</w:t>
            </w:r>
          </w:p>
        </w:tc>
        <w:tc>
          <w:tcPr>
            <w:tcW w:w="150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25" w:hRule="atLeast"/>
        </w:trPr>
        <w:tc>
          <w:tcPr>
            <w:tcW w:w="1003"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61"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96"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顺-1,2-二氯乙烯</w:t>
            </w:r>
          </w:p>
        </w:tc>
        <w:tc>
          <w:tcPr>
            <w:tcW w:w="150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8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2-氯酚</w:t>
            </w:r>
          </w:p>
        </w:tc>
        <w:tc>
          <w:tcPr>
            <w:tcW w:w="150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25" w:hRule="atLeast"/>
        </w:trPr>
        <w:tc>
          <w:tcPr>
            <w:tcW w:w="1003"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61"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96"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反-1,2-二氯乙烯</w:t>
            </w:r>
          </w:p>
        </w:tc>
        <w:tc>
          <w:tcPr>
            <w:tcW w:w="150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8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苯并[a]蒽</w:t>
            </w:r>
          </w:p>
        </w:tc>
        <w:tc>
          <w:tcPr>
            <w:tcW w:w="150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86" w:hRule="atLeast"/>
        </w:trPr>
        <w:tc>
          <w:tcPr>
            <w:tcW w:w="1003"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61"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696"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二氯甲烷</w:t>
            </w:r>
          </w:p>
        </w:tc>
        <w:tc>
          <w:tcPr>
            <w:tcW w:w="150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8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苯并[a]芘</w:t>
            </w:r>
          </w:p>
        </w:tc>
        <w:tc>
          <w:tcPr>
            <w:tcW w:w="150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86" w:hRule="atLeast"/>
        </w:trPr>
        <w:tc>
          <w:tcPr>
            <w:tcW w:w="1003"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61"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696"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1,2-二氯丙烷</w:t>
            </w:r>
          </w:p>
        </w:tc>
        <w:tc>
          <w:tcPr>
            <w:tcW w:w="150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8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苯并[b]荧蒽</w:t>
            </w:r>
          </w:p>
        </w:tc>
        <w:tc>
          <w:tcPr>
            <w:tcW w:w="150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25" w:hRule="atLeast"/>
        </w:trPr>
        <w:tc>
          <w:tcPr>
            <w:tcW w:w="1003"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61"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696"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1,1,1,2-四氯乙烷</w:t>
            </w:r>
          </w:p>
        </w:tc>
        <w:tc>
          <w:tcPr>
            <w:tcW w:w="150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8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苯并[k]荧蒽</w:t>
            </w:r>
          </w:p>
        </w:tc>
        <w:tc>
          <w:tcPr>
            <w:tcW w:w="150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25" w:hRule="atLeast"/>
        </w:trPr>
        <w:tc>
          <w:tcPr>
            <w:tcW w:w="1003"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61"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696"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1,1,2,2-四氯乙烷</w:t>
            </w:r>
          </w:p>
        </w:tc>
        <w:tc>
          <w:tcPr>
            <w:tcW w:w="150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8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䓛</w:t>
            </w:r>
          </w:p>
        </w:tc>
        <w:tc>
          <w:tcPr>
            <w:tcW w:w="150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8" w:hRule="atLeast"/>
        </w:trPr>
        <w:tc>
          <w:tcPr>
            <w:tcW w:w="1003"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61"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696"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四氯乙烯</w:t>
            </w:r>
          </w:p>
        </w:tc>
        <w:tc>
          <w:tcPr>
            <w:tcW w:w="150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8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二苯并[a，h]蒽</w:t>
            </w:r>
          </w:p>
        </w:tc>
        <w:tc>
          <w:tcPr>
            <w:tcW w:w="150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25" w:hRule="atLeast"/>
        </w:trPr>
        <w:tc>
          <w:tcPr>
            <w:tcW w:w="1003"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61"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696"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1,1,1-三氯乙烷</w:t>
            </w:r>
          </w:p>
        </w:tc>
        <w:tc>
          <w:tcPr>
            <w:tcW w:w="150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8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茚并[1,2,3-cd]芘</w:t>
            </w:r>
          </w:p>
        </w:tc>
        <w:tc>
          <w:tcPr>
            <w:tcW w:w="150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25" w:hRule="atLeast"/>
        </w:trPr>
        <w:tc>
          <w:tcPr>
            <w:tcW w:w="1003"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61"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696"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1,1,2-三氯乙烷</w:t>
            </w:r>
          </w:p>
        </w:tc>
        <w:tc>
          <w:tcPr>
            <w:tcW w:w="150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8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萘</w:t>
            </w:r>
          </w:p>
        </w:tc>
        <w:tc>
          <w:tcPr>
            <w:tcW w:w="150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59" w:hRule="atLeast"/>
        </w:trPr>
        <w:tc>
          <w:tcPr>
            <w:tcW w:w="1003"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61"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696"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样品状态</w:t>
            </w:r>
          </w:p>
        </w:tc>
        <w:tc>
          <w:tcPr>
            <w:tcW w:w="4697" w:type="dxa"/>
            <w:gridSpan w:val="3"/>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固态、</w:t>
            </w:r>
            <w:r>
              <w:rPr>
                <w:rFonts w:hint="eastAsia" w:ascii="宋体" w:hAnsi="宋体" w:eastAsia="宋体" w:cs="宋体"/>
                <w:color w:val="auto"/>
                <w:kern w:val="0"/>
                <w:sz w:val="24"/>
                <w:highlight w:val="none"/>
                <w:lang w:val="en-US" w:eastAsia="zh-CN"/>
              </w:rPr>
              <w:t>红</w:t>
            </w:r>
            <w:r>
              <w:rPr>
                <w:rFonts w:hint="eastAsia" w:ascii="宋体" w:hAnsi="宋体" w:eastAsia="宋体" w:cs="宋体"/>
                <w:color w:val="auto"/>
                <w:kern w:val="0"/>
                <w:sz w:val="24"/>
                <w:highlight w:val="none"/>
              </w:rPr>
              <w:t>色、</w:t>
            </w:r>
            <w:r>
              <w:rPr>
                <w:rFonts w:hint="eastAsia" w:ascii="宋体" w:hAnsi="宋体" w:eastAsia="宋体" w:cs="宋体"/>
                <w:color w:val="auto"/>
                <w:kern w:val="0"/>
                <w:sz w:val="24"/>
                <w:highlight w:val="none"/>
                <w:lang w:val="en-US" w:eastAsia="zh-CN"/>
              </w:rPr>
              <w:t>壤土</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en-US" w:eastAsia="zh-CN"/>
              </w:rPr>
              <w:t>潮湿</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en-US" w:eastAsia="zh-CN"/>
              </w:rPr>
              <w:t>少量</w:t>
            </w:r>
            <w:r>
              <w:rPr>
                <w:rFonts w:hint="eastAsia" w:ascii="宋体" w:hAnsi="宋体" w:eastAsia="宋体" w:cs="宋体"/>
                <w:color w:val="auto"/>
                <w:kern w:val="0"/>
                <w:sz w:val="24"/>
                <w:highlight w:val="none"/>
              </w:rPr>
              <w:t>砂粒、</w:t>
            </w:r>
            <w:r>
              <w:rPr>
                <w:rFonts w:hint="eastAsia" w:ascii="宋体" w:hAnsi="宋体" w:eastAsia="宋体" w:cs="宋体"/>
                <w:color w:val="auto"/>
                <w:kern w:val="0"/>
                <w:sz w:val="24"/>
                <w:highlight w:val="none"/>
                <w:lang w:val="en-US" w:eastAsia="zh-CN"/>
              </w:rPr>
              <w:t>少量根系</w:t>
            </w:r>
          </w:p>
        </w:tc>
      </w:tr>
    </w:tbl>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 xml:space="preserve">  </w:t>
      </w:r>
    </w:p>
    <w:p>
      <w:pPr>
        <w:rPr>
          <w:rFonts w:hint="eastAsia" w:ascii="宋体" w:hAnsi="宋体" w:eastAsia="宋体" w:cs="宋体"/>
          <w:b/>
          <w:color w:val="auto"/>
          <w:sz w:val="24"/>
          <w:highlight w:val="none"/>
        </w:rPr>
      </w:pPr>
      <w:r>
        <w:rPr>
          <w:rFonts w:hint="eastAsia" w:ascii="宋体" w:hAnsi="宋体" w:eastAsia="宋体" w:cs="宋体"/>
          <w:b/>
          <w:color w:val="auto"/>
          <w:sz w:val="24"/>
          <w:highlight w:val="none"/>
        </w:rPr>
        <w:br w:type="page"/>
      </w:r>
    </w:p>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宋体" w:hAnsi="宋体" w:eastAsia="宋体" w:cs="宋体"/>
          <w:color w:val="auto"/>
          <w:highlight w:val="none"/>
        </w:rPr>
      </w:pPr>
      <w:r>
        <w:rPr>
          <w:rFonts w:hint="eastAsia" w:ascii="宋体" w:hAnsi="宋体" w:eastAsia="宋体" w:cs="宋体"/>
          <w:b/>
          <w:color w:val="auto"/>
          <w:sz w:val="24"/>
          <w:highlight w:val="none"/>
        </w:rPr>
        <w:t>土壤检测结果统计表</w:t>
      </w:r>
    </w:p>
    <w:tbl>
      <w:tblPr>
        <w:tblStyle w:val="21"/>
        <w:tblW w:w="9097" w:type="dxa"/>
        <w:jc w:val="center"/>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986"/>
        <w:gridCol w:w="1829"/>
        <w:gridCol w:w="1667"/>
        <w:gridCol w:w="1482"/>
        <w:gridCol w:w="1658"/>
        <w:gridCol w:w="1475"/>
      </w:tblGrid>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67" w:hRule="atLeast"/>
          <w:tblHeader/>
          <w:jc w:val="center"/>
        </w:trPr>
        <w:tc>
          <w:tcPr>
            <w:tcW w:w="986"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采样时间</w:t>
            </w:r>
          </w:p>
        </w:tc>
        <w:tc>
          <w:tcPr>
            <w:tcW w:w="182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检测地点</w:t>
            </w:r>
          </w:p>
        </w:tc>
        <w:tc>
          <w:tcPr>
            <w:tcW w:w="166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检测因子</w:t>
            </w:r>
          </w:p>
        </w:tc>
        <w:tc>
          <w:tcPr>
            <w:tcW w:w="148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检测结果</w:t>
            </w:r>
          </w:p>
        </w:tc>
        <w:tc>
          <w:tcPr>
            <w:tcW w:w="165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检测因子</w:t>
            </w:r>
          </w:p>
        </w:tc>
        <w:tc>
          <w:tcPr>
            <w:tcW w:w="147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检测结果</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7" w:hRule="atLeast"/>
          <w:jc w:val="center"/>
        </w:trPr>
        <w:tc>
          <w:tcPr>
            <w:tcW w:w="986" w:type="dxa"/>
            <w:vMerge w:val="restart"/>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rPr>
            </w:pPr>
            <w:r>
              <w:rPr>
                <w:rFonts w:hint="eastAsia" w:ascii="宋体" w:hAnsi="宋体" w:eastAsia="宋体" w:cs="宋体"/>
                <w:color w:val="auto"/>
                <w:kern w:val="0"/>
                <w:sz w:val="24"/>
                <w:highlight w:val="none"/>
              </w:rPr>
              <w:t>202</w:t>
            </w:r>
            <w:r>
              <w:rPr>
                <w:rFonts w:hint="eastAsia" w:ascii="宋体" w:hAnsi="宋体" w:eastAsia="宋体" w:cs="宋体"/>
                <w:color w:val="auto"/>
                <w:kern w:val="0"/>
                <w:sz w:val="24"/>
                <w:highlight w:val="none"/>
                <w:lang w:val="en-US" w:eastAsia="zh-CN"/>
              </w:rPr>
              <w:t>3</w:t>
            </w:r>
            <w:r>
              <w:rPr>
                <w:rFonts w:hint="eastAsia" w:ascii="宋体" w:hAnsi="宋体" w:eastAsia="宋体" w:cs="宋体"/>
                <w:color w:val="auto"/>
                <w:kern w:val="0"/>
                <w:sz w:val="24"/>
                <w:highlight w:val="none"/>
              </w:rPr>
              <w:t>.0</w:t>
            </w:r>
            <w:r>
              <w:rPr>
                <w:rFonts w:hint="eastAsia" w:ascii="宋体" w:hAnsi="宋体" w:eastAsia="宋体" w:cs="宋体"/>
                <w:color w:val="auto"/>
                <w:kern w:val="0"/>
                <w:sz w:val="24"/>
                <w:highlight w:val="none"/>
                <w:lang w:val="en-US" w:eastAsia="zh-CN"/>
              </w:rPr>
              <w:t>6.08</w:t>
            </w:r>
          </w:p>
        </w:tc>
        <w:tc>
          <w:tcPr>
            <w:tcW w:w="1829" w:type="dxa"/>
            <w:vMerge w:val="restart"/>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en-US" w:eastAsia="zh-CN"/>
              </w:rPr>
              <w:t>综合车间及应急池、4-甲基二苯胺</w:t>
            </w:r>
            <w:r>
              <w:rPr>
                <w:rFonts w:hint="eastAsia" w:ascii="宋体" w:hAnsi="宋体" w:eastAsia="宋体" w:cs="宋体"/>
                <w:color w:val="auto"/>
                <w:kern w:val="0"/>
                <w:sz w:val="24"/>
                <w:highlight w:val="none"/>
              </w:rPr>
              <w:t>（N</w:t>
            </w:r>
            <w:r>
              <w:rPr>
                <w:rFonts w:hint="eastAsia" w:ascii="宋体" w:hAnsi="宋体" w:eastAsia="宋体" w:cs="宋体"/>
                <w:color w:val="auto"/>
                <w:kern w:val="0"/>
                <w:sz w:val="24"/>
                <w:highlight w:val="none"/>
                <w:lang w:eastAsia="zh-CN"/>
              </w:rPr>
              <w:t>：</w:t>
            </w:r>
            <w:r>
              <w:rPr>
                <w:rFonts w:hint="eastAsia" w:ascii="宋体" w:hAnsi="宋体" w:eastAsia="宋体" w:cs="宋体"/>
                <w:color w:val="auto"/>
                <w:kern w:val="0"/>
                <w:sz w:val="24"/>
                <w:highlight w:val="none"/>
              </w:rPr>
              <w:t>3</w:t>
            </w:r>
            <w:r>
              <w:rPr>
                <w:rFonts w:hint="eastAsia" w:ascii="宋体" w:hAnsi="宋体" w:eastAsia="宋体" w:cs="宋体"/>
                <w:color w:val="auto"/>
                <w:kern w:val="0"/>
                <w:sz w:val="24"/>
                <w:highlight w:val="none"/>
                <w:lang w:val="en-US" w:eastAsia="zh-CN"/>
              </w:rPr>
              <w:t>4</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en-US" w:eastAsia="zh-CN"/>
              </w:rPr>
              <w:t>40</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en-US" w:eastAsia="zh-CN"/>
              </w:rPr>
              <w:t>28.416</w:t>
            </w:r>
            <w:r>
              <w:rPr>
                <w:rFonts w:hint="eastAsia" w:ascii="宋体" w:hAnsi="宋体" w:eastAsia="宋体" w:cs="宋体"/>
                <w:color w:val="auto"/>
                <w:kern w:val="0"/>
                <w:sz w:val="24"/>
                <w:highlight w:val="none"/>
              </w:rPr>
              <w:t>''  E</w:t>
            </w:r>
            <w:r>
              <w:rPr>
                <w:rFonts w:hint="eastAsia" w:ascii="宋体" w:hAnsi="宋体" w:eastAsia="宋体" w:cs="宋体"/>
                <w:color w:val="auto"/>
                <w:kern w:val="0"/>
                <w:sz w:val="24"/>
                <w:highlight w:val="none"/>
                <w:lang w:eastAsia="zh-CN"/>
              </w:rPr>
              <w:t>：</w:t>
            </w:r>
            <w:r>
              <w:rPr>
                <w:rFonts w:hint="eastAsia" w:ascii="宋体" w:hAnsi="宋体" w:eastAsia="宋体" w:cs="宋体"/>
                <w:color w:val="auto"/>
                <w:kern w:val="0"/>
                <w:sz w:val="24"/>
                <w:highlight w:val="none"/>
              </w:rPr>
              <w:t>11</w:t>
            </w:r>
            <w:r>
              <w:rPr>
                <w:rFonts w:hint="eastAsia" w:ascii="宋体" w:hAnsi="宋体" w:eastAsia="宋体" w:cs="宋体"/>
                <w:color w:val="auto"/>
                <w:kern w:val="0"/>
                <w:sz w:val="24"/>
                <w:highlight w:val="none"/>
                <w:lang w:val="en-US" w:eastAsia="zh-CN"/>
              </w:rPr>
              <w:t>1</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en-US" w:eastAsia="zh-CN"/>
              </w:rPr>
              <w:t>35</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en-US" w:eastAsia="zh-CN"/>
              </w:rPr>
              <w:t>28.003</w:t>
            </w:r>
            <w:r>
              <w:rPr>
                <w:rFonts w:hint="eastAsia" w:ascii="宋体" w:hAnsi="宋体" w:eastAsia="宋体" w:cs="宋体"/>
                <w:color w:val="auto"/>
                <w:kern w:val="0"/>
                <w:sz w:val="24"/>
                <w:highlight w:val="none"/>
              </w:rPr>
              <w:t>''）</w:t>
            </w:r>
          </w:p>
        </w:tc>
        <w:tc>
          <w:tcPr>
            <w:tcW w:w="166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pH值</w:t>
            </w:r>
          </w:p>
        </w:tc>
        <w:tc>
          <w:tcPr>
            <w:tcW w:w="148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lang w:val="en-US" w:eastAsia="zh-CN"/>
              </w:rPr>
              <w:t>7.92</w:t>
            </w:r>
          </w:p>
        </w:tc>
        <w:tc>
          <w:tcPr>
            <w:tcW w:w="165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三氯乙烯</w:t>
            </w:r>
          </w:p>
        </w:tc>
        <w:tc>
          <w:tcPr>
            <w:tcW w:w="147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44" w:hRule="atLeast"/>
          <w:jc w:val="center"/>
        </w:trPr>
        <w:tc>
          <w:tcPr>
            <w:tcW w:w="986"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29"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6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砷</w:t>
            </w:r>
          </w:p>
        </w:tc>
        <w:tc>
          <w:tcPr>
            <w:tcW w:w="148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en-US" w:eastAsia="zh-CN"/>
              </w:rPr>
              <w:t>8.34</w:t>
            </w:r>
            <w:r>
              <w:rPr>
                <w:rFonts w:hint="eastAsia" w:ascii="宋体" w:hAnsi="宋体" w:eastAsia="宋体" w:cs="宋体"/>
                <w:color w:val="auto"/>
                <w:kern w:val="0"/>
                <w:sz w:val="24"/>
                <w:highlight w:val="none"/>
              </w:rPr>
              <w:t>mg/kg</w:t>
            </w:r>
          </w:p>
        </w:tc>
        <w:tc>
          <w:tcPr>
            <w:tcW w:w="165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1,2,3-三氯丙烷</w:t>
            </w:r>
          </w:p>
        </w:tc>
        <w:tc>
          <w:tcPr>
            <w:tcW w:w="147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7" w:hRule="atLeast"/>
          <w:jc w:val="center"/>
        </w:trPr>
        <w:tc>
          <w:tcPr>
            <w:tcW w:w="986"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29"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6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镉</w:t>
            </w:r>
          </w:p>
        </w:tc>
        <w:tc>
          <w:tcPr>
            <w:tcW w:w="148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en-US" w:eastAsia="zh-CN"/>
              </w:rPr>
              <w:t>0.54</w:t>
            </w:r>
            <w:r>
              <w:rPr>
                <w:rFonts w:hint="eastAsia" w:ascii="宋体" w:hAnsi="宋体" w:eastAsia="宋体" w:cs="宋体"/>
                <w:color w:val="auto"/>
                <w:kern w:val="0"/>
                <w:sz w:val="24"/>
                <w:highlight w:val="none"/>
              </w:rPr>
              <w:t>mg/kg</w:t>
            </w:r>
          </w:p>
        </w:tc>
        <w:tc>
          <w:tcPr>
            <w:tcW w:w="165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氯乙烯</w:t>
            </w:r>
          </w:p>
        </w:tc>
        <w:tc>
          <w:tcPr>
            <w:tcW w:w="147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7" w:hRule="atLeast"/>
          <w:jc w:val="center"/>
        </w:trPr>
        <w:tc>
          <w:tcPr>
            <w:tcW w:w="986"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29"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6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铬（六价）</w:t>
            </w:r>
          </w:p>
        </w:tc>
        <w:tc>
          <w:tcPr>
            <w:tcW w:w="148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5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w:t>
            </w:r>
          </w:p>
        </w:tc>
        <w:tc>
          <w:tcPr>
            <w:tcW w:w="147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7" w:hRule="atLeast"/>
          <w:jc w:val="center"/>
        </w:trPr>
        <w:tc>
          <w:tcPr>
            <w:tcW w:w="986"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29"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6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铜</w:t>
            </w:r>
          </w:p>
        </w:tc>
        <w:tc>
          <w:tcPr>
            <w:tcW w:w="148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en-US" w:eastAsia="zh-CN"/>
              </w:rPr>
              <w:t>48</w:t>
            </w:r>
            <w:r>
              <w:rPr>
                <w:rFonts w:hint="eastAsia" w:ascii="宋体" w:hAnsi="宋体" w:eastAsia="宋体" w:cs="宋体"/>
                <w:color w:val="auto"/>
                <w:kern w:val="0"/>
                <w:sz w:val="24"/>
                <w:highlight w:val="none"/>
              </w:rPr>
              <w:t>mg/kg</w:t>
            </w:r>
          </w:p>
        </w:tc>
        <w:tc>
          <w:tcPr>
            <w:tcW w:w="165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氯苯</w:t>
            </w:r>
          </w:p>
        </w:tc>
        <w:tc>
          <w:tcPr>
            <w:tcW w:w="147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7" w:hRule="atLeast"/>
          <w:jc w:val="center"/>
        </w:trPr>
        <w:tc>
          <w:tcPr>
            <w:tcW w:w="986"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29"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6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铅</w:t>
            </w:r>
          </w:p>
        </w:tc>
        <w:tc>
          <w:tcPr>
            <w:tcW w:w="148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en-US" w:eastAsia="zh-CN"/>
              </w:rPr>
              <w:t>175</w:t>
            </w:r>
            <w:r>
              <w:rPr>
                <w:rFonts w:hint="eastAsia" w:ascii="宋体" w:hAnsi="宋体" w:eastAsia="宋体" w:cs="宋体"/>
                <w:color w:val="auto"/>
                <w:kern w:val="0"/>
                <w:sz w:val="24"/>
                <w:highlight w:val="none"/>
              </w:rPr>
              <w:t>mg/kg</w:t>
            </w:r>
          </w:p>
        </w:tc>
        <w:tc>
          <w:tcPr>
            <w:tcW w:w="165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1,2-二氯苯</w:t>
            </w:r>
          </w:p>
        </w:tc>
        <w:tc>
          <w:tcPr>
            <w:tcW w:w="147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7" w:hRule="atLeast"/>
          <w:jc w:val="center"/>
        </w:trPr>
        <w:tc>
          <w:tcPr>
            <w:tcW w:w="986"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29"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6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汞</w:t>
            </w:r>
          </w:p>
        </w:tc>
        <w:tc>
          <w:tcPr>
            <w:tcW w:w="148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0</w:t>
            </w:r>
            <w:r>
              <w:rPr>
                <w:rFonts w:hint="eastAsia" w:ascii="宋体" w:hAnsi="宋体" w:eastAsia="宋体" w:cs="宋体"/>
                <w:color w:val="auto"/>
                <w:kern w:val="0"/>
                <w:sz w:val="24"/>
                <w:highlight w:val="none"/>
                <w:lang w:val="en-US" w:eastAsia="zh-CN"/>
              </w:rPr>
              <w:t>.276</w:t>
            </w:r>
            <w:r>
              <w:rPr>
                <w:rFonts w:hint="eastAsia" w:ascii="宋体" w:hAnsi="宋体" w:eastAsia="宋体" w:cs="宋体"/>
                <w:color w:val="auto"/>
                <w:kern w:val="0"/>
                <w:sz w:val="24"/>
                <w:highlight w:val="none"/>
              </w:rPr>
              <w:t>mg/kg</w:t>
            </w:r>
          </w:p>
        </w:tc>
        <w:tc>
          <w:tcPr>
            <w:tcW w:w="165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1,4-二氯苯</w:t>
            </w:r>
          </w:p>
        </w:tc>
        <w:tc>
          <w:tcPr>
            <w:tcW w:w="147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7" w:hRule="atLeast"/>
          <w:jc w:val="center"/>
        </w:trPr>
        <w:tc>
          <w:tcPr>
            <w:tcW w:w="986"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29"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6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镍</w:t>
            </w:r>
          </w:p>
        </w:tc>
        <w:tc>
          <w:tcPr>
            <w:tcW w:w="148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en-US" w:eastAsia="zh-CN"/>
              </w:rPr>
              <w:t>69</w:t>
            </w:r>
            <w:r>
              <w:rPr>
                <w:rFonts w:hint="eastAsia" w:ascii="宋体" w:hAnsi="宋体" w:eastAsia="宋体" w:cs="宋体"/>
                <w:color w:val="auto"/>
                <w:kern w:val="0"/>
                <w:sz w:val="24"/>
                <w:highlight w:val="none"/>
              </w:rPr>
              <w:t>mg/kg</w:t>
            </w:r>
          </w:p>
        </w:tc>
        <w:tc>
          <w:tcPr>
            <w:tcW w:w="165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乙苯</w:t>
            </w:r>
          </w:p>
        </w:tc>
        <w:tc>
          <w:tcPr>
            <w:tcW w:w="147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7" w:hRule="atLeast"/>
          <w:jc w:val="center"/>
        </w:trPr>
        <w:tc>
          <w:tcPr>
            <w:tcW w:w="986"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29"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6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四氯化碳</w:t>
            </w:r>
          </w:p>
        </w:tc>
        <w:tc>
          <w:tcPr>
            <w:tcW w:w="148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5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苯乙烯</w:t>
            </w:r>
          </w:p>
        </w:tc>
        <w:tc>
          <w:tcPr>
            <w:tcW w:w="147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7" w:hRule="atLeast"/>
          <w:jc w:val="center"/>
        </w:trPr>
        <w:tc>
          <w:tcPr>
            <w:tcW w:w="986"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29"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6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氯仿</w:t>
            </w:r>
          </w:p>
        </w:tc>
        <w:tc>
          <w:tcPr>
            <w:tcW w:w="148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未检出</w:t>
            </w:r>
          </w:p>
        </w:tc>
        <w:tc>
          <w:tcPr>
            <w:tcW w:w="165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甲苯</w:t>
            </w:r>
          </w:p>
        </w:tc>
        <w:tc>
          <w:tcPr>
            <w:tcW w:w="147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7" w:hRule="atLeast"/>
          <w:jc w:val="center"/>
        </w:trPr>
        <w:tc>
          <w:tcPr>
            <w:tcW w:w="986"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29"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6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氯甲烷</w:t>
            </w:r>
          </w:p>
        </w:tc>
        <w:tc>
          <w:tcPr>
            <w:tcW w:w="148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5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间,对-二甲苯</w:t>
            </w:r>
          </w:p>
        </w:tc>
        <w:tc>
          <w:tcPr>
            <w:tcW w:w="147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7" w:hRule="atLeast"/>
          <w:jc w:val="center"/>
        </w:trPr>
        <w:tc>
          <w:tcPr>
            <w:tcW w:w="986"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29"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6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1,1-二氯乙烷</w:t>
            </w:r>
          </w:p>
        </w:tc>
        <w:tc>
          <w:tcPr>
            <w:tcW w:w="148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未检出</w:t>
            </w:r>
          </w:p>
        </w:tc>
        <w:tc>
          <w:tcPr>
            <w:tcW w:w="165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邻-二甲苯</w:t>
            </w:r>
          </w:p>
        </w:tc>
        <w:tc>
          <w:tcPr>
            <w:tcW w:w="147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7" w:hRule="atLeast"/>
          <w:jc w:val="center"/>
        </w:trPr>
        <w:tc>
          <w:tcPr>
            <w:tcW w:w="986"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29"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6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1,2-二氯乙烷</w:t>
            </w:r>
          </w:p>
        </w:tc>
        <w:tc>
          <w:tcPr>
            <w:tcW w:w="148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未检出</w:t>
            </w:r>
          </w:p>
        </w:tc>
        <w:tc>
          <w:tcPr>
            <w:tcW w:w="165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硝基苯</w:t>
            </w:r>
          </w:p>
        </w:tc>
        <w:tc>
          <w:tcPr>
            <w:tcW w:w="147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7" w:hRule="atLeast"/>
          <w:jc w:val="center"/>
        </w:trPr>
        <w:tc>
          <w:tcPr>
            <w:tcW w:w="986"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29"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6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1,1-二氯乙烯</w:t>
            </w:r>
          </w:p>
        </w:tc>
        <w:tc>
          <w:tcPr>
            <w:tcW w:w="148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5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苯胺</w:t>
            </w:r>
          </w:p>
        </w:tc>
        <w:tc>
          <w:tcPr>
            <w:tcW w:w="147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44" w:hRule="atLeast"/>
          <w:jc w:val="center"/>
        </w:trPr>
        <w:tc>
          <w:tcPr>
            <w:tcW w:w="986"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29"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6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顺-1,2-二氯乙烯</w:t>
            </w:r>
          </w:p>
        </w:tc>
        <w:tc>
          <w:tcPr>
            <w:tcW w:w="148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5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2-氯酚</w:t>
            </w:r>
          </w:p>
        </w:tc>
        <w:tc>
          <w:tcPr>
            <w:tcW w:w="147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44" w:hRule="atLeast"/>
          <w:jc w:val="center"/>
        </w:trPr>
        <w:tc>
          <w:tcPr>
            <w:tcW w:w="986"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29"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6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反-1,2-二氯乙烯</w:t>
            </w:r>
          </w:p>
        </w:tc>
        <w:tc>
          <w:tcPr>
            <w:tcW w:w="148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5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苯并[a]蒽</w:t>
            </w:r>
          </w:p>
        </w:tc>
        <w:tc>
          <w:tcPr>
            <w:tcW w:w="147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7" w:hRule="atLeast"/>
          <w:jc w:val="center"/>
        </w:trPr>
        <w:tc>
          <w:tcPr>
            <w:tcW w:w="986"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29"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66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二氯甲烷</w:t>
            </w:r>
          </w:p>
        </w:tc>
        <w:tc>
          <w:tcPr>
            <w:tcW w:w="148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5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苯并[a]芘</w:t>
            </w:r>
          </w:p>
        </w:tc>
        <w:tc>
          <w:tcPr>
            <w:tcW w:w="147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7" w:hRule="atLeast"/>
          <w:jc w:val="center"/>
        </w:trPr>
        <w:tc>
          <w:tcPr>
            <w:tcW w:w="986"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29"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66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1,2-二氯丙烷</w:t>
            </w:r>
          </w:p>
        </w:tc>
        <w:tc>
          <w:tcPr>
            <w:tcW w:w="148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5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苯并[b]荧蒽</w:t>
            </w:r>
          </w:p>
        </w:tc>
        <w:tc>
          <w:tcPr>
            <w:tcW w:w="147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44" w:hRule="atLeast"/>
          <w:jc w:val="center"/>
        </w:trPr>
        <w:tc>
          <w:tcPr>
            <w:tcW w:w="986"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29"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66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1,1,1,2-四氯乙烷</w:t>
            </w:r>
          </w:p>
        </w:tc>
        <w:tc>
          <w:tcPr>
            <w:tcW w:w="148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5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苯并[k]荧蒽</w:t>
            </w:r>
          </w:p>
        </w:tc>
        <w:tc>
          <w:tcPr>
            <w:tcW w:w="147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44" w:hRule="atLeast"/>
          <w:jc w:val="center"/>
        </w:trPr>
        <w:tc>
          <w:tcPr>
            <w:tcW w:w="986"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29"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66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1,1,2,2-四氯乙烷</w:t>
            </w:r>
          </w:p>
        </w:tc>
        <w:tc>
          <w:tcPr>
            <w:tcW w:w="148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5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䓛</w:t>
            </w:r>
          </w:p>
        </w:tc>
        <w:tc>
          <w:tcPr>
            <w:tcW w:w="147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7" w:hRule="atLeast"/>
          <w:jc w:val="center"/>
        </w:trPr>
        <w:tc>
          <w:tcPr>
            <w:tcW w:w="986"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29"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66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四氯乙烯</w:t>
            </w:r>
          </w:p>
        </w:tc>
        <w:tc>
          <w:tcPr>
            <w:tcW w:w="148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5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二苯并[a，h]蒽</w:t>
            </w:r>
          </w:p>
        </w:tc>
        <w:tc>
          <w:tcPr>
            <w:tcW w:w="147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44" w:hRule="atLeast"/>
          <w:jc w:val="center"/>
        </w:trPr>
        <w:tc>
          <w:tcPr>
            <w:tcW w:w="986"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29"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66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1,1,1-三氯乙烷</w:t>
            </w:r>
          </w:p>
        </w:tc>
        <w:tc>
          <w:tcPr>
            <w:tcW w:w="148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5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茚并[1,2,3-cd]芘</w:t>
            </w:r>
          </w:p>
        </w:tc>
        <w:tc>
          <w:tcPr>
            <w:tcW w:w="147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44" w:hRule="atLeast"/>
          <w:jc w:val="center"/>
        </w:trPr>
        <w:tc>
          <w:tcPr>
            <w:tcW w:w="986"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29"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66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1,1,2-三氯乙烷</w:t>
            </w:r>
          </w:p>
        </w:tc>
        <w:tc>
          <w:tcPr>
            <w:tcW w:w="148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5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萘</w:t>
            </w:r>
          </w:p>
        </w:tc>
        <w:tc>
          <w:tcPr>
            <w:tcW w:w="147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79" w:hRule="atLeast"/>
          <w:jc w:val="center"/>
        </w:trPr>
        <w:tc>
          <w:tcPr>
            <w:tcW w:w="986"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29"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66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样品状态</w:t>
            </w:r>
          </w:p>
        </w:tc>
        <w:tc>
          <w:tcPr>
            <w:tcW w:w="4615" w:type="dxa"/>
            <w:gridSpan w:val="3"/>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固态、</w:t>
            </w:r>
            <w:r>
              <w:rPr>
                <w:rFonts w:hint="eastAsia" w:ascii="宋体" w:hAnsi="宋体" w:eastAsia="宋体" w:cs="宋体"/>
                <w:color w:val="auto"/>
                <w:kern w:val="0"/>
                <w:sz w:val="24"/>
                <w:highlight w:val="none"/>
                <w:lang w:val="en-US" w:eastAsia="zh-CN"/>
              </w:rPr>
              <w:t>红</w:t>
            </w:r>
            <w:r>
              <w:rPr>
                <w:rFonts w:hint="eastAsia" w:ascii="宋体" w:hAnsi="宋体" w:eastAsia="宋体" w:cs="宋体"/>
                <w:color w:val="auto"/>
                <w:kern w:val="0"/>
                <w:sz w:val="24"/>
                <w:highlight w:val="none"/>
              </w:rPr>
              <w:t>色、</w:t>
            </w:r>
            <w:r>
              <w:rPr>
                <w:rFonts w:hint="eastAsia" w:ascii="宋体" w:hAnsi="宋体" w:eastAsia="宋体" w:cs="宋体"/>
                <w:color w:val="auto"/>
                <w:kern w:val="0"/>
                <w:sz w:val="24"/>
                <w:highlight w:val="none"/>
                <w:lang w:val="en-US" w:eastAsia="zh-CN"/>
              </w:rPr>
              <w:t>壤土</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en-US" w:eastAsia="zh-CN"/>
              </w:rPr>
              <w:t>潮湿</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en-US" w:eastAsia="zh-CN"/>
              </w:rPr>
              <w:t>少量</w:t>
            </w:r>
            <w:r>
              <w:rPr>
                <w:rFonts w:hint="eastAsia" w:ascii="宋体" w:hAnsi="宋体" w:eastAsia="宋体" w:cs="宋体"/>
                <w:color w:val="auto"/>
                <w:kern w:val="0"/>
                <w:sz w:val="24"/>
                <w:highlight w:val="none"/>
              </w:rPr>
              <w:t>砂粒、</w:t>
            </w:r>
            <w:r>
              <w:rPr>
                <w:rFonts w:hint="eastAsia" w:ascii="宋体" w:hAnsi="宋体" w:eastAsia="宋体" w:cs="宋体"/>
                <w:color w:val="auto"/>
                <w:kern w:val="0"/>
                <w:sz w:val="24"/>
                <w:highlight w:val="none"/>
                <w:lang w:val="en-US" w:eastAsia="zh-CN"/>
              </w:rPr>
              <w:t>少量根系</w:t>
            </w:r>
          </w:p>
        </w:tc>
      </w:tr>
    </w:tbl>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 xml:space="preserve"> </w:t>
      </w:r>
    </w:p>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b/>
          <w:color w:val="auto"/>
          <w:sz w:val="24"/>
          <w:highlight w:val="none"/>
        </w:rPr>
      </w:pPr>
    </w:p>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highlight w:val="none"/>
        </w:rPr>
      </w:pPr>
      <w:r>
        <w:rPr>
          <w:rFonts w:hint="eastAsia" w:ascii="宋体" w:hAnsi="宋体" w:eastAsia="宋体" w:cs="宋体"/>
          <w:b/>
          <w:color w:val="auto"/>
          <w:sz w:val="24"/>
          <w:highlight w:val="none"/>
        </w:rPr>
        <w:t xml:space="preserve"> 土壤检测结果统计表</w:t>
      </w:r>
    </w:p>
    <w:tbl>
      <w:tblPr>
        <w:tblStyle w:val="21"/>
        <w:tblW w:w="9076" w:type="dxa"/>
        <w:jc w:val="center"/>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984"/>
        <w:gridCol w:w="1826"/>
        <w:gridCol w:w="1662"/>
        <w:gridCol w:w="1479"/>
        <w:gridCol w:w="1655"/>
        <w:gridCol w:w="1470"/>
      </w:tblGrid>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1" w:hRule="atLeast"/>
          <w:tblHeader/>
          <w:jc w:val="center"/>
        </w:trPr>
        <w:tc>
          <w:tcPr>
            <w:tcW w:w="984"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采样时间</w:t>
            </w:r>
          </w:p>
        </w:tc>
        <w:tc>
          <w:tcPr>
            <w:tcW w:w="1826"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检测地点</w:t>
            </w:r>
          </w:p>
        </w:tc>
        <w:tc>
          <w:tcPr>
            <w:tcW w:w="166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检测因子</w:t>
            </w:r>
          </w:p>
        </w:tc>
        <w:tc>
          <w:tcPr>
            <w:tcW w:w="147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检测结果</w:t>
            </w:r>
          </w:p>
        </w:tc>
        <w:tc>
          <w:tcPr>
            <w:tcW w:w="165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检测因子</w:t>
            </w:r>
          </w:p>
        </w:tc>
        <w:tc>
          <w:tcPr>
            <w:tcW w:w="147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检测结果</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7" w:hRule="atLeast"/>
          <w:jc w:val="center"/>
        </w:trPr>
        <w:tc>
          <w:tcPr>
            <w:tcW w:w="984" w:type="dxa"/>
            <w:vMerge w:val="restart"/>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lang w:val="en-US"/>
              </w:rPr>
            </w:pPr>
            <w:r>
              <w:rPr>
                <w:rFonts w:hint="eastAsia" w:ascii="宋体" w:hAnsi="宋体" w:eastAsia="宋体" w:cs="宋体"/>
                <w:color w:val="auto"/>
                <w:kern w:val="0"/>
                <w:sz w:val="24"/>
                <w:highlight w:val="none"/>
              </w:rPr>
              <w:t>202</w:t>
            </w:r>
            <w:r>
              <w:rPr>
                <w:rFonts w:hint="eastAsia" w:ascii="宋体" w:hAnsi="宋体" w:eastAsia="宋体" w:cs="宋体"/>
                <w:color w:val="auto"/>
                <w:kern w:val="0"/>
                <w:sz w:val="24"/>
                <w:highlight w:val="none"/>
                <w:lang w:val="en-US" w:eastAsia="zh-CN"/>
              </w:rPr>
              <w:t>3</w:t>
            </w:r>
            <w:r>
              <w:rPr>
                <w:rFonts w:hint="eastAsia" w:ascii="宋体" w:hAnsi="宋体" w:eastAsia="宋体" w:cs="宋体"/>
                <w:color w:val="auto"/>
                <w:kern w:val="0"/>
                <w:sz w:val="24"/>
                <w:highlight w:val="none"/>
              </w:rPr>
              <w:t>.0</w:t>
            </w:r>
            <w:r>
              <w:rPr>
                <w:rFonts w:hint="eastAsia" w:ascii="宋体" w:hAnsi="宋体" w:eastAsia="宋体" w:cs="宋体"/>
                <w:color w:val="auto"/>
                <w:kern w:val="0"/>
                <w:sz w:val="24"/>
                <w:highlight w:val="none"/>
                <w:lang w:val="en-US" w:eastAsia="zh-CN"/>
              </w:rPr>
              <w:t>6.08</w:t>
            </w:r>
          </w:p>
        </w:tc>
        <w:tc>
          <w:tcPr>
            <w:tcW w:w="1826" w:type="dxa"/>
            <w:vMerge w:val="restart"/>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en-US" w:eastAsia="zh-CN"/>
              </w:rPr>
              <w:t>固废、危废暂存间</w:t>
            </w:r>
            <w:r>
              <w:rPr>
                <w:rFonts w:hint="eastAsia" w:ascii="宋体" w:hAnsi="宋体" w:eastAsia="宋体" w:cs="宋体"/>
                <w:color w:val="auto"/>
                <w:kern w:val="0"/>
                <w:sz w:val="24"/>
                <w:highlight w:val="none"/>
              </w:rPr>
              <w:t>（N</w:t>
            </w:r>
            <w:r>
              <w:rPr>
                <w:rFonts w:hint="eastAsia" w:ascii="宋体" w:hAnsi="宋体" w:eastAsia="宋体" w:cs="宋体"/>
                <w:color w:val="auto"/>
                <w:kern w:val="0"/>
                <w:sz w:val="24"/>
                <w:highlight w:val="none"/>
                <w:lang w:eastAsia="zh-CN"/>
              </w:rPr>
              <w:t>：</w:t>
            </w:r>
            <w:r>
              <w:rPr>
                <w:rFonts w:hint="eastAsia" w:ascii="宋体" w:hAnsi="宋体" w:eastAsia="宋体" w:cs="宋体"/>
                <w:color w:val="auto"/>
                <w:kern w:val="0"/>
                <w:sz w:val="24"/>
                <w:highlight w:val="none"/>
              </w:rPr>
              <w:t>3</w:t>
            </w:r>
            <w:r>
              <w:rPr>
                <w:rFonts w:hint="eastAsia" w:ascii="宋体" w:hAnsi="宋体" w:eastAsia="宋体" w:cs="宋体"/>
                <w:color w:val="auto"/>
                <w:kern w:val="0"/>
                <w:sz w:val="24"/>
                <w:highlight w:val="none"/>
                <w:lang w:val="en-US" w:eastAsia="zh-CN"/>
              </w:rPr>
              <w:t>4</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en-US" w:eastAsia="zh-CN"/>
              </w:rPr>
              <w:t>40</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en-US" w:eastAsia="zh-CN"/>
              </w:rPr>
              <w:t>27.146</w:t>
            </w:r>
            <w:r>
              <w:rPr>
                <w:rFonts w:hint="eastAsia" w:ascii="宋体" w:hAnsi="宋体" w:eastAsia="宋体" w:cs="宋体"/>
                <w:color w:val="auto"/>
                <w:kern w:val="0"/>
                <w:sz w:val="24"/>
                <w:highlight w:val="none"/>
              </w:rPr>
              <w:t>''  E</w:t>
            </w:r>
            <w:r>
              <w:rPr>
                <w:rFonts w:hint="eastAsia" w:ascii="宋体" w:hAnsi="宋体" w:eastAsia="宋体" w:cs="宋体"/>
                <w:color w:val="auto"/>
                <w:kern w:val="0"/>
                <w:sz w:val="24"/>
                <w:highlight w:val="none"/>
                <w:lang w:eastAsia="zh-CN"/>
              </w:rPr>
              <w:t>：</w:t>
            </w:r>
            <w:r>
              <w:rPr>
                <w:rFonts w:hint="eastAsia" w:ascii="宋体" w:hAnsi="宋体" w:eastAsia="宋体" w:cs="宋体"/>
                <w:color w:val="auto"/>
                <w:kern w:val="0"/>
                <w:sz w:val="24"/>
                <w:highlight w:val="none"/>
              </w:rPr>
              <w:t>11</w:t>
            </w:r>
            <w:r>
              <w:rPr>
                <w:rFonts w:hint="eastAsia" w:ascii="宋体" w:hAnsi="宋体" w:eastAsia="宋体" w:cs="宋体"/>
                <w:color w:val="auto"/>
                <w:kern w:val="0"/>
                <w:sz w:val="24"/>
                <w:highlight w:val="none"/>
                <w:lang w:val="en-US" w:eastAsia="zh-CN"/>
              </w:rPr>
              <w:t>1</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en-US" w:eastAsia="zh-CN"/>
              </w:rPr>
              <w:t>35</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en-US" w:eastAsia="zh-CN"/>
              </w:rPr>
              <w:t>28.100</w:t>
            </w:r>
            <w:r>
              <w:rPr>
                <w:rFonts w:hint="eastAsia" w:ascii="宋体" w:hAnsi="宋体" w:eastAsia="宋体" w:cs="宋体"/>
                <w:color w:val="auto"/>
                <w:kern w:val="0"/>
                <w:sz w:val="24"/>
                <w:highlight w:val="none"/>
              </w:rPr>
              <w:t>''）</w:t>
            </w:r>
          </w:p>
        </w:tc>
        <w:tc>
          <w:tcPr>
            <w:tcW w:w="166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pH值</w:t>
            </w:r>
          </w:p>
        </w:tc>
        <w:tc>
          <w:tcPr>
            <w:tcW w:w="147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lang w:val="en-US" w:eastAsia="zh-CN"/>
              </w:rPr>
              <w:t>8.06</w:t>
            </w:r>
          </w:p>
        </w:tc>
        <w:tc>
          <w:tcPr>
            <w:tcW w:w="165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三氯乙烯</w:t>
            </w:r>
          </w:p>
        </w:tc>
        <w:tc>
          <w:tcPr>
            <w:tcW w:w="147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43" w:hRule="atLeast"/>
          <w:jc w:val="center"/>
        </w:trPr>
        <w:tc>
          <w:tcPr>
            <w:tcW w:w="984"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26"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6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砷</w:t>
            </w:r>
          </w:p>
        </w:tc>
        <w:tc>
          <w:tcPr>
            <w:tcW w:w="147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en-US" w:eastAsia="zh-CN"/>
              </w:rPr>
              <w:t>12.6</w:t>
            </w:r>
            <w:r>
              <w:rPr>
                <w:rFonts w:hint="eastAsia" w:ascii="宋体" w:hAnsi="宋体" w:eastAsia="宋体" w:cs="宋体"/>
                <w:color w:val="auto"/>
                <w:kern w:val="0"/>
                <w:sz w:val="24"/>
                <w:highlight w:val="none"/>
              </w:rPr>
              <w:t>mg/kg</w:t>
            </w:r>
          </w:p>
        </w:tc>
        <w:tc>
          <w:tcPr>
            <w:tcW w:w="165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1,2,3-三氯丙烷</w:t>
            </w:r>
          </w:p>
        </w:tc>
        <w:tc>
          <w:tcPr>
            <w:tcW w:w="147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7" w:hRule="atLeast"/>
          <w:jc w:val="center"/>
        </w:trPr>
        <w:tc>
          <w:tcPr>
            <w:tcW w:w="984"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26"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6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镉</w:t>
            </w:r>
          </w:p>
        </w:tc>
        <w:tc>
          <w:tcPr>
            <w:tcW w:w="147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en-US" w:eastAsia="zh-CN"/>
              </w:rPr>
              <w:t>0.88</w:t>
            </w:r>
            <w:r>
              <w:rPr>
                <w:rFonts w:hint="eastAsia" w:ascii="宋体" w:hAnsi="宋体" w:eastAsia="宋体" w:cs="宋体"/>
                <w:color w:val="auto"/>
                <w:kern w:val="0"/>
                <w:sz w:val="24"/>
                <w:highlight w:val="none"/>
              </w:rPr>
              <w:t>mg/kg</w:t>
            </w:r>
          </w:p>
        </w:tc>
        <w:tc>
          <w:tcPr>
            <w:tcW w:w="165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氯乙烯</w:t>
            </w:r>
          </w:p>
        </w:tc>
        <w:tc>
          <w:tcPr>
            <w:tcW w:w="147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7" w:hRule="atLeast"/>
          <w:jc w:val="center"/>
        </w:trPr>
        <w:tc>
          <w:tcPr>
            <w:tcW w:w="984"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26"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6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铬（六价）</w:t>
            </w:r>
          </w:p>
        </w:tc>
        <w:tc>
          <w:tcPr>
            <w:tcW w:w="147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5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w:t>
            </w:r>
          </w:p>
        </w:tc>
        <w:tc>
          <w:tcPr>
            <w:tcW w:w="147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7" w:hRule="atLeast"/>
          <w:jc w:val="center"/>
        </w:trPr>
        <w:tc>
          <w:tcPr>
            <w:tcW w:w="984"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26"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6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铜</w:t>
            </w:r>
          </w:p>
        </w:tc>
        <w:tc>
          <w:tcPr>
            <w:tcW w:w="147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en-US" w:eastAsia="zh-CN"/>
              </w:rPr>
              <w:t>37</w:t>
            </w:r>
            <w:r>
              <w:rPr>
                <w:rFonts w:hint="eastAsia" w:ascii="宋体" w:hAnsi="宋体" w:eastAsia="宋体" w:cs="宋体"/>
                <w:color w:val="auto"/>
                <w:kern w:val="0"/>
                <w:sz w:val="24"/>
                <w:highlight w:val="none"/>
              </w:rPr>
              <w:t>mg/kg</w:t>
            </w:r>
          </w:p>
        </w:tc>
        <w:tc>
          <w:tcPr>
            <w:tcW w:w="165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氯苯</w:t>
            </w:r>
          </w:p>
        </w:tc>
        <w:tc>
          <w:tcPr>
            <w:tcW w:w="147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7" w:hRule="atLeast"/>
          <w:jc w:val="center"/>
        </w:trPr>
        <w:tc>
          <w:tcPr>
            <w:tcW w:w="984"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26"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6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铅</w:t>
            </w:r>
          </w:p>
        </w:tc>
        <w:tc>
          <w:tcPr>
            <w:tcW w:w="147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en-US" w:eastAsia="zh-CN"/>
              </w:rPr>
              <w:t>174</w:t>
            </w:r>
            <w:r>
              <w:rPr>
                <w:rFonts w:hint="eastAsia" w:ascii="宋体" w:hAnsi="宋体" w:eastAsia="宋体" w:cs="宋体"/>
                <w:color w:val="auto"/>
                <w:kern w:val="0"/>
                <w:sz w:val="24"/>
                <w:highlight w:val="none"/>
              </w:rPr>
              <w:t>mg/kg</w:t>
            </w:r>
          </w:p>
        </w:tc>
        <w:tc>
          <w:tcPr>
            <w:tcW w:w="165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1,2-二氯苯</w:t>
            </w:r>
          </w:p>
        </w:tc>
        <w:tc>
          <w:tcPr>
            <w:tcW w:w="147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7" w:hRule="atLeast"/>
          <w:jc w:val="center"/>
        </w:trPr>
        <w:tc>
          <w:tcPr>
            <w:tcW w:w="984"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26"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6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汞</w:t>
            </w:r>
          </w:p>
        </w:tc>
        <w:tc>
          <w:tcPr>
            <w:tcW w:w="147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0</w:t>
            </w:r>
            <w:r>
              <w:rPr>
                <w:rFonts w:hint="eastAsia" w:ascii="宋体" w:hAnsi="宋体" w:eastAsia="宋体" w:cs="宋体"/>
                <w:color w:val="auto"/>
                <w:kern w:val="0"/>
                <w:sz w:val="24"/>
                <w:highlight w:val="none"/>
                <w:lang w:val="en-US" w:eastAsia="zh-CN"/>
              </w:rPr>
              <w:t>.218</w:t>
            </w:r>
            <w:r>
              <w:rPr>
                <w:rFonts w:hint="eastAsia" w:ascii="宋体" w:hAnsi="宋体" w:eastAsia="宋体" w:cs="宋体"/>
                <w:color w:val="auto"/>
                <w:kern w:val="0"/>
                <w:sz w:val="24"/>
                <w:highlight w:val="none"/>
              </w:rPr>
              <w:t>mg/kg</w:t>
            </w:r>
          </w:p>
        </w:tc>
        <w:tc>
          <w:tcPr>
            <w:tcW w:w="165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1,4-二氯苯</w:t>
            </w:r>
          </w:p>
        </w:tc>
        <w:tc>
          <w:tcPr>
            <w:tcW w:w="147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7" w:hRule="atLeast"/>
          <w:jc w:val="center"/>
        </w:trPr>
        <w:tc>
          <w:tcPr>
            <w:tcW w:w="984"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26"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6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镍</w:t>
            </w:r>
          </w:p>
        </w:tc>
        <w:tc>
          <w:tcPr>
            <w:tcW w:w="147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en-US" w:eastAsia="zh-CN"/>
              </w:rPr>
              <w:t>69</w:t>
            </w:r>
            <w:r>
              <w:rPr>
                <w:rFonts w:hint="eastAsia" w:ascii="宋体" w:hAnsi="宋体" w:eastAsia="宋体" w:cs="宋体"/>
                <w:color w:val="auto"/>
                <w:kern w:val="0"/>
                <w:sz w:val="24"/>
                <w:highlight w:val="none"/>
              </w:rPr>
              <w:t>mg/kg</w:t>
            </w:r>
          </w:p>
        </w:tc>
        <w:tc>
          <w:tcPr>
            <w:tcW w:w="165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乙苯</w:t>
            </w:r>
          </w:p>
        </w:tc>
        <w:tc>
          <w:tcPr>
            <w:tcW w:w="147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7" w:hRule="atLeast"/>
          <w:jc w:val="center"/>
        </w:trPr>
        <w:tc>
          <w:tcPr>
            <w:tcW w:w="984"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26"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6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四氯化碳</w:t>
            </w:r>
          </w:p>
        </w:tc>
        <w:tc>
          <w:tcPr>
            <w:tcW w:w="147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5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苯乙烯</w:t>
            </w:r>
          </w:p>
        </w:tc>
        <w:tc>
          <w:tcPr>
            <w:tcW w:w="147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7" w:hRule="atLeast"/>
          <w:jc w:val="center"/>
        </w:trPr>
        <w:tc>
          <w:tcPr>
            <w:tcW w:w="984"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26"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6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氯仿</w:t>
            </w:r>
          </w:p>
        </w:tc>
        <w:tc>
          <w:tcPr>
            <w:tcW w:w="147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未检出</w:t>
            </w:r>
          </w:p>
        </w:tc>
        <w:tc>
          <w:tcPr>
            <w:tcW w:w="165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甲苯</w:t>
            </w:r>
          </w:p>
        </w:tc>
        <w:tc>
          <w:tcPr>
            <w:tcW w:w="147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7" w:hRule="atLeast"/>
          <w:jc w:val="center"/>
        </w:trPr>
        <w:tc>
          <w:tcPr>
            <w:tcW w:w="984"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26"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6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氯甲烷</w:t>
            </w:r>
          </w:p>
        </w:tc>
        <w:tc>
          <w:tcPr>
            <w:tcW w:w="147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5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间,对-二甲苯</w:t>
            </w:r>
          </w:p>
        </w:tc>
        <w:tc>
          <w:tcPr>
            <w:tcW w:w="147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7" w:hRule="atLeast"/>
          <w:jc w:val="center"/>
        </w:trPr>
        <w:tc>
          <w:tcPr>
            <w:tcW w:w="984"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26"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6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1,1-二氯乙烷</w:t>
            </w:r>
          </w:p>
        </w:tc>
        <w:tc>
          <w:tcPr>
            <w:tcW w:w="147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未检出</w:t>
            </w:r>
          </w:p>
        </w:tc>
        <w:tc>
          <w:tcPr>
            <w:tcW w:w="165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邻-二甲苯</w:t>
            </w:r>
          </w:p>
        </w:tc>
        <w:tc>
          <w:tcPr>
            <w:tcW w:w="147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7" w:hRule="atLeast"/>
          <w:jc w:val="center"/>
        </w:trPr>
        <w:tc>
          <w:tcPr>
            <w:tcW w:w="984"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26"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6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1,2-二氯乙烷</w:t>
            </w:r>
          </w:p>
        </w:tc>
        <w:tc>
          <w:tcPr>
            <w:tcW w:w="147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未检出</w:t>
            </w:r>
          </w:p>
        </w:tc>
        <w:tc>
          <w:tcPr>
            <w:tcW w:w="165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硝基苯</w:t>
            </w:r>
          </w:p>
        </w:tc>
        <w:tc>
          <w:tcPr>
            <w:tcW w:w="147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7" w:hRule="atLeast"/>
          <w:jc w:val="center"/>
        </w:trPr>
        <w:tc>
          <w:tcPr>
            <w:tcW w:w="984"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26"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6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1,1-二氯乙烯</w:t>
            </w:r>
          </w:p>
        </w:tc>
        <w:tc>
          <w:tcPr>
            <w:tcW w:w="147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5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苯胺</w:t>
            </w:r>
          </w:p>
        </w:tc>
        <w:tc>
          <w:tcPr>
            <w:tcW w:w="147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43" w:hRule="atLeast"/>
          <w:jc w:val="center"/>
        </w:trPr>
        <w:tc>
          <w:tcPr>
            <w:tcW w:w="984"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26"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6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顺-1,2-二氯乙烯</w:t>
            </w:r>
          </w:p>
        </w:tc>
        <w:tc>
          <w:tcPr>
            <w:tcW w:w="147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5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2-氯酚</w:t>
            </w:r>
          </w:p>
        </w:tc>
        <w:tc>
          <w:tcPr>
            <w:tcW w:w="147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43" w:hRule="atLeast"/>
          <w:jc w:val="center"/>
        </w:trPr>
        <w:tc>
          <w:tcPr>
            <w:tcW w:w="984"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26"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6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反-1,2-二氯乙烯</w:t>
            </w:r>
          </w:p>
        </w:tc>
        <w:tc>
          <w:tcPr>
            <w:tcW w:w="147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5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苯并[a]蒽</w:t>
            </w:r>
          </w:p>
        </w:tc>
        <w:tc>
          <w:tcPr>
            <w:tcW w:w="147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7" w:hRule="atLeast"/>
          <w:jc w:val="center"/>
        </w:trPr>
        <w:tc>
          <w:tcPr>
            <w:tcW w:w="984"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p>
        </w:tc>
        <w:tc>
          <w:tcPr>
            <w:tcW w:w="1826"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p>
        </w:tc>
        <w:tc>
          <w:tcPr>
            <w:tcW w:w="166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二氯甲烷</w:t>
            </w:r>
          </w:p>
        </w:tc>
        <w:tc>
          <w:tcPr>
            <w:tcW w:w="147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5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苯并[a]芘</w:t>
            </w:r>
          </w:p>
        </w:tc>
        <w:tc>
          <w:tcPr>
            <w:tcW w:w="147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7" w:hRule="atLeast"/>
          <w:jc w:val="center"/>
        </w:trPr>
        <w:tc>
          <w:tcPr>
            <w:tcW w:w="984"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p>
        </w:tc>
        <w:tc>
          <w:tcPr>
            <w:tcW w:w="1826"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p>
        </w:tc>
        <w:tc>
          <w:tcPr>
            <w:tcW w:w="166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1,2-二氯丙烷</w:t>
            </w:r>
          </w:p>
        </w:tc>
        <w:tc>
          <w:tcPr>
            <w:tcW w:w="147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5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苯并[b]荧蒽</w:t>
            </w:r>
          </w:p>
        </w:tc>
        <w:tc>
          <w:tcPr>
            <w:tcW w:w="147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43" w:hRule="atLeast"/>
          <w:jc w:val="center"/>
        </w:trPr>
        <w:tc>
          <w:tcPr>
            <w:tcW w:w="984"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p>
        </w:tc>
        <w:tc>
          <w:tcPr>
            <w:tcW w:w="1826"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p>
        </w:tc>
        <w:tc>
          <w:tcPr>
            <w:tcW w:w="166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1,1,1,2-四氯乙烷</w:t>
            </w:r>
          </w:p>
        </w:tc>
        <w:tc>
          <w:tcPr>
            <w:tcW w:w="147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5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苯并[k]荧蒽</w:t>
            </w:r>
          </w:p>
        </w:tc>
        <w:tc>
          <w:tcPr>
            <w:tcW w:w="147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43" w:hRule="atLeast"/>
          <w:jc w:val="center"/>
        </w:trPr>
        <w:tc>
          <w:tcPr>
            <w:tcW w:w="984"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p>
        </w:tc>
        <w:tc>
          <w:tcPr>
            <w:tcW w:w="1826"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p>
        </w:tc>
        <w:tc>
          <w:tcPr>
            <w:tcW w:w="166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1,1,2,2-四氯乙烷</w:t>
            </w:r>
          </w:p>
        </w:tc>
        <w:tc>
          <w:tcPr>
            <w:tcW w:w="147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5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䓛</w:t>
            </w:r>
          </w:p>
        </w:tc>
        <w:tc>
          <w:tcPr>
            <w:tcW w:w="147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7" w:hRule="atLeast"/>
          <w:jc w:val="center"/>
        </w:trPr>
        <w:tc>
          <w:tcPr>
            <w:tcW w:w="984"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p>
        </w:tc>
        <w:tc>
          <w:tcPr>
            <w:tcW w:w="1826"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p>
        </w:tc>
        <w:tc>
          <w:tcPr>
            <w:tcW w:w="166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四氯乙烯</w:t>
            </w:r>
          </w:p>
        </w:tc>
        <w:tc>
          <w:tcPr>
            <w:tcW w:w="147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5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二苯并[a，h]蒽</w:t>
            </w:r>
          </w:p>
        </w:tc>
        <w:tc>
          <w:tcPr>
            <w:tcW w:w="147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43" w:hRule="atLeast"/>
          <w:jc w:val="center"/>
        </w:trPr>
        <w:tc>
          <w:tcPr>
            <w:tcW w:w="984"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p>
        </w:tc>
        <w:tc>
          <w:tcPr>
            <w:tcW w:w="1826"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p>
        </w:tc>
        <w:tc>
          <w:tcPr>
            <w:tcW w:w="166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1,1,1-三氯乙烷</w:t>
            </w:r>
          </w:p>
        </w:tc>
        <w:tc>
          <w:tcPr>
            <w:tcW w:w="147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5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茚并[1,2,3-cd]芘</w:t>
            </w:r>
          </w:p>
        </w:tc>
        <w:tc>
          <w:tcPr>
            <w:tcW w:w="147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43" w:hRule="atLeast"/>
          <w:jc w:val="center"/>
        </w:trPr>
        <w:tc>
          <w:tcPr>
            <w:tcW w:w="984"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p>
        </w:tc>
        <w:tc>
          <w:tcPr>
            <w:tcW w:w="1826"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p>
        </w:tc>
        <w:tc>
          <w:tcPr>
            <w:tcW w:w="166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1,1,2-三氯乙烷</w:t>
            </w:r>
          </w:p>
        </w:tc>
        <w:tc>
          <w:tcPr>
            <w:tcW w:w="147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5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萘</w:t>
            </w:r>
          </w:p>
        </w:tc>
        <w:tc>
          <w:tcPr>
            <w:tcW w:w="147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78" w:hRule="atLeast"/>
          <w:jc w:val="center"/>
        </w:trPr>
        <w:tc>
          <w:tcPr>
            <w:tcW w:w="984"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p>
        </w:tc>
        <w:tc>
          <w:tcPr>
            <w:tcW w:w="1826"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p>
        </w:tc>
        <w:tc>
          <w:tcPr>
            <w:tcW w:w="166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样品状态</w:t>
            </w:r>
          </w:p>
        </w:tc>
        <w:tc>
          <w:tcPr>
            <w:tcW w:w="4604" w:type="dxa"/>
            <w:gridSpan w:val="3"/>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固态、</w:t>
            </w:r>
            <w:r>
              <w:rPr>
                <w:rFonts w:hint="eastAsia" w:ascii="宋体" w:hAnsi="宋体" w:eastAsia="宋体" w:cs="宋体"/>
                <w:color w:val="auto"/>
                <w:kern w:val="0"/>
                <w:sz w:val="24"/>
                <w:highlight w:val="none"/>
                <w:lang w:val="en-US" w:eastAsia="zh-CN"/>
              </w:rPr>
              <w:t>红</w:t>
            </w:r>
            <w:r>
              <w:rPr>
                <w:rFonts w:hint="eastAsia" w:ascii="宋体" w:hAnsi="宋体" w:eastAsia="宋体" w:cs="宋体"/>
                <w:color w:val="auto"/>
                <w:kern w:val="0"/>
                <w:sz w:val="24"/>
                <w:highlight w:val="none"/>
              </w:rPr>
              <w:t>色、</w:t>
            </w:r>
            <w:r>
              <w:rPr>
                <w:rFonts w:hint="eastAsia" w:ascii="宋体" w:hAnsi="宋体" w:eastAsia="宋体" w:cs="宋体"/>
                <w:color w:val="auto"/>
                <w:kern w:val="0"/>
                <w:sz w:val="24"/>
                <w:highlight w:val="none"/>
                <w:lang w:val="en-US" w:eastAsia="zh-CN"/>
              </w:rPr>
              <w:t>壤土</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en-US" w:eastAsia="zh-CN"/>
              </w:rPr>
              <w:t>潮湿</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en-US" w:eastAsia="zh-CN"/>
              </w:rPr>
              <w:t>少量</w:t>
            </w:r>
            <w:r>
              <w:rPr>
                <w:rFonts w:hint="eastAsia" w:ascii="宋体" w:hAnsi="宋体" w:eastAsia="宋体" w:cs="宋体"/>
                <w:color w:val="auto"/>
                <w:kern w:val="0"/>
                <w:sz w:val="24"/>
                <w:highlight w:val="none"/>
              </w:rPr>
              <w:t>砂粒、</w:t>
            </w:r>
            <w:r>
              <w:rPr>
                <w:rFonts w:hint="eastAsia" w:ascii="宋体" w:hAnsi="宋体" w:eastAsia="宋体" w:cs="宋体"/>
                <w:color w:val="auto"/>
                <w:kern w:val="0"/>
                <w:sz w:val="24"/>
                <w:highlight w:val="none"/>
                <w:lang w:val="en-US" w:eastAsia="zh-CN"/>
              </w:rPr>
              <w:t>少量根系</w:t>
            </w:r>
          </w:p>
        </w:tc>
      </w:tr>
    </w:tbl>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 xml:space="preserve"> </w:t>
      </w:r>
    </w:p>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b/>
          <w:color w:val="auto"/>
          <w:sz w:val="24"/>
          <w:highlight w:val="none"/>
        </w:rPr>
      </w:pPr>
    </w:p>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highlight w:val="none"/>
        </w:rPr>
      </w:pPr>
      <w:r>
        <w:rPr>
          <w:rFonts w:hint="eastAsia" w:ascii="宋体" w:hAnsi="宋体" w:eastAsia="宋体" w:cs="宋体"/>
          <w:b/>
          <w:color w:val="auto"/>
          <w:sz w:val="24"/>
          <w:highlight w:val="none"/>
        </w:rPr>
        <w:t>土壤检测结果统计表</w:t>
      </w:r>
    </w:p>
    <w:tbl>
      <w:tblPr>
        <w:tblStyle w:val="21"/>
        <w:tblW w:w="9117" w:type="dxa"/>
        <w:tblInd w:w="-256" w:type="dxa"/>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988"/>
        <w:gridCol w:w="1833"/>
        <w:gridCol w:w="1671"/>
        <w:gridCol w:w="1485"/>
        <w:gridCol w:w="1662"/>
        <w:gridCol w:w="1478"/>
      </w:tblGrid>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04" w:hRule="atLeast"/>
          <w:tblHeader/>
        </w:trPr>
        <w:tc>
          <w:tcPr>
            <w:tcW w:w="98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采样时间</w:t>
            </w:r>
          </w:p>
        </w:tc>
        <w:tc>
          <w:tcPr>
            <w:tcW w:w="1833"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检测地点</w:t>
            </w:r>
          </w:p>
        </w:tc>
        <w:tc>
          <w:tcPr>
            <w:tcW w:w="167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检测因子</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检测结果</w:t>
            </w:r>
          </w:p>
        </w:tc>
        <w:tc>
          <w:tcPr>
            <w:tcW w:w="166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检测因子</w:t>
            </w:r>
          </w:p>
        </w:tc>
        <w:tc>
          <w:tcPr>
            <w:tcW w:w="147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检测结果</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6" w:hRule="atLeast"/>
        </w:trPr>
        <w:tc>
          <w:tcPr>
            <w:tcW w:w="988" w:type="dxa"/>
            <w:vMerge w:val="restart"/>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rPr>
            </w:pPr>
            <w:r>
              <w:rPr>
                <w:rFonts w:hint="eastAsia" w:ascii="宋体" w:hAnsi="宋体" w:eastAsia="宋体" w:cs="宋体"/>
                <w:color w:val="auto"/>
                <w:kern w:val="0"/>
                <w:sz w:val="24"/>
                <w:highlight w:val="none"/>
              </w:rPr>
              <w:t>202</w:t>
            </w:r>
            <w:r>
              <w:rPr>
                <w:rFonts w:hint="eastAsia" w:ascii="宋体" w:hAnsi="宋体" w:eastAsia="宋体" w:cs="宋体"/>
                <w:color w:val="auto"/>
                <w:kern w:val="0"/>
                <w:sz w:val="24"/>
                <w:highlight w:val="none"/>
                <w:lang w:val="en-US" w:eastAsia="zh-CN"/>
              </w:rPr>
              <w:t>3</w:t>
            </w:r>
            <w:r>
              <w:rPr>
                <w:rFonts w:hint="eastAsia" w:ascii="宋体" w:hAnsi="宋体" w:eastAsia="宋体" w:cs="宋体"/>
                <w:color w:val="auto"/>
                <w:kern w:val="0"/>
                <w:sz w:val="24"/>
                <w:highlight w:val="none"/>
              </w:rPr>
              <w:t>.0</w:t>
            </w:r>
            <w:r>
              <w:rPr>
                <w:rFonts w:hint="eastAsia" w:ascii="宋体" w:hAnsi="宋体" w:eastAsia="宋体" w:cs="宋体"/>
                <w:color w:val="auto"/>
                <w:kern w:val="0"/>
                <w:sz w:val="24"/>
                <w:highlight w:val="none"/>
                <w:lang w:val="en-US" w:eastAsia="zh-CN"/>
              </w:rPr>
              <w:t>6.08</w:t>
            </w:r>
          </w:p>
        </w:tc>
        <w:tc>
          <w:tcPr>
            <w:tcW w:w="1833" w:type="dxa"/>
            <w:vMerge w:val="restart"/>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lang w:val="en-US" w:eastAsia="zh-CN"/>
              </w:rPr>
              <w:t>1-4酸钠盐、尼文酸车间、1#2#仓库</w:t>
            </w:r>
          </w:p>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（N</w:t>
            </w:r>
            <w:r>
              <w:rPr>
                <w:rFonts w:hint="eastAsia" w:ascii="宋体" w:hAnsi="宋体" w:eastAsia="宋体" w:cs="宋体"/>
                <w:color w:val="auto"/>
                <w:kern w:val="0"/>
                <w:sz w:val="24"/>
                <w:highlight w:val="none"/>
                <w:lang w:eastAsia="zh-CN"/>
              </w:rPr>
              <w:t>：</w:t>
            </w:r>
            <w:r>
              <w:rPr>
                <w:rFonts w:hint="eastAsia" w:ascii="宋体" w:hAnsi="宋体" w:eastAsia="宋体" w:cs="宋体"/>
                <w:color w:val="auto"/>
                <w:kern w:val="0"/>
                <w:sz w:val="24"/>
                <w:highlight w:val="none"/>
              </w:rPr>
              <w:t>3</w:t>
            </w:r>
            <w:r>
              <w:rPr>
                <w:rFonts w:hint="eastAsia" w:ascii="宋体" w:hAnsi="宋体" w:eastAsia="宋体" w:cs="宋体"/>
                <w:color w:val="auto"/>
                <w:kern w:val="0"/>
                <w:sz w:val="24"/>
                <w:highlight w:val="none"/>
                <w:lang w:val="en-US" w:eastAsia="zh-CN"/>
              </w:rPr>
              <w:t>4</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en-US" w:eastAsia="zh-CN"/>
              </w:rPr>
              <w:t>40</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en-US" w:eastAsia="zh-CN"/>
              </w:rPr>
              <w:t>30.767</w:t>
            </w:r>
            <w:r>
              <w:rPr>
                <w:rFonts w:hint="eastAsia" w:ascii="宋体" w:hAnsi="宋体" w:eastAsia="宋体" w:cs="宋体"/>
                <w:color w:val="auto"/>
                <w:kern w:val="0"/>
                <w:sz w:val="24"/>
                <w:highlight w:val="none"/>
              </w:rPr>
              <w:t>''  E</w:t>
            </w:r>
            <w:r>
              <w:rPr>
                <w:rFonts w:hint="eastAsia" w:ascii="宋体" w:hAnsi="宋体" w:eastAsia="宋体" w:cs="宋体"/>
                <w:color w:val="auto"/>
                <w:kern w:val="0"/>
                <w:sz w:val="24"/>
                <w:highlight w:val="none"/>
                <w:lang w:eastAsia="zh-CN"/>
              </w:rPr>
              <w:t>：</w:t>
            </w:r>
            <w:r>
              <w:rPr>
                <w:rFonts w:hint="eastAsia" w:ascii="宋体" w:hAnsi="宋体" w:eastAsia="宋体" w:cs="宋体"/>
                <w:color w:val="auto"/>
                <w:kern w:val="0"/>
                <w:sz w:val="24"/>
                <w:highlight w:val="none"/>
              </w:rPr>
              <w:t>11</w:t>
            </w:r>
            <w:r>
              <w:rPr>
                <w:rFonts w:hint="eastAsia" w:ascii="宋体" w:hAnsi="宋体" w:eastAsia="宋体" w:cs="宋体"/>
                <w:color w:val="auto"/>
                <w:kern w:val="0"/>
                <w:sz w:val="24"/>
                <w:highlight w:val="none"/>
                <w:lang w:val="en-US" w:eastAsia="zh-CN"/>
              </w:rPr>
              <w:t>1</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en-US" w:eastAsia="zh-CN"/>
              </w:rPr>
              <w:t>35</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en-US" w:eastAsia="zh-CN"/>
              </w:rPr>
              <w:t>19.661</w:t>
            </w:r>
            <w:r>
              <w:rPr>
                <w:rFonts w:hint="eastAsia" w:ascii="宋体" w:hAnsi="宋体" w:eastAsia="宋体" w:cs="宋体"/>
                <w:color w:val="auto"/>
                <w:kern w:val="0"/>
                <w:sz w:val="24"/>
                <w:highlight w:val="none"/>
              </w:rPr>
              <w:t>''）</w:t>
            </w:r>
          </w:p>
        </w:tc>
        <w:tc>
          <w:tcPr>
            <w:tcW w:w="167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pH值</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lang w:val="en-US" w:eastAsia="zh-CN"/>
              </w:rPr>
              <w:t>8.13</w:t>
            </w:r>
          </w:p>
        </w:tc>
        <w:tc>
          <w:tcPr>
            <w:tcW w:w="166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三氯乙烯</w:t>
            </w:r>
          </w:p>
        </w:tc>
        <w:tc>
          <w:tcPr>
            <w:tcW w:w="147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51" w:hRule="atLeast"/>
        </w:trPr>
        <w:tc>
          <w:tcPr>
            <w:tcW w:w="988"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33"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7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砷</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en-US" w:eastAsia="zh-CN"/>
              </w:rPr>
              <w:t>11.3</w:t>
            </w:r>
            <w:r>
              <w:rPr>
                <w:rFonts w:hint="eastAsia" w:ascii="宋体" w:hAnsi="宋体" w:eastAsia="宋体" w:cs="宋体"/>
                <w:color w:val="auto"/>
                <w:kern w:val="0"/>
                <w:sz w:val="24"/>
                <w:highlight w:val="none"/>
              </w:rPr>
              <w:t>mg/kg</w:t>
            </w:r>
          </w:p>
        </w:tc>
        <w:tc>
          <w:tcPr>
            <w:tcW w:w="166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1,2,3-三氯丙烷</w:t>
            </w:r>
          </w:p>
        </w:tc>
        <w:tc>
          <w:tcPr>
            <w:tcW w:w="147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6" w:hRule="atLeast"/>
        </w:trPr>
        <w:tc>
          <w:tcPr>
            <w:tcW w:w="988"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33"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7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镉</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en-US" w:eastAsia="zh-CN"/>
              </w:rPr>
              <w:t>0.97</w:t>
            </w:r>
            <w:r>
              <w:rPr>
                <w:rFonts w:hint="eastAsia" w:ascii="宋体" w:hAnsi="宋体" w:eastAsia="宋体" w:cs="宋体"/>
                <w:color w:val="auto"/>
                <w:kern w:val="0"/>
                <w:sz w:val="24"/>
                <w:highlight w:val="none"/>
              </w:rPr>
              <w:t>mg/kg</w:t>
            </w:r>
          </w:p>
        </w:tc>
        <w:tc>
          <w:tcPr>
            <w:tcW w:w="166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氯乙烯</w:t>
            </w:r>
          </w:p>
        </w:tc>
        <w:tc>
          <w:tcPr>
            <w:tcW w:w="147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6" w:hRule="atLeast"/>
        </w:trPr>
        <w:tc>
          <w:tcPr>
            <w:tcW w:w="988"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33"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7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铬（六价）</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6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w:t>
            </w:r>
          </w:p>
        </w:tc>
        <w:tc>
          <w:tcPr>
            <w:tcW w:w="147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6" w:hRule="atLeast"/>
        </w:trPr>
        <w:tc>
          <w:tcPr>
            <w:tcW w:w="988"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33"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7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铜</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en-US" w:eastAsia="zh-CN"/>
              </w:rPr>
              <w:t>38</w:t>
            </w:r>
            <w:r>
              <w:rPr>
                <w:rFonts w:hint="eastAsia" w:ascii="宋体" w:hAnsi="宋体" w:eastAsia="宋体" w:cs="宋体"/>
                <w:color w:val="auto"/>
                <w:kern w:val="0"/>
                <w:sz w:val="24"/>
                <w:highlight w:val="none"/>
              </w:rPr>
              <w:t>mg/kg</w:t>
            </w:r>
          </w:p>
        </w:tc>
        <w:tc>
          <w:tcPr>
            <w:tcW w:w="166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氯苯</w:t>
            </w:r>
          </w:p>
        </w:tc>
        <w:tc>
          <w:tcPr>
            <w:tcW w:w="147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6" w:hRule="atLeast"/>
        </w:trPr>
        <w:tc>
          <w:tcPr>
            <w:tcW w:w="988"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33"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7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铅</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en-US" w:eastAsia="zh-CN"/>
              </w:rPr>
              <w:t>174</w:t>
            </w:r>
            <w:r>
              <w:rPr>
                <w:rFonts w:hint="eastAsia" w:ascii="宋体" w:hAnsi="宋体" w:eastAsia="宋体" w:cs="宋体"/>
                <w:color w:val="auto"/>
                <w:kern w:val="0"/>
                <w:sz w:val="24"/>
                <w:highlight w:val="none"/>
              </w:rPr>
              <w:t>mg/kg</w:t>
            </w:r>
          </w:p>
        </w:tc>
        <w:tc>
          <w:tcPr>
            <w:tcW w:w="166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1,2-二氯苯</w:t>
            </w:r>
          </w:p>
        </w:tc>
        <w:tc>
          <w:tcPr>
            <w:tcW w:w="147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6" w:hRule="atLeast"/>
        </w:trPr>
        <w:tc>
          <w:tcPr>
            <w:tcW w:w="988"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33"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7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汞</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0</w:t>
            </w:r>
            <w:r>
              <w:rPr>
                <w:rFonts w:hint="eastAsia" w:ascii="宋体" w:hAnsi="宋体" w:eastAsia="宋体" w:cs="宋体"/>
                <w:color w:val="auto"/>
                <w:kern w:val="0"/>
                <w:sz w:val="24"/>
                <w:highlight w:val="none"/>
                <w:lang w:val="en-US" w:eastAsia="zh-CN"/>
              </w:rPr>
              <w:t>.313</w:t>
            </w:r>
            <w:r>
              <w:rPr>
                <w:rFonts w:hint="eastAsia" w:ascii="宋体" w:hAnsi="宋体" w:eastAsia="宋体" w:cs="宋体"/>
                <w:color w:val="auto"/>
                <w:kern w:val="0"/>
                <w:sz w:val="24"/>
                <w:highlight w:val="none"/>
              </w:rPr>
              <w:t>mg/kg</w:t>
            </w:r>
          </w:p>
        </w:tc>
        <w:tc>
          <w:tcPr>
            <w:tcW w:w="166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1,4-二氯苯</w:t>
            </w:r>
          </w:p>
        </w:tc>
        <w:tc>
          <w:tcPr>
            <w:tcW w:w="147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6" w:hRule="atLeast"/>
        </w:trPr>
        <w:tc>
          <w:tcPr>
            <w:tcW w:w="988"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33"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7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镍</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en-US" w:eastAsia="zh-CN"/>
              </w:rPr>
              <w:t>52</w:t>
            </w:r>
            <w:r>
              <w:rPr>
                <w:rFonts w:hint="eastAsia" w:ascii="宋体" w:hAnsi="宋体" w:eastAsia="宋体" w:cs="宋体"/>
                <w:color w:val="auto"/>
                <w:kern w:val="0"/>
                <w:sz w:val="24"/>
                <w:highlight w:val="none"/>
              </w:rPr>
              <w:t>mg/kg</w:t>
            </w:r>
          </w:p>
        </w:tc>
        <w:tc>
          <w:tcPr>
            <w:tcW w:w="166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乙苯</w:t>
            </w:r>
          </w:p>
        </w:tc>
        <w:tc>
          <w:tcPr>
            <w:tcW w:w="147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6" w:hRule="atLeast"/>
        </w:trPr>
        <w:tc>
          <w:tcPr>
            <w:tcW w:w="988"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33"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7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四氯化碳</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6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苯乙烯</w:t>
            </w:r>
          </w:p>
        </w:tc>
        <w:tc>
          <w:tcPr>
            <w:tcW w:w="147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6" w:hRule="atLeast"/>
        </w:trPr>
        <w:tc>
          <w:tcPr>
            <w:tcW w:w="988"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33"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7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氯仿</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未检出</w:t>
            </w:r>
          </w:p>
        </w:tc>
        <w:tc>
          <w:tcPr>
            <w:tcW w:w="166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甲苯</w:t>
            </w:r>
          </w:p>
        </w:tc>
        <w:tc>
          <w:tcPr>
            <w:tcW w:w="147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6" w:hRule="atLeast"/>
        </w:trPr>
        <w:tc>
          <w:tcPr>
            <w:tcW w:w="988"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33"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7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氯甲烷</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6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间,对-二甲苯</w:t>
            </w:r>
          </w:p>
        </w:tc>
        <w:tc>
          <w:tcPr>
            <w:tcW w:w="147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6" w:hRule="atLeast"/>
        </w:trPr>
        <w:tc>
          <w:tcPr>
            <w:tcW w:w="988"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33"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7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1,1-二氯乙烷</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未检出</w:t>
            </w:r>
          </w:p>
        </w:tc>
        <w:tc>
          <w:tcPr>
            <w:tcW w:w="166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邻-二甲苯</w:t>
            </w:r>
          </w:p>
        </w:tc>
        <w:tc>
          <w:tcPr>
            <w:tcW w:w="147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6" w:hRule="atLeast"/>
        </w:trPr>
        <w:tc>
          <w:tcPr>
            <w:tcW w:w="988"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33"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7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1,2-二氯乙烷</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未检出</w:t>
            </w:r>
          </w:p>
        </w:tc>
        <w:tc>
          <w:tcPr>
            <w:tcW w:w="166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硝基苯</w:t>
            </w:r>
          </w:p>
        </w:tc>
        <w:tc>
          <w:tcPr>
            <w:tcW w:w="147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6" w:hRule="atLeast"/>
        </w:trPr>
        <w:tc>
          <w:tcPr>
            <w:tcW w:w="988"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33"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7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1,1-二氯乙烯</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6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苯胺</w:t>
            </w:r>
          </w:p>
        </w:tc>
        <w:tc>
          <w:tcPr>
            <w:tcW w:w="147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51" w:hRule="atLeast"/>
        </w:trPr>
        <w:tc>
          <w:tcPr>
            <w:tcW w:w="988"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33"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7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顺-1,2-二氯乙烯</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6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2-氯酚</w:t>
            </w:r>
          </w:p>
        </w:tc>
        <w:tc>
          <w:tcPr>
            <w:tcW w:w="147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51" w:hRule="atLeast"/>
        </w:trPr>
        <w:tc>
          <w:tcPr>
            <w:tcW w:w="988"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33"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7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反-1,2-二氯乙烯</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6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苯并[a]蒽</w:t>
            </w:r>
          </w:p>
        </w:tc>
        <w:tc>
          <w:tcPr>
            <w:tcW w:w="147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6" w:hRule="atLeast"/>
        </w:trPr>
        <w:tc>
          <w:tcPr>
            <w:tcW w:w="988"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33"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67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二氯甲烷</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6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苯并[a]芘</w:t>
            </w:r>
          </w:p>
        </w:tc>
        <w:tc>
          <w:tcPr>
            <w:tcW w:w="147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6" w:hRule="atLeast"/>
        </w:trPr>
        <w:tc>
          <w:tcPr>
            <w:tcW w:w="988"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33"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67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1,2-二氯丙烷</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6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苯并[b]荧蒽</w:t>
            </w:r>
          </w:p>
        </w:tc>
        <w:tc>
          <w:tcPr>
            <w:tcW w:w="147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51" w:hRule="atLeast"/>
        </w:trPr>
        <w:tc>
          <w:tcPr>
            <w:tcW w:w="988"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33"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67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1,1,1,2-四氯乙烷</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6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苯并[k]荧蒽</w:t>
            </w:r>
          </w:p>
        </w:tc>
        <w:tc>
          <w:tcPr>
            <w:tcW w:w="147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51" w:hRule="atLeast"/>
        </w:trPr>
        <w:tc>
          <w:tcPr>
            <w:tcW w:w="988"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33"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67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1,1,2,2-四氯乙烷</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6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䓛</w:t>
            </w:r>
          </w:p>
        </w:tc>
        <w:tc>
          <w:tcPr>
            <w:tcW w:w="147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9" w:hRule="atLeast"/>
        </w:trPr>
        <w:tc>
          <w:tcPr>
            <w:tcW w:w="988"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33"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67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四氯乙烯</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6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二苯并[a，h]蒽</w:t>
            </w:r>
          </w:p>
        </w:tc>
        <w:tc>
          <w:tcPr>
            <w:tcW w:w="147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51" w:hRule="atLeast"/>
        </w:trPr>
        <w:tc>
          <w:tcPr>
            <w:tcW w:w="988"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33"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67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1,1,1-三氯乙烷</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6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茚并[1,2,3-cd]芘</w:t>
            </w:r>
          </w:p>
        </w:tc>
        <w:tc>
          <w:tcPr>
            <w:tcW w:w="147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51" w:hRule="atLeast"/>
        </w:trPr>
        <w:tc>
          <w:tcPr>
            <w:tcW w:w="988"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33"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67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1,1,2-三氯乙烷</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6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萘</w:t>
            </w:r>
          </w:p>
        </w:tc>
        <w:tc>
          <w:tcPr>
            <w:tcW w:w="147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08" w:hRule="atLeast"/>
        </w:trPr>
        <w:tc>
          <w:tcPr>
            <w:tcW w:w="988"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33"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67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样品状态</w:t>
            </w:r>
          </w:p>
        </w:tc>
        <w:tc>
          <w:tcPr>
            <w:tcW w:w="4625" w:type="dxa"/>
            <w:gridSpan w:val="3"/>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固态、</w:t>
            </w:r>
            <w:r>
              <w:rPr>
                <w:rFonts w:hint="eastAsia" w:ascii="宋体" w:hAnsi="宋体" w:eastAsia="宋体" w:cs="宋体"/>
                <w:color w:val="auto"/>
                <w:kern w:val="0"/>
                <w:sz w:val="24"/>
                <w:highlight w:val="none"/>
                <w:lang w:val="en-US" w:eastAsia="zh-CN"/>
              </w:rPr>
              <w:t>红</w:t>
            </w:r>
            <w:r>
              <w:rPr>
                <w:rFonts w:hint="eastAsia" w:ascii="宋体" w:hAnsi="宋体" w:eastAsia="宋体" w:cs="宋体"/>
                <w:color w:val="auto"/>
                <w:kern w:val="0"/>
                <w:sz w:val="24"/>
                <w:highlight w:val="none"/>
              </w:rPr>
              <w:t>色、</w:t>
            </w:r>
            <w:r>
              <w:rPr>
                <w:rFonts w:hint="eastAsia" w:ascii="宋体" w:hAnsi="宋体" w:eastAsia="宋体" w:cs="宋体"/>
                <w:color w:val="auto"/>
                <w:kern w:val="0"/>
                <w:sz w:val="24"/>
                <w:highlight w:val="none"/>
                <w:lang w:val="en-US" w:eastAsia="zh-CN"/>
              </w:rPr>
              <w:t>壤土</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en-US" w:eastAsia="zh-CN"/>
              </w:rPr>
              <w:t>潮湿</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en-US" w:eastAsia="zh-CN"/>
              </w:rPr>
              <w:t>少量</w:t>
            </w:r>
            <w:r>
              <w:rPr>
                <w:rFonts w:hint="eastAsia" w:ascii="宋体" w:hAnsi="宋体" w:eastAsia="宋体" w:cs="宋体"/>
                <w:color w:val="auto"/>
                <w:kern w:val="0"/>
                <w:sz w:val="24"/>
                <w:highlight w:val="none"/>
              </w:rPr>
              <w:t>砂粒、</w:t>
            </w:r>
            <w:r>
              <w:rPr>
                <w:rFonts w:hint="eastAsia" w:ascii="宋体" w:hAnsi="宋体" w:eastAsia="宋体" w:cs="宋体"/>
                <w:color w:val="auto"/>
                <w:kern w:val="0"/>
                <w:sz w:val="24"/>
                <w:highlight w:val="none"/>
                <w:lang w:val="en-US" w:eastAsia="zh-CN"/>
              </w:rPr>
              <w:t>少量根系</w:t>
            </w:r>
          </w:p>
        </w:tc>
      </w:tr>
    </w:tbl>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 xml:space="preserve">  </w:t>
      </w:r>
    </w:p>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b/>
          <w:color w:val="auto"/>
          <w:sz w:val="24"/>
          <w:highlight w:val="none"/>
        </w:rPr>
      </w:pPr>
    </w:p>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highlight w:val="none"/>
        </w:rPr>
      </w:pPr>
      <w:r>
        <w:rPr>
          <w:rFonts w:hint="eastAsia" w:ascii="宋体" w:hAnsi="宋体" w:eastAsia="宋体" w:cs="宋体"/>
          <w:b/>
          <w:color w:val="auto"/>
          <w:sz w:val="24"/>
          <w:highlight w:val="none"/>
        </w:rPr>
        <w:t>土壤检测结果统计表</w:t>
      </w:r>
    </w:p>
    <w:tbl>
      <w:tblPr>
        <w:tblStyle w:val="21"/>
        <w:tblW w:w="9158" w:type="dxa"/>
        <w:tblInd w:w="-256" w:type="dxa"/>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993"/>
        <w:gridCol w:w="1841"/>
        <w:gridCol w:w="1677"/>
        <w:gridCol w:w="1493"/>
        <w:gridCol w:w="1669"/>
        <w:gridCol w:w="1485"/>
      </w:tblGrid>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16" w:hRule="atLeast"/>
          <w:tblHeader/>
        </w:trPr>
        <w:tc>
          <w:tcPr>
            <w:tcW w:w="993"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采样时间</w:t>
            </w:r>
          </w:p>
        </w:tc>
        <w:tc>
          <w:tcPr>
            <w:tcW w:w="184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检测地点</w:t>
            </w:r>
          </w:p>
        </w:tc>
        <w:tc>
          <w:tcPr>
            <w:tcW w:w="167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检测因子</w:t>
            </w:r>
          </w:p>
        </w:tc>
        <w:tc>
          <w:tcPr>
            <w:tcW w:w="1493"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检测结果</w:t>
            </w:r>
          </w:p>
        </w:tc>
        <w:tc>
          <w:tcPr>
            <w:tcW w:w="166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检测因子</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检测结果</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87" w:hRule="atLeast"/>
        </w:trPr>
        <w:tc>
          <w:tcPr>
            <w:tcW w:w="993" w:type="dxa"/>
            <w:vMerge w:val="restart"/>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rPr>
            </w:pPr>
            <w:r>
              <w:rPr>
                <w:rFonts w:hint="eastAsia" w:ascii="宋体" w:hAnsi="宋体" w:eastAsia="宋体" w:cs="宋体"/>
                <w:color w:val="auto"/>
                <w:kern w:val="0"/>
                <w:sz w:val="24"/>
                <w:highlight w:val="none"/>
              </w:rPr>
              <w:t>202</w:t>
            </w:r>
            <w:r>
              <w:rPr>
                <w:rFonts w:hint="eastAsia" w:ascii="宋体" w:hAnsi="宋体" w:eastAsia="宋体" w:cs="宋体"/>
                <w:color w:val="auto"/>
                <w:kern w:val="0"/>
                <w:sz w:val="24"/>
                <w:highlight w:val="none"/>
                <w:lang w:val="en-US" w:eastAsia="zh-CN"/>
              </w:rPr>
              <w:t>3</w:t>
            </w:r>
            <w:r>
              <w:rPr>
                <w:rFonts w:hint="eastAsia" w:ascii="宋体" w:hAnsi="宋体" w:eastAsia="宋体" w:cs="宋体"/>
                <w:color w:val="auto"/>
                <w:kern w:val="0"/>
                <w:sz w:val="24"/>
                <w:highlight w:val="none"/>
              </w:rPr>
              <w:t>.0</w:t>
            </w:r>
            <w:r>
              <w:rPr>
                <w:rFonts w:hint="eastAsia" w:ascii="宋体" w:hAnsi="宋体" w:eastAsia="宋体" w:cs="宋体"/>
                <w:color w:val="auto"/>
                <w:kern w:val="0"/>
                <w:sz w:val="24"/>
                <w:highlight w:val="none"/>
                <w:lang w:val="en-US" w:eastAsia="zh-CN"/>
              </w:rPr>
              <w:t>6.08</w:t>
            </w:r>
          </w:p>
        </w:tc>
        <w:tc>
          <w:tcPr>
            <w:tcW w:w="1841" w:type="dxa"/>
            <w:vMerge w:val="restart"/>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lang w:val="en-US" w:eastAsia="zh-CN"/>
              </w:rPr>
              <w:t>甲酸乙酯车间、仓库及应急池、乙醇甲酸地埋罐</w:t>
            </w:r>
          </w:p>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（N</w:t>
            </w:r>
            <w:r>
              <w:rPr>
                <w:rFonts w:hint="eastAsia" w:ascii="宋体" w:hAnsi="宋体" w:eastAsia="宋体" w:cs="宋体"/>
                <w:color w:val="auto"/>
                <w:kern w:val="0"/>
                <w:sz w:val="24"/>
                <w:highlight w:val="none"/>
                <w:lang w:eastAsia="zh-CN"/>
              </w:rPr>
              <w:t>：</w:t>
            </w:r>
            <w:r>
              <w:rPr>
                <w:rFonts w:hint="eastAsia" w:ascii="宋体" w:hAnsi="宋体" w:eastAsia="宋体" w:cs="宋体"/>
                <w:color w:val="auto"/>
                <w:kern w:val="0"/>
                <w:sz w:val="24"/>
                <w:highlight w:val="none"/>
              </w:rPr>
              <w:t>3</w:t>
            </w:r>
            <w:r>
              <w:rPr>
                <w:rFonts w:hint="eastAsia" w:ascii="宋体" w:hAnsi="宋体" w:eastAsia="宋体" w:cs="宋体"/>
                <w:color w:val="auto"/>
                <w:kern w:val="0"/>
                <w:sz w:val="24"/>
                <w:highlight w:val="none"/>
                <w:lang w:val="en-US" w:eastAsia="zh-CN"/>
              </w:rPr>
              <w:t>4</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en-US" w:eastAsia="zh-CN"/>
              </w:rPr>
              <w:t>40</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en-US" w:eastAsia="zh-CN"/>
              </w:rPr>
              <w:t>29.480</w:t>
            </w:r>
            <w:r>
              <w:rPr>
                <w:rFonts w:hint="eastAsia" w:ascii="宋体" w:hAnsi="宋体" w:eastAsia="宋体" w:cs="宋体"/>
                <w:color w:val="auto"/>
                <w:kern w:val="0"/>
                <w:sz w:val="24"/>
                <w:highlight w:val="none"/>
              </w:rPr>
              <w:t>''  E</w:t>
            </w:r>
            <w:r>
              <w:rPr>
                <w:rFonts w:hint="eastAsia" w:ascii="宋体" w:hAnsi="宋体" w:eastAsia="宋体" w:cs="宋体"/>
                <w:color w:val="auto"/>
                <w:kern w:val="0"/>
                <w:sz w:val="24"/>
                <w:highlight w:val="none"/>
                <w:lang w:eastAsia="zh-CN"/>
              </w:rPr>
              <w:t>：</w:t>
            </w:r>
            <w:r>
              <w:rPr>
                <w:rFonts w:hint="eastAsia" w:ascii="宋体" w:hAnsi="宋体" w:eastAsia="宋体" w:cs="宋体"/>
                <w:color w:val="auto"/>
                <w:kern w:val="0"/>
                <w:sz w:val="24"/>
                <w:highlight w:val="none"/>
              </w:rPr>
              <w:t>11</w:t>
            </w:r>
            <w:r>
              <w:rPr>
                <w:rFonts w:hint="eastAsia" w:ascii="宋体" w:hAnsi="宋体" w:eastAsia="宋体" w:cs="宋体"/>
                <w:color w:val="auto"/>
                <w:kern w:val="0"/>
                <w:sz w:val="24"/>
                <w:highlight w:val="none"/>
                <w:lang w:val="en-US" w:eastAsia="zh-CN"/>
              </w:rPr>
              <w:t>1</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en-US" w:eastAsia="zh-CN"/>
              </w:rPr>
              <w:t>35</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en-US" w:eastAsia="zh-CN"/>
              </w:rPr>
              <w:t>22.422</w:t>
            </w:r>
            <w:r>
              <w:rPr>
                <w:rFonts w:hint="eastAsia" w:ascii="宋体" w:hAnsi="宋体" w:eastAsia="宋体" w:cs="宋体"/>
                <w:color w:val="auto"/>
                <w:kern w:val="0"/>
                <w:sz w:val="24"/>
                <w:highlight w:val="none"/>
              </w:rPr>
              <w:t>''）</w:t>
            </w:r>
          </w:p>
        </w:tc>
        <w:tc>
          <w:tcPr>
            <w:tcW w:w="167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pH值</w:t>
            </w:r>
          </w:p>
        </w:tc>
        <w:tc>
          <w:tcPr>
            <w:tcW w:w="1493"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lang w:val="en-US" w:eastAsia="zh-CN"/>
              </w:rPr>
              <w:t>8.04</w:t>
            </w:r>
          </w:p>
        </w:tc>
        <w:tc>
          <w:tcPr>
            <w:tcW w:w="166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三氯乙烯</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69" w:hRule="atLeast"/>
        </w:trPr>
        <w:tc>
          <w:tcPr>
            <w:tcW w:w="993"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41"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7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砷</w:t>
            </w:r>
          </w:p>
        </w:tc>
        <w:tc>
          <w:tcPr>
            <w:tcW w:w="1493"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en-US" w:eastAsia="zh-CN"/>
              </w:rPr>
              <w:t>13.8</w:t>
            </w:r>
            <w:r>
              <w:rPr>
                <w:rFonts w:hint="eastAsia" w:ascii="宋体" w:hAnsi="宋体" w:eastAsia="宋体" w:cs="宋体"/>
                <w:color w:val="auto"/>
                <w:kern w:val="0"/>
                <w:sz w:val="24"/>
                <w:highlight w:val="none"/>
              </w:rPr>
              <w:t>mg/kg</w:t>
            </w:r>
          </w:p>
        </w:tc>
        <w:tc>
          <w:tcPr>
            <w:tcW w:w="166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1,2,3-三氯丙烷</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87" w:hRule="atLeast"/>
        </w:trPr>
        <w:tc>
          <w:tcPr>
            <w:tcW w:w="993"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41"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7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镉</w:t>
            </w:r>
          </w:p>
        </w:tc>
        <w:tc>
          <w:tcPr>
            <w:tcW w:w="1493"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en-US" w:eastAsia="zh-CN"/>
              </w:rPr>
              <w:t>0.63</w:t>
            </w:r>
            <w:r>
              <w:rPr>
                <w:rFonts w:hint="eastAsia" w:ascii="宋体" w:hAnsi="宋体" w:eastAsia="宋体" w:cs="宋体"/>
                <w:color w:val="auto"/>
                <w:kern w:val="0"/>
                <w:sz w:val="24"/>
                <w:highlight w:val="none"/>
              </w:rPr>
              <w:t>mg/kg</w:t>
            </w:r>
          </w:p>
        </w:tc>
        <w:tc>
          <w:tcPr>
            <w:tcW w:w="166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氯乙烯</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87" w:hRule="atLeast"/>
        </w:trPr>
        <w:tc>
          <w:tcPr>
            <w:tcW w:w="993"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41"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7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铬（六价）</w:t>
            </w:r>
          </w:p>
        </w:tc>
        <w:tc>
          <w:tcPr>
            <w:tcW w:w="1493"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6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87" w:hRule="atLeast"/>
        </w:trPr>
        <w:tc>
          <w:tcPr>
            <w:tcW w:w="993"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41"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7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铜</w:t>
            </w:r>
          </w:p>
        </w:tc>
        <w:tc>
          <w:tcPr>
            <w:tcW w:w="1493"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en-US" w:eastAsia="zh-CN"/>
              </w:rPr>
              <w:t>36</w:t>
            </w:r>
            <w:r>
              <w:rPr>
                <w:rFonts w:hint="eastAsia" w:ascii="宋体" w:hAnsi="宋体" w:eastAsia="宋体" w:cs="宋体"/>
                <w:color w:val="auto"/>
                <w:kern w:val="0"/>
                <w:sz w:val="24"/>
                <w:highlight w:val="none"/>
              </w:rPr>
              <w:t>mg/kg</w:t>
            </w:r>
          </w:p>
        </w:tc>
        <w:tc>
          <w:tcPr>
            <w:tcW w:w="166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氯苯</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87" w:hRule="atLeast"/>
        </w:trPr>
        <w:tc>
          <w:tcPr>
            <w:tcW w:w="993"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41"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7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铅</w:t>
            </w:r>
          </w:p>
        </w:tc>
        <w:tc>
          <w:tcPr>
            <w:tcW w:w="1493"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en-US" w:eastAsia="zh-CN"/>
              </w:rPr>
              <w:t>166</w:t>
            </w:r>
            <w:r>
              <w:rPr>
                <w:rFonts w:hint="eastAsia" w:ascii="宋体" w:hAnsi="宋体" w:eastAsia="宋体" w:cs="宋体"/>
                <w:color w:val="auto"/>
                <w:kern w:val="0"/>
                <w:sz w:val="24"/>
                <w:highlight w:val="none"/>
              </w:rPr>
              <w:t>mg/kg</w:t>
            </w:r>
          </w:p>
        </w:tc>
        <w:tc>
          <w:tcPr>
            <w:tcW w:w="166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1,2-二氯苯</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87" w:hRule="atLeast"/>
        </w:trPr>
        <w:tc>
          <w:tcPr>
            <w:tcW w:w="993"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41"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7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汞</w:t>
            </w:r>
          </w:p>
        </w:tc>
        <w:tc>
          <w:tcPr>
            <w:tcW w:w="1493"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0</w:t>
            </w:r>
            <w:r>
              <w:rPr>
                <w:rFonts w:hint="eastAsia" w:ascii="宋体" w:hAnsi="宋体" w:eastAsia="宋体" w:cs="宋体"/>
                <w:color w:val="auto"/>
                <w:kern w:val="0"/>
                <w:sz w:val="24"/>
                <w:highlight w:val="none"/>
                <w:lang w:val="en-US" w:eastAsia="zh-CN"/>
              </w:rPr>
              <w:t>.327</w:t>
            </w:r>
            <w:r>
              <w:rPr>
                <w:rFonts w:hint="eastAsia" w:ascii="宋体" w:hAnsi="宋体" w:eastAsia="宋体" w:cs="宋体"/>
                <w:color w:val="auto"/>
                <w:kern w:val="0"/>
                <w:sz w:val="24"/>
                <w:highlight w:val="none"/>
              </w:rPr>
              <w:t>mg/kg</w:t>
            </w:r>
          </w:p>
        </w:tc>
        <w:tc>
          <w:tcPr>
            <w:tcW w:w="166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1,4-二氯苯</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87" w:hRule="atLeast"/>
        </w:trPr>
        <w:tc>
          <w:tcPr>
            <w:tcW w:w="993"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41"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7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镍</w:t>
            </w:r>
          </w:p>
        </w:tc>
        <w:tc>
          <w:tcPr>
            <w:tcW w:w="1493"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en-US" w:eastAsia="zh-CN"/>
              </w:rPr>
              <w:t>74</w:t>
            </w:r>
            <w:r>
              <w:rPr>
                <w:rFonts w:hint="eastAsia" w:ascii="宋体" w:hAnsi="宋体" w:eastAsia="宋体" w:cs="宋体"/>
                <w:color w:val="auto"/>
                <w:kern w:val="0"/>
                <w:sz w:val="24"/>
                <w:highlight w:val="none"/>
              </w:rPr>
              <w:t>mg/kg</w:t>
            </w:r>
          </w:p>
        </w:tc>
        <w:tc>
          <w:tcPr>
            <w:tcW w:w="166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乙苯</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87" w:hRule="atLeast"/>
        </w:trPr>
        <w:tc>
          <w:tcPr>
            <w:tcW w:w="993"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41"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7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四氯化碳</w:t>
            </w:r>
          </w:p>
        </w:tc>
        <w:tc>
          <w:tcPr>
            <w:tcW w:w="1493"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6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苯乙烯</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87" w:hRule="atLeast"/>
        </w:trPr>
        <w:tc>
          <w:tcPr>
            <w:tcW w:w="993"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41"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7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氯仿</w:t>
            </w:r>
          </w:p>
        </w:tc>
        <w:tc>
          <w:tcPr>
            <w:tcW w:w="1493"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未检出</w:t>
            </w:r>
          </w:p>
        </w:tc>
        <w:tc>
          <w:tcPr>
            <w:tcW w:w="166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甲苯</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87" w:hRule="atLeast"/>
        </w:trPr>
        <w:tc>
          <w:tcPr>
            <w:tcW w:w="993"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41"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7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氯甲烷</w:t>
            </w:r>
          </w:p>
        </w:tc>
        <w:tc>
          <w:tcPr>
            <w:tcW w:w="1493"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6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间,对-二甲苯</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87" w:hRule="atLeast"/>
        </w:trPr>
        <w:tc>
          <w:tcPr>
            <w:tcW w:w="993"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41"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7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1,1-二氯乙烷</w:t>
            </w:r>
          </w:p>
        </w:tc>
        <w:tc>
          <w:tcPr>
            <w:tcW w:w="1493"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未检出</w:t>
            </w:r>
          </w:p>
        </w:tc>
        <w:tc>
          <w:tcPr>
            <w:tcW w:w="166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邻-二甲苯</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87" w:hRule="atLeast"/>
        </w:trPr>
        <w:tc>
          <w:tcPr>
            <w:tcW w:w="993"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41"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7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1,2-二氯乙烷</w:t>
            </w:r>
          </w:p>
        </w:tc>
        <w:tc>
          <w:tcPr>
            <w:tcW w:w="1493"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未检出</w:t>
            </w:r>
          </w:p>
        </w:tc>
        <w:tc>
          <w:tcPr>
            <w:tcW w:w="166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硝基苯</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87" w:hRule="atLeast"/>
        </w:trPr>
        <w:tc>
          <w:tcPr>
            <w:tcW w:w="993"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41"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7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1,1-二氯乙烯</w:t>
            </w:r>
          </w:p>
        </w:tc>
        <w:tc>
          <w:tcPr>
            <w:tcW w:w="1493"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6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苯胺</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25" w:hRule="atLeast"/>
        </w:trPr>
        <w:tc>
          <w:tcPr>
            <w:tcW w:w="993"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41"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7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顺-1,2-二氯乙烯</w:t>
            </w:r>
          </w:p>
        </w:tc>
        <w:tc>
          <w:tcPr>
            <w:tcW w:w="1493"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6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2-氯酚</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25" w:hRule="atLeast"/>
        </w:trPr>
        <w:tc>
          <w:tcPr>
            <w:tcW w:w="993"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41"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7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反-1,2-二氯乙烯</w:t>
            </w:r>
          </w:p>
        </w:tc>
        <w:tc>
          <w:tcPr>
            <w:tcW w:w="1493"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6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苯并[a]蒽</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87" w:hRule="atLeast"/>
        </w:trPr>
        <w:tc>
          <w:tcPr>
            <w:tcW w:w="993"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41"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67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二氯甲烷</w:t>
            </w:r>
          </w:p>
        </w:tc>
        <w:tc>
          <w:tcPr>
            <w:tcW w:w="1493"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6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苯并[a]芘</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87" w:hRule="atLeast"/>
        </w:trPr>
        <w:tc>
          <w:tcPr>
            <w:tcW w:w="993"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41"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67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1,2-二氯丙烷</w:t>
            </w:r>
          </w:p>
        </w:tc>
        <w:tc>
          <w:tcPr>
            <w:tcW w:w="1493"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6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苯并[b]荧蒽</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25" w:hRule="atLeast"/>
        </w:trPr>
        <w:tc>
          <w:tcPr>
            <w:tcW w:w="993"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41"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67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1,1,1,2-四氯乙烷</w:t>
            </w:r>
          </w:p>
        </w:tc>
        <w:tc>
          <w:tcPr>
            <w:tcW w:w="1493"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6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苯并[k]荧蒽</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25" w:hRule="atLeast"/>
        </w:trPr>
        <w:tc>
          <w:tcPr>
            <w:tcW w:w="993"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41"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67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1,1,2,2-四氯乙烷</w:t>
            </w:r>
          </w:p>
        </w:tc>
        <w:tc>
          <w:tcPr>
            <w:tcW w:w="1493"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6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䓛</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87" w:hRule="atLeast"/>
        </w:trPr>
        <w:tc>
          <w:tcPr>
            <w:tcW w:w="993"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41"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67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四氯乙烯</w:t>
            </w:r>
          </w:p>
        </w:tc>
        <w:tc>
          <w:tcPr>
            <w:tcW w:w="1493"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6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二苯并[a，h]蒽</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25" w:hRule="atLeast"/>
        </w:trPr>
        <w:tc>
          <w:tcPr>
            <w:tcW w:w="993"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41"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67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1,1,1-三氯乙烷</w:t>
            </w:r>
          </w:p>
        </w:tc>
        <w:tc>
          <w:tcPr>
            <w:tcW w:w="1493"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6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茚并[1,2,3-cd]芘</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69" w:hRule="atLeast"/>
        </w:trPr>
        <w:tc>
          <w:tcPr>
            <w:tcW w:w="993"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41"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67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1,1,2-三氯乙烷</w:t>
            </w:r>
          </w:p>
        </w:tc>
        <w:tc>
          <w:tcPr>
            <w:tcW w:w="1493"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6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萘</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874" w:hRule="atLeast"/>
        </w:trPr>
        <w:tc>
          <w:tcPr>
            <w:tcW w:w="993"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41"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67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样品状态</w:t>
            </w:r>
          </w:p>
        </w:tc>
        <w:tc>
          <w:tcPr>
            <w:tcW w:w="4647" w:type="dxa"/>
            <w:gridSpan w:val="3"/>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固态、</w:t>
            </w:r>
            <w:r>
              <w:rPr>
                <w:rFonts w:hint="eastAsia" w:ascii="宋体" w:hAnsi="宋体" w:eastAsia="宋体" w:cs="宋体"/>
                <w:color w:val="auto"/>
                <w:kern w:val="0"/>
                <w:sz w:val="24"/>
                <w:highlight w:val="none"/>
                <w:lang w:val="en-US" w:eastAsia="zh-CN"/>
              </w:rPr>
              <w:t>红</w:t>
            </w:r>
            <w:r>
              <w:rPr>
                <w:rFonts w:hint="eastAsia" w:ascii="宋体" w:hAnsi="宋体" w:eastAsia="宋体" w:cs="宋体"/>
                <w:color w:val="auto"/>
                <w:kern w:val="0"/>
                <w:sz w:val="24"/>
                <w:highlight w:val="none"/>
              </w:rPr>
              <w:t>色、</w:t>
            </w:r>
            <w:r>
              <w:rPr>
                <w:rFonts w:hint="eastAsia" w:ascii="宋体" w:hAnsi="宋体" w:eastAsia="宋体" w:cs="宋体"/>
                <w:color w:val="auto"/>
                <w:kern w:val="0"/>
                <w:sz w:val="24"/>
                <w:highlight w:val="none"/>
                <w:lang w:val="en-US" w:eastAsia="zh-CN"/>
              </w:rPr>
              <w:t>壤土</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en-US" w:eastAsia="zh-CN"/>
              </w:rPr>
              <w:t>潮湿</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en-US" w:eastAsia="zh-CN"/>
              </w:rPr>
              <w:t>少量</w:t>
            </w:r>
            <w:r>
              <w:rPr>
                <w:rFonts w:hint="eastAsia" w:ascii="宋体" w:hAnsi="宋体" w:eastAsia="宋体" w:cs="宋体"/>
                <w:color w:val="auto"/>
                <w:kern w:val="0"/>
                <w:sz w:val="24"/>
                <w:highlight w:val="none"/>
              </w:rPr>
              <w:t>砂粒、</w:t>
            </w:r>
            <w:r>
              <w:rPr>
                <w:rFonts w:hint="eastAsia" w:ascii="宋体" w:hAnsi="宋体" w:eastAsia="宋体" w:cs="宋体"/>
                <w:color w:val="auto"/>
                <w:kern w:val="0"/>
                <w:sz w:val="24"/>
                <w:highlight w:val="none"/>
                <w:lang w:val="en-US" w:eastAsia="zh-CN"/>
              </w:rPr>
              <w:t>少量根系</w:t>
            </w:r>
          </w:p>
        </w:tc>
      </w:tr>
    </w:tbl>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 xml:space="preserve"> </w:t>
      </w:r>
    </w:p>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highlight w:val="none"/>
        </w:rPr>
      </w:pPr>
      <w:r>
        <w:rPr>
          <w:rFonts w:hint="eastAsia" w:ascii="宋体" w:hAnsi="宋体" w:eastAsia="宋体" w:cs="宋体"/>
          <w:b/>
          <w:color w:val="auto"/>
          <w:sz w:val="24"/>
          <w:highlight w:val="none"/>
        </w:rPr>
        <w:t>土壤检测结果统计表</w:t>
      </w:r>
    </w:p>
    <w:tbl>
      <w:tblPr>
        <w:tblStyle w:val="21"/>
        <w:tblW w:w="9157" w:type="dxa"/>
        <w:tblInd w:w="-256" w:type="dxa"/>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992"/>
        <w:gridCol w:w="1841"/>
        <w:gridCol w:w="1678"/>
        <w:gridCol w:w="1491"/>
        <w:gridCol w:w="1670"/>
        <w:gridCol w:w="1485"/>
      </w:tblGrid>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72" w:hRule="atLeast"/>
          <w:tblHeader/>
        </w:trPr>
        <w:tc>
          <w:tcPr>
            <w:tcW w:w="99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采样时间</w:t>
            </w:r>
          </w:p>
        </w:tc>
        <w:tc>
          <w:tcPr>
            <w:tcW w:w="184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检测地点</w:t>
            </w:r>
          </w:p>
        </w:tc>
        <w:tc>
          <w:tcPr>
            <w:tcW w:w="167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检测因子</w:t>
            </w:r>
          </w:p>
        </w:tc>
        <w:tc>
          <w:tcPr>
            <w:tcW w:w="149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检测结果</w:t>
            </w:r>
          </w:p>
        </w:tc>
        <w:tc>
          <w:tcPr>
            <w:tcW w:w="167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检测因子</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检测结果</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0" w:hRule="atLeast"/>
        </w:trPr>
        <w:tc>
          <w:tcPr>
            <w:tcW w:w="992" w:type="dxa"/>
            <w:vMerge w:val="restart"/>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rPr>
            </w:pPr>
            <w:r>
              <w:rPr>
                <w:rFonts w:hint="eastAsia" w:ascii="宋体" w:hAnsi="宋体" w:eastAsia="宋体" w:cs="宋体"/>
                <w:color w:val="auto"/>
                <w:kern w:val="0"/>
                <w:sz w:val="24"/>
                <w:highlight w:val="none"/>
              </w:rPr>
              <w:t>202</w:t>
            </w:r>
            <w:r>
              <w:rPr>
                <w:rFonts w:hint="eastAsia" w:ascii="宋体" w:hAnsi="宋体" w:eastAsia="宋体" w:cs="宋体"/>
                <w:color w:val="auto"/>
                <w:kern w:val="0"/>
                <w:sz w:val="24"/>
                <w:highlight w:val="none"/>
                <w:lang w:val="en-US" w:eastAsia="zh-CN"/>
              </w:rPr>
              <w:t>3</w:t>
            </w:r>
            <w:r>
              <w:rPr>
                <w:rFonts w:hint="eastAsia" w:ascii="宋体" w:hAnsi="宋体" w:eastAsia="宋体" w:cs="宋体"/>
                <w:color w:val="auto"/>
                <w:kern w:val="0"/>
                <w:sz w:val="24"/>
                <w:highlight w:val="none"/>
              </w:rPr>
              <w:t>.0</w:t>
            </w:r>
            <w:r>
              <w:rPr>
                <w:rFonts w:hint="eastAsia" w:ascii="宋体" w:hAnsi="宋体" w:eastAsia="宋体" w:cs="宋体"/>
                <w:color w:val="auto"/>
                <w:kern w:val="0"/>
                <w:sz w:val="24"/>
                <w:highlight w:val="none"/>
                <w:lang w:val="en-US" w:eastAsia="zh-CN"/>
              </w:rPr>
              <w:t>6.08</w:t>
            </w:r>
          </w:p>
        </w:tc>
        <w:tc>
          <w:tcPr>
            <w:tcW w:w="1841" w:type="dxa"/>
            <w:vMerge w:val="restart"/>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lang w:val="en-US" w:eastAsia="zh-CN"/>
              </w:rPr>
              <w:t>溴化氢车间（乙酸溶液）、二氯甲烷、双氧水、溴素储罐区</w:t>
            </w:r>
          </w:p>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（N</w:t>
            </w:r>
            <w:r>
              <w:rPr>
                <w:rFonts w:hint="eastAsia" w:ascii="宋体" w:hAnsi="宋体" w:eastAsia="宋体" w:cs="宋体"/>
                <w:color w:val="auto"/>
                <w:kern w:val="0"/>
                <w:sz w:val="24"/>
                <w:highlight w:val="none"/>
                <w:lang w:eastAsia="zh-CN"/>
              </w:rPr>
              <w:t>：</w:t>
            </w:r>
            <w:r>
              <w:rPr>
                <w:rFonts w:hint="eastAsia" w:ascii="宋体" w:hAnsi="宋体" w:eastAsia="宋体" w:cs="宋体"/>
                <w:color w:val="auto"/>
                <w:kern w:val="0"/>
                <w:sz w:val="24"/>
                <w:highlight w:val="none"/>
              </w:rPr>
              <w:t>3</w:t>
            </w:r>
            <w:r>
              <w:rPr>
                <w:rFonts w:hint="eastAsia" w:ascii="宋体" w:hAnsi="宋体" w:eastAsia="宋体" w:cs="宋体"/>
                <w:color w:val="auto"/>
                <w:kern w:val="0"/>
                <w:sz w:val="24"/>
                <w:highlight w:val="none"/>
                <w:lang w:val="en-US" w:eastAsia="zh-CN"/>
              </w:rPr>
              <w:t>4</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en-US" w:eastAsia="zh-CN"/>
              </w:rPr>
              <w:t>40</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en-US" w:eastAsia="zh-CN"/>
              </w:rPr>
              <w:t>27.130</w:t>
            </w:r>
            <w:r>
              <w:rPr>
                <w:rFonts w:hint="eastAsia" w:ascii="宋体" w:hAnsi="宋体" w:eastAsia="宋体" w:cs="宋体"/>
                <w:color w:val="auto"/>
                <w:kern w:val="0"/>
                <w:sz w:val="24"/>
                <w:highlight w:val="none"/>
              </w:rPr>
              <w:t>''  E</w:t>
            </w:r>
            <w:r>
              <w:rPr>
                <w:rFonts w:hint="eastAsia" w:ascii="宋体" w:hAnsi="宋体" w:eastAsia="宋体" w:cs="宋体"/>
                <w:color w:val="auto"/>
                <w:kern w:val="0"/>
                <w:sz w:val="24"/>
                <w:highlight w:val="none"/>
                <w:lang w:eastAsia="zh-CN"/>
              </w:rPr>
              <w:t>：</w:t>
            </w:r>
            <w:r>
              <w:rPr>
                <w:rFonts w:hint="eastAsia" w:ascii="宋体" w:hAnsi="宋体" w:eastAsia="宋体" w:cs="宋体"/>
                <w:color w:val="auto"/>
                <w:kern w:val="0"/>
                <w:sz w:val="24"/>
                <w:highlight w:val="none"/>
              </w:rPr>
              <w:t>11</w:t>
            </w:r>
            <w:r>
              <w:rPr>
                <w:rFonts w:hint="eastAsia" w:ascii="宋体" w:hAnsi="宋体" w:eastAsia="宋体" w:cs="宋体"/>
                <w:color w:val="auto"/>
                <w:kern w:val="0"/>
                <w:sz w:val="24"/>
                <w:highlight w:val="none"/>
                <w:lang w:val="en-US" w:eastAsia="zh-CN"/>
              </w:rPr>
              <w:t>1</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en-US" w:eastAsia="zh-CN"/>
              </w:rPr>
              <w:t>35</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en-US" w:eastAsia="zh-CN"/>
              </w:rPr>
              <w:t>25.512</w:t>
            </w:r>
            <w:r>
              <w:rPr>
                <w:rFonts w:hint="eastAsia" w:ascii="宋体" w:hAnsi="宋体" w:eastAsia="宋体" w:cs="宋体"/>
                <w:color w:val="auto"/>
                <w:kern w:val="0"/>
                <w:sz w:val="24"/>
                <w:highlight w:val="none"/>
              </w:rPr>
              <w:t>''）</w:t>
            </w:r>
          </w:p>
        </w:tc>
        <w:tc>
          <w:tcPr>
            <w:tcW w:w="167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pH值</w:t>
            </w:r>
          </w:p>
        </w:tc>
        <w:tc>
          <w:tcPr>
            <w:tcW w:w="149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lang w:val="en-US" w:eastAsia="zh-CN"/>
              </w:rPr>
              <w:t>7.73</w:t>
            </w:r>
          </w:p>
        </w:tc>
        <w:tc>
          <w:tcPr>
            <w:tcW w:w="167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三氯乙烯</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41" w:hRule="atLeast"/>
        </w:trPr>
        <w:tc>
          <w:tcPr>
            <w:tcW w:w="992"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41"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7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砷</w:t>
            </w:r>
          </w:p>
        </w:tc>
        <w:tc>
          <w:tcPr>
            <w:tcW w:w="149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en-US" w:eastAsia="zh-CN"/>
              </w:rPr>
              <w:t>13.9</w:t>
            </w:r>
            <w:r>
              <w:rPr>
                <w:rFonts w:hint="eastAsia" w:ascii="宋体" w:hAnsi="宋体" w:eastAsia="宋体" w:cs="宋体"/>
                <w:color w:val="auto"/>
                <w:kern w:val="0"/>
                <w:sz w:val="24"/>
                <w:highlight w:val="none"/>
              </w:rPr>
              <w:t>mg/kg</w:t>
            </w:r>
          </w:p>
        </w:tc>
        <w:tc>
          <w:tcPr>
            <w:tcW w:w="167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1,2,3-三氯丙烷</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81" w:hRule="atLeast"/>
        </w:trPr>
        <w:tc>
          <w:tcPr>
            <w:tcW w:w="992"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41"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7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镉</w:t>
            </w:r>
          </w:p>
        </w:tc>
        <w:tc>
          <w:tcPr>
            <w:tcW w:w="149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en-US" w:eastAsia="zh-CN"/>
              </w:rPr>
              <w:t>0.72</w:t>
            </w:r>
            <w:r>
              <w:rPr>
                <w:rFonts w:hint="eastAsia" w:ascii="宋体" w:hAnsi="宋体" w:eastAsia="宋体" w:cs="宋体"/>
                <w:color w:val="auto"/>
                <w:kern w:val="0"/>
                <w:sz w:val="24"/>
                <w:highlight w:val="none"/>
              </w:rPr>
              <w:t>mg/kg</w:t>
            </w:r>
          </w:p>
        </w:tc>
        <w:tc>
          <w:tcPr>
            <w:tcW w:w="167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氯乙烯</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0" w:hRule="atLeast"/>
        </w:trPr>
        <w:tc>
          <w:tcPr>
            <w:tcW w:w="992"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41"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7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铬（六价）</w:t>
            </w:r>
          </w:p>
        </w:tc>
        <w:tc>
          <w:tcPr>
            <w:tcW w:w="149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7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0" w:hRule="atLeast"/>
        </w:trPr>
        <w:tc>
          <w:tcPr>
            <w:tcW w:w="992"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41"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7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铜</w:t>
            </w:r>
          </w:p>
        </w:tc>
        <w:tc>
          <w:tcPr>
            <w:tcW w:w="149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en-US" w:eastAsia="zh-CN"/>
              </w:rPr>
              <w:t>47</w:t>
            </w:r>
            <w:r>
              <w:rPr>
                <w:rFonts w:hint="eastAsia" w:ascii="宋体" w:hAnsi="宋体" w:eastAsia="宋体" w:cs="宋体"/>
                <w:color w:val="auto"/>
                <w:kern w:val="0"/>
                <w:sz w:val="24"/>
                <w:highlight w:val="none"/>
              </w:rPr>
              <w:t>mg/kg</w:t>
            </w:r>
          </w:p>
        </w:tc>
        <w:tc>
          <w:tcPr>
            <w:tcW w:w="167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氯苯</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0" w:hRule="atLeast"/>
        </w:trPr>
        <w:tc>
          <w:tcPr>
            <w:tcW w:w="992"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41"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7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铅</w:t>
            </w:r>
          </w:p>
        </w:tc>
        <w:tc>
          <w:tcPr>
            <w:tcW w:w="149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en-US" w:eastAsia="zh-CN"/>
              </w:rPr>
              <w:t>40</w:t>
            </w:r>
            <w:r>
              <w:rPr>
                <w:rFonts w:hint="eastAsia" w:ascii="宋体" w:hAnsi="宋体" w:eastAsia="宋体" w:cs="宋体"/>
                <w:color w:val="auto"/>
                <w:kern w:val="0"/>
                <w:sz w:val="24"/>
                <w:highlight w:val="none"/>
              </w:rPr>
              <w:t>mg/kg</w:t>
            </w:r>
          </w:p>
        </w:tc>
        <w:tc>
          <w:tcPr>
            <w:tcW w:w="167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1,2-二氯苯</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81" w:hRule="atLeast"/>
        </w:trPr>
        <w:tc>
          <w:tcPr>
            <w:tcW w:w="992"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41"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7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汞</w:t>
            </w:r>
          </w:p>
        </w:tc>
        <w:tc>
          <w:tcPr>
            <w:tcW w:w="149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0</w:t>
            </w:r>
            <w:r>
              <w:rPr>
                <w:rFonts w:hint="eastAsia" w:ascii="宋体" w:hAnsi="宋体" w:eastAsia="宋体" w:cs="宋体"/>
                <w:color w:val="auto"/>
                <w:kern w:val="0"/>
                <w:sz w:val="24"/>
                <w:highlight w:val="none"/>
                <w:lang w:val="en-US" w:eastAsia="zh-CN"/>
              </w:rPr>
              <w:t>.308</w:t>
            </w:r>
            <w:r>
              <w:rPr>
                <w:rFonts w:hint="eastAsia" w:ascii="宋体" w:hAnsi="宋体" w:eastAsia="宋体" w:cs="宋体"/>
                <w:color w:val="auto"/>
                <w:kern w:val="0"/>
                <w:sz w:val="24"/>
                <w:highlight w:val="none"/>
              </w:rPr>
              <w:t>mg/kg</w:t>
            </w:r>
          </w:p>
        </w:tc>
        <w:tc>
          <w:tcPr>
            <w:tcW w:w="167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1,4-二氯苯</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0" w:hRule="atLeast"/>
        </w:trPr>
        <w:tc>
          <w:tcPr>
            <w:tcW w:w="992"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41"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7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镍</w:t>
            </w:r>
          </w:p>
        </w:tc>
        <w:tc>
          <w:tcPr>
            <w:tcW w:w="149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en-US" w:eastAsia="zh-CN"/>
              </w:rPr>
              <w:t>77</w:t>
            </w:r>
            <w:r>
              <w:rPr>
                <w:rFonts w:hint="eastAsia" w:ascii="宋体" w:hAnsi="宋体" w:eastAsia="宋体" w:cs="宋体"/>
                <w:color w:val="auto"/>
                <w:kern w:val="0"/>
                <w:sz w:val="24"/>
                <w:highlight w:val="none"/>
              </w:rPr>
              <w:t>mg/kg</w:t>
            </w:r>
          </w:p>
        </w:tc>
        <w:tc>
          <w:tcPr>
            <w:tcW w:w="167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乙苯</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0" w:hRule="atLeast"/>
        </w:trPr>
        <w:tc>
          <w:tcPr>
            <w:tcW w:w="992"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41"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7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四氯化碳</w:t>
            </w:r>
          </w:p>
        </w:tc>
        <w:tc>
          <w:tcPr>
            <w:tcW w:w="149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7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苯乙烯</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0" w:hRule="atLeast"/>
        </w:trPr>
        <w:tc>
          <w:tcPr>
            <w:tcW w:w="992"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41"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7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氯仿</w:t>
            </w:r>
          </w:p>
        </w:tc>
        <w:tc>
          <w:tcPr>
            <w:tcW w:w="149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未检出</w:t>
            </w:r>
          </w:p>
        </w:tc>
        <w:tc>
          <w:tcPr>
            <w:tcW w:w="167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甲苯</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41" w:hRule="atLeast"/>
        </w:trPr>
        <w:tc>
          <w:tcPr>
            <w:tcW w:w="992"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41"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7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氯甲烷</w:t>
            </w:r>
          </w:p>
        </w:tc>
        <w:tc>
          <w:tcPr>
            <w:tcW w:w="149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7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间,对-二甲苯</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41" w:hRule="atLeast"/>
        </w:trPr>
        <w:tc>
          <w:tcPr>
            <w:tcW w:w="992"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41"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7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1,1-二氯乙烷</w:t>
            </w:r>
          </w:p>
        </w:tc>
        <w:tc>
          <w:tcPr>
            <w:tcW w:w="149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未检出</w:t>
            </w:r>
          </w:p>
        </w:tc>
        <w:tc>
          <w:tcPr>
            <w:tcW w:w="167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邻-二甲苯</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41" w:hRule="atLeast"/>
        </w:trPr>
        <w:tc>
          <w:tcPr>
            <w:tcW w:w="992"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41"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7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1,2-二氯乙烷</w:t>
            </w:r>
          </w:p>
        </w:tc>
        <w:tc>
          <w:tcPr>
            <w:tcW w:w="149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未检出</w:t>
            </w:r>
          </w:p>
        </w:tc>
        <w:tc>
          <w:tcPr>
            <w:tcW w:w="167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硝基苯</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41" w:hRule="atLeast"/>
        </w:trPr>
        <w:tc>
          <w:tcPr>
            <w:tcW w:w="992"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41"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7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1,1-二氯乙烯</w:t>
            </w:r>
          </w:p>
        </w:tc>
        <w:tc>
          <w:tcPr>
            <w:tcW w:w="149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7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苯胺</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51" w:hRule="atLeast"/>
        </w:trPr>
        <w:tc>
          <w:tcPr>
            <w:tcW w:w="992"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41"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7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顺-1,2-二氯乙烯</w:t>
            </w:r>
          </w:p>
        </w:tc>
        <w:tc>
          <w:tcPr>
            <w:tcW w:w="149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7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2-氯酚</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51" w:hRule="atLeast"/>
        </w:trPr>
        <w:tc>
          <w:tcPr>
            <w:tcW w:w="992"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41"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7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反-1,2-二氯乙烯</w:t>
            </w:r>
          </w:p>
        </w:tc>
        <w:tc>
          <w:tcPr>
            <w:tcW w:w="149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7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苯并[a]蒽</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0" w:hRule="atLeast"/>
        </w:trPr>
        <w:tc>
          <w:tcPr>
            <w:tcW w:w="992"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41"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67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二氯甲烷</w:t>
            </w:r>
          </w:p>
        </w:tc>
        <w:tc>
          <w:tcPr>
            <w:tcW w:w="149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7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苯并[a]芘</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41" w:hRule="atLeast"/>
        </w:trPr>
        <w:tc>
          <w:tcPr>
            <w:tcW w:w="992"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41"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67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1,2-二氯丙烷</w:t>
            </w:r>
          </w:p>
        </w:tc>
        <w:tc>
          <w:tcPr>
            <w:tcW w:w="149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7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苯并[b]荧蒽</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51" w:hRule="atLeast"/>
        </w:trPr>
        <w:tc>
          <w:tcPr>
            <w:tcW w:w="992"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41"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67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1,1,1,2-四氯乙烷</w:t>
            </w:r>
          </w:p>
        </w:tc>
        <w:tc>
          <w:tcPr>
            <w:tcW w:w="149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7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苯并[k]荧蒽</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51" w:hRule="atLeast"/>
        </w:trPr>
        <w:tc>
          <w:tcPr>
            <w:tcW w:w="992"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41"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67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1,1,2,2-四氯乙烷</w:t>
            </w:r>
          </w:p>
        </w:tc>
        <w:tc>
          <w:tcPr>
            <w:tcW w:w="149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7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䓛</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41" w:hRule="atLeast"/>
        </w:trPr>
        <w:tc>
          <w:tcPr>
            <w:tcW w:w="992"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41"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67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四氯乙烯</w:t>
            </w:r>
          </w:p>
        </w:tc>
        <w:tc>
          <w:tcPr>
            <w:tcW w:w="149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7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二苯并[a，h]蒽</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51" w:hRule="atLeast"/>
        </w:trPr>
        <w:tc>
          <w:tcPr>
            <w:tcW w:w="992"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41"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67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1,1,1-三氯乙烷</w:t>
            </w:r>
          </w:p>
        </w:tc>
        <w:tc>
          <w:tcPr>
            <w:tcW w:w="149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7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茚并[1,2,3-cd]芘</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41" w:hRule="atLeast"/>
        </w:trPr>
        <w:tc>
          <w:tcPr>
            <w:tcW w:w="992"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41"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67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1,1,2-三氯乙烷</w:t>
            </w:r>
          </w:p>
        </w:tc>
        <w:tc>
          <w:tcPr>
            <w:tcW w:w="149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7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萘</w:t>
            </w:r>
          </w:p>
        </w:tc>
        <w:tc>
          <w:tcPr>
            <w:tcW w:w="148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82" w:hRule="atLeast"/>
        </w:trPr>
        <w:tc>
          <w:tcPr>
            <w:tcW w:w="992"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41"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67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样品状态</w:t>
            </w:r>
          </w:p>
        </w:tc>
        <w:tc>
          <w:tcPr>
            <w:tcW w:w="4646" w:type="dxa"/>
            <w:gridSpan w:val="3"/>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固态、</w:t>
            </w:r>
            <w:r>
              <w:rPr>
                <w:rFonts w:hint="eastAsia" w:ascii="宋体" w:hAnsi="宋体" w:eastAsia="宋体" w:cs="宋体"/>
                <w:color w:val="auto"/>
                <w:kern w:val="0"/>
                <w:sz w:val="24"/>
                <w:highlight w:val="none"/>
                <w:lang w:val="en-US" w:eastAsia="zh-CN"/>
              </w:rPr>
              <w:t>红</w:t>
            </w:r>
            <w:r>
              <w:rPr>
                <w:rFonts w:hint="eastAsia" w:ascii="宋体" w:hAnsi="宋体" w:eastAsia="宋体" w:cs="宋体"/>
                <w:color w:val="auto"/>
                <w:kern w:val="0"/>
                <w:sz w:val="24"/>
                <w:highlight w:val="none"/>
              </w:rPr>
              <w:t>色、</w:t>
            </w:r>
            <w:r>
              <w:rPr>
                <w:rFonts w:hint="eastAsia" w:ascii="宋体" w:hAnsi="宋体" w:eastAsia="宋体" w:cs="宋体"/>
                <w:color w:val="auto"/>
                <w:kern w:val="0"/>
                <w:sz w:val="24"/>
                <w:highlight w:val="none"/>
                <w:lang w:val="en-US" w:eastAsia="zh-CN"/>
              </w:rPr>
              <w:t>壤土</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en-US" w:eastAsia="zh-CN"/>
              </w:rPr>
              <w:t>潮湿</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en-US" w:eastAsia="zh-CN"/>
              </w:rPr>
              <w:t>少量</w:t>
            </w:r>
            <w:r>
              <w:rPr>
                <w:rFonts w:hint="eastAsia" w:ascii="宋体" w:hAnsi="宋体" w:eastAsia="宋体" w:cs="宋体"/>
                <w:color w:val="auto"/>
                <w:kern w:val="0"/>
                <w:sz w:val="24"/>
                <w:highlight w:val="none"/>
              </w:rPr>
              <w:t>砂粒、</w:t>
            </w:r>
            <w:r>
              <w:rPr>
                <w:rFonts w:hint="eastAsia" w:ascii="宋体" w:hAnsi="宋体" w:eastAsia="宋体" w:cs="宋体"/>
                <w:color w:val="auto"/>
                <w:kern w:val="0"/>
                <w:sz w:val="24"/>
                <w:highlight w:val="none"/>
                <w:lang w:val="en-US" w:eastAsia="zh-CN"/>
              </w:rPr>
              <w:t>少量根系</w:t>
            </w:r>
          </w:p>
        </w:tc>
      </w:tr>
    </w:tbl>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 xml:space="preserve"> </w:t>
      </w:r>
    </w:p>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highlight w:val="none"/>
        </w:rPr>
      </w:pPr>
      <w:r>
        <w:rPr>
          <w:rFonts w:hint="eastAsia" w:ascii="宋体" w:hAnsi="宋体" w:eastAsia="宋体" w:cs="宋体"/>
          <w:b/>
          <w:color w:val="auto"/>
          <w:sz w:val="24"/>
          <w:highlight w:val="none"/>
        </w:rPr>
        <w:t xml:space="preserve"> 土壤检测结果统计表</w:t>
      </w:r>
    </w:p>
    <w:tbl>
      <w:tblPr>
        <w:tblStyle w:val="21"/>
        <w:tblW w:w="9378" w:type="dxa"/>
        <w:tblInd w:w="-256" w:type="dxa"/>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017"/>
        <w:gridCol w:w="1886"/>
        <w:gridCol w:w="1718"/>
        <w:gridCol w:w="1527"/>
        <w:gridCol w:w="1710"/>
        <w:gridCol w:w="1520"/>
      </w:tblGrid>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15" w:hRule="atLeast"/>
          <w:tblHeader/>
        </w:trPr>
        <w:tc>
          <w:tcPr>
            <w:tcW w:w="101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采样时间</w:t>
            </w:r>
          </w:p>
        </w:tc>
        <w:tc>
          <w:tcPr>
            <w:tcW w:w="1886"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检测地点</w:t>
            </w:r>
          </w:p>
        </w:tc>
        <w:tc>
          <w:tcPr>
            <w:tcW w:w="171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检测因子</w:t>
            </w:r>
          </w:p>
        </w:tc>
        <w:tc>
          <w:tcPr>
            <w:tcW w:w="152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检测结果</w:t>
            </w:r>
          </w:p>
        </w:tc>
        <w:tc>
          <w:tcPr>
            <w:tcW w:w="171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检测因子</w:t>
            </w:r>
          </w:p>
        </w:tc>
        <w:tc>
          <w:tcPr>
            <w:tcW w:w="152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检测结果</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36" w:hRule="atLeast"/>
        </w:trPr>
        <w:tc>
          <w:tcPr>
            <w:tcW w:w="1017" w:type="dxa"/>
            <w:vMerge w:val="restart"/>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rPr>
            </w:pPr>
            <w:r>
              <w:rPr>
                <w:rFonts w:hint="eastAsia" w:ascii="宋体" w:hAnsi="宋体" w:eastAsia="宋体" w:cs="宋体"/>
                <w:color w:val="auto"/>
                <w:kern w:val="0"/>
                <w:sz w:val="24"/>
                <w:highlight w:val="none"/>
              </w:rPr>
              <w:t>202</w:t>
            </w:r>
            <w:r>
              <w:rPr>
                <w:rFonts w:hint="eastAsia" w:ascii="宋体" w:hAnsi="宋体" w:eastAsia="宋体" w:cs="宋体"/>
                <w:color w:val="auto"/>
                <w:kern w:val="0"/>
                <w:sz w:val="24"/>
                <w:highlight w:val="none"/>
                <w:lang w:val="en-US" w:eastAsia="zh-CN"/>
              </w:rPr>
              <w:t>3</w:t>
            </w:r>
            <w:r>
              <w:rPr>
                <w:rFonts w:hint="eastAsia" w:ascii="宋体" w:hAnsi="宋体" w:eastAsia="宋体" w:cs="宋体"/>
                <w:color w:val="auto"/>
                <w:kern w:val="0"/>
                <w:sz w:val="24"/>
                <w:highlight w:val="none"/>
              </w:rPr>
              <w:t>.0</w:t>
            </w:r>
            <w:r>
              <w:rPr>
                <w:rFonts w:hint="eastAsia" w:ascii="宋体" w:hAnsi="宋体" w:eastAsia="宋体" w:cs="宋体"/>
                <w:color w:val="auto"/>
                <w:kern w:val="0"/>
                <w:sz w:val="24"/>
                <w:highlight w:val="none"/>
                <w:lang w:val="en-US" w:eastAsia="zh-CN"/>
              </w:rPr>
              <w:t>6.08</w:t>
            </w:r>
          </w:p>
        </w:tc>
        <w:tc>
          <w:tcPr>
            <w:tcW w:w="1886" w:type="dxa"/>
            <w:vMerge w:val="restart"/>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lang w:val="en-US" w:eastAsia="zh-CN"/>
              </w:rPr>
              <w:t>锅炉房缓冲池、冰醋酸储罐</w:t>
            </w:r>
          </w:p>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（N</w:t>
            </w:r>
            <w:r>
              <w:rPr>
                <w:rFonts w:hint="eastAsia" w:ascii="宋体" w:hAnsi="宋体" w:eastAsia="宋体" w:cs="宋体"/>
                <w:color w:val="auto"/>
                <w:kern w:val="0"/>
                <w:sz w:val="24"/>
                <w:highlight w:val="none"/>
                <w:lang w:eastAsia="zh-CN"/>
              </w:rPr>
              <w:t>：</w:t>
            </w:r>
            <w:r>
              <w:rPr>
                <w:rFonts w:hint="eastAsia" w:ascii="宋体" w:hAnsi="宋体" w:eastAsia="宋体" w:cs="宋体"/>
                <w:color w:val="auto"/>
                <w:kern w:val="0"/>
                <w:sz w:val="24"/>
                <w:highlight w:val="none"/>
              </w:rPr>
              <w:t>3</w:t>
            </w:r>
            <w:r>
              <w:rPr>
                <w:rFonts w:hint="eastAsia" w:ascii="宋体" w:hAnsi="宋体" w:eastAsia="宋体" w:cs="宋体"/>
                <w:color w:val="auto"/>
                <w:kern w:val="0"/>
                <w:sz w:val="24"/>
                <w:highlight w:val="none"/>
                <w:lang w:val="en-US" w:eastAsia="zh-CN"/>
              </w:rPr>
              <w:t>4</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en-US" w:eastAsia="zh-CN"/>
              </w:rPr>
              <w:t>40</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en-US" w:eastAsia="zh-CN"/>
              </w:rPr>
              <w:t>27.003</w:t>
            </w:r>
            <w:r>
              <w:rPr>
                <w:rFonts w:hint="eastAsia" w:ascii="宋体" w:hAnsi="宋体" w:eastAsia="宋体" w:cs="宋体"/>
                <w:color w:val="auto"/>
                <w:kern w:val="0"/>
                <w:sz w:val="24"/>
                <w:highlight w:val="none"/>
              </w:rPr>
              <w:t>''  E</w:t>
            </w:r>
            <w:r>
              <w:rPr>
                <w:rFonts w:hint="eastAsia" w:ascii="宋体" w:hAnsi="宋体" w:eastAsia="宋体" w:cs="宋体"/>
                <w:color w:val="auto"/>
                <w:kern w:val="0"/>
                <w:sz w:val="24"/>
                <w:highlight w:val="none"/>
                <w:lang w:eastAsia="zh-CN"/>
              </w:rPr>
              <w:t>：</w:t>
            </w:r>
            <w:r>
              <w:rPr>
                <w:rFonts w:hint="eastAsia" w:ascii="宋体" w:hAnsi="宋体" w:eastAsia="宋体" w:cs="宋体"/>
                <w:color w:val="auto"/>
                <w:kern w:val="0"/>
                <w:sz w:val="24"/>
                <w:highlight w:val="none"/>
              </w:rPr>
              <w:t>11</w:t>
            </w:r>
            <w:r>
              <w:rPr>
                <w:rFonts w:hint="eastAsia" w:ascii="宋体" w:hAnsi="宋体" w:eastAsia="宋体" w:cs="宋体"/>
                <w:color w:val="auto"/>
                <w:kern w:val="0"/>
                <w:sz w:val="24"/>
                <w:highlight w:val="none"/>
                <w:lang w:val="en-US" w:eastAsia="zh-CN"/>
              </w:rPr>
              <w:t>1</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en-US" w:eastAsia="zh-CN"/>
              </w:rPr>
              <w:t>35</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en-US" w:eastAsia="zh-CN"/>
              </w:rPr>
              <w:t>23.697</w:t>
            </w:r>
            <w:r>
              <w:rPr>
                <w:rFonts w:hint="eastAsia" w:ascii="宋体" w:hAnsi="宋体" w:eastAsia="宋体" w:cs="宋体"/>
                <w:color w:val="auto"/>
                <w:kern w:val="0"/>
                <w:sz w:val="24"/>
                <w:highlight w:val="none"/>
              </w:rPr>
              <w:t>''）</w:t>
            </w:r>
          </w:p>
        </w:tc>
        <w:tc>
          <w:tcPr>
            <w:tcW w:w="171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pH值</w:t>
            </w:r>
          </w:p>
        </w:tc>
        <w:tc>
          <w:tcPr>
            <w:tcW w:w="152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lang w:val="en-US" w:eastAsia="zh-CN"/>
              </w:rPr>
              <w:t>7.82</w:t>
            </w:r>
          </w:p>
        </w:tc>
        <w:tc>
          <w:tcPr>
            <w:tcW w:w="171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三氯乙烯</w:t>
            </w:r>
          </w:p>
        </w:tc>
        <w:tc>
          <w:tcPr>
            <w:tcW w:w="152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36" w:hRule="atLeast"/>
        </w:trPr>
        <w:tc>
          <w:tcPr>
            <w:tcW w:w="1017"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86"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71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砷</w:t>
            </w:r>
          </w:p>
        </w:tc>
        <w:tc>
          <w:tcPr>
            <w:tcW w:w="152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en-US" w:eastAsia="zh-CN"/>
              </w:rPr>
              <w:t>12.6</w:t>
            </w:r>
            <w:r>
              <w:rPr>
                <w:rFonts w:hint="eastAsia" w:ascii="宋体" w:hAnsi="宋体" w:eastAsia="宋体" w:cs="宋体"/>
                <w:color w:val="auto"/>
                <w:kern w:val="0"/>
                <w:sz w:val="24"/>
                <w:highlight w:val="none"/>
              </w:rPr>
              <w:t>mg/kg</w:t>
            </w:r>
          </w:p>
        </w:tc>
        <w:tc>
          <w:tcPr>
            <w:tcW w:w="171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1,2,3-三氯丙烷</w:t>
            </w:r>
          </w:p>
        </w:tc>
        <w:tc>
          <w:tcPr>
            <w:tcW w:w="152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36" w:hRule="atLeast"/>
        </w:trPr>
        <w:tc>
          <w:tcPr>
            <w:tcW w:w="1017"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86"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71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镉</w:t>
            </w:r>
          </w:p>
        </w:tc>
        <w:tc>
          <w:tcPr>
            <w:tcW w:w="152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en-US" w:eastAsia="zh-CN"/>
              </w:rPr>
              <w:t>0.74</w:t>
            </w:r>
            <w:r>
              <w:rPr>
                <w:rFonts w:hint="eastAsia" w:ascii="宋体" w:hAnsi="宋体" w:eastAsia="宋体" w:cs="宋体"/>
                <w:color w:val="auto"/>
                <w:kern w:val="0"/>
                <w:sz w:val="24"/>
                <w:highlight w:val="none"/>
              </w:rPr>
              <w:t>mg/kg</w:t>
            </w:r>
          </w:p>
        </w:tc>
        <w:tc>
          <w:tcPr>
            <w:tcW w:w="171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氯乙烯</w:t>
            </w:r>
          </w:p>
        </w:tc>
        <w:tc>
          <w:tcPr>
            <w:tcW w:w="152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36" w:hRule="atLeast"/>
        </w:trPr>
        <w:tc>
          <w:tcPr>
            <w:tcW w:w="1017"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86"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71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铬（六价）</w:t>
            </w:r>
          </w:p>
        </w:tc>
        <w:tc>
          <w:tcPr>
            <w:tcW w:w="152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71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w:t>
            </w:r>
          </w:p>
        </w:tc>
        <w:tc>
          <w:tcPr>
            <w:tcW w:w="152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36" w:hRule="atLeast"/>
        </w:trPr>
        <w:tc>
          <w:tcPr>
            <w:tcW w:w="1017"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86"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71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铜</w:t>
            </w:r>
          </w:p>
        </w:tc>
        <w:tc>
          <w:tcPr>
            <w:tcW w:w="152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en-US" w:eastAsia="zh-CN"/>
              </w:rPr>
              <w:t>47</w:t>
            </w:r>
            <w:r>
              <w:rPr>
                <w:rFonts w:hint="eastAsia" w:ascii="宋体" w:hAnsi="宋体" w:eastAsia="宋体" w:cs="宋体"/>
                <w:color w:val="auto"/>
                <w:kern w:val="0"/>
                <w:sz w:val="24"/>
                <w:highlight w:val="none"/>
              </w:rPr>
              <w:t>mg/kg</w:t>
            </w:r>
          </w:p>
        </w:tc>
        <w:tc>
          <w:tcPr>
            <w:tcW w:w="171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氯苯</w:t>
            </w:r>
          </w:p>
        </w:tc>
        <w:tc>
          <w:tcPr>
            <w:tcW w:w="152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36" w:hRule="atLeast"/>
        </w:trPr>
        <w:tc>
          <w:tcPr>
            <w:tcW w:w="1017"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86"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71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铅</w:t>
            </w:r>
          </w:p>
        </w:tc>
        <w:tc>
          <w:tcPr>
            <w:tcW w:w="152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en-US" w:eastAsia="zh-CN"/>
              </w:rPr>
              <w:t>40</w:t>
            </w:r>
            <w:r>
              <w:rPr>
                <w:rFonts w:hint="eastAsia" w:ascii="宋体" w:hAnsi="宋体" w:eastAsia="宋体" w:cs="宋体"/>
                <w:color w:val="auto"/>
                <w:kern w:val="0"/>
                <w:sz w:val="24"/>
                <w:highlight w:val="none"/>
              </w:rPr>
              <w:t>mg/kg</w:t>
            </w:r>
          </w:p>
        </w:tc>
        <w:tc>
          <w:tcPr>
            <w:tcW w:w="171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1,2-二氯苯</w:t>
            </w:r>
          </w:p>
        </w:tc>
        <w:tc>
          <w:tcPr>
            <w:tcW w:w="152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36" w:hRule="atLeast"/>
        </w:trPr>
        <w:tc>
          <w:tcPr>
            <w:tcW w:w="1017"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86"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71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汞</w:t>
            </w:r>
          </w:p>
        </w:tc>
        <w:tc>
          <w:tcPr>
            <w:tcW w:w="152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0</w:t>
            </w:r>
            <w:r>
              <w:rPr>
                <w:rFonts w:hint="eastAsia" w:ascii="宋体" w:hAnsi="宋体" w:eastAsia="宋体" w:cs="宋体"/>
                <w:color w:val="auto"/>
                <w:kern w:val="0"/>
                <w:sz w:val="24"/>
                <w:highlight w:val="none"/>
                <w:lang w:val="en-US" w:eastAsia="zh-CN"/>
              </w:rPr>
              <w:t>.365</w:t>
            </w:r>
            <w:r>
              <w:rPr>
                <w:rFonts w:hint="eastAsia" w:ascii="宋体" w:hAnsi="宋体" w:eastAsia="宋体" w:cs="宋体"/>
                <w:color w:val="auto"/>
                <w:kern w:val="0"/>
                <w:sz w:val="24"/>
                <w:highlight w:val="none"/>
              </w:rPr>
              <w:t>mg/kg</w:t>
            </w:r>
          </w:p>
        </w:tc>
        <w:tc>
          <w:tcPr>
            <w:tcW w:w="171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1,4-二氯苯</w:t>
            </w:r>
          </w:p>
        </w:tc>
        <w:tc>
          <w:tcPr>
            <w:tcW w:w="152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36" w:hRule="atLeast"/>
        </w:trPr>
        <w:tc>
          <w:tcPr>
            <w:tcW w:w="1017"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86"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71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镍</w:t>
            </w:r>
          </w:p>
        </w:tc>
        <w:tc>
          <w:tcPr>
            <w:tcW w:w="152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en-US" w:eastAsia="zh-CN"/>
              </w:rPr>
              <w:t>68</w:t>
            </w:r>
            <w:r>
              <w:rPr>
                <w:rFonts w:hint="eastAsia" w:ascii="宋体" w:hAnsi="宋体" w:eastAsia="宋体" w:cs="宋体"/>
                <w:color w:val="auto"/>
                <w:kern w:val="0"/>
                <w:sz w:val="24"/>
                <w:highlight w:val="none"/>
              </w:rPr>
              <w:t>mg/kg</w:t>
            </w:r>
          </w:p>
        </w:tc>
        <w:tc>
          <w:tcPr>
            <w:tcW w:w="171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乙苯</w:t>
            </w:r>
          </w:p>
        </w:tc>
        <w:tc>
          <w:tcPr>
            <w:tcW w:w="152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36" w:hRule="atLeast"/>
        </w:trPr>
        <w:tc>
          <w:tcPr>
            <w:tcW w:w="1017"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86"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71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四氯化碳</w:t>
            </w:r>
          </w:p>
        </w:tc>
        <w:tc>
          <w:tcPr>
            <w:tcW w:w="152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71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苯乙烯</w:t>
            </w:r>
          </w:p>
        </w:tc>
        <w:tc>
          <w:tcPr>
            <w:tcW w:w="152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36" w:hRule="atLeast"/>
        </w:trPr>
        <w:tc>
          <w:tcPr>
            <w:tcW w:w="1017"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86"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71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氯仿</w:t>
            </w:r>
          </w:p>
        </w:tc>
        <w:tc>
          <w:tcPr>
            <w:tcW w:w="152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未检出</w:t>
            </w:r>
          </w:p>
        </w:tc>
        <w:tc>
          <w:tcPr>
            <w:tcW w:w="171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甲苯</w:t>
            </w:r>
          </w:p>
        </w:tc>
        <w:tc>
          <w:tcPr>
            <w:tcW w:w="152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36" w:hRule="atLeast"/>
        </w:trPr>
        <w:tc>
          <w:tcPr>
            <w:tcW w:w="1017"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86"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71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氯甲烷</w:t>
            </w:r>
          </w:p>
        </w:tc>
        <w:tc>
          <w:tcPr>
            <w:tcW w:w="152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71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间,对-二甲苯</w:t>
            </w:r>
          </w:p>
        </w:tc>
        <w:tc>
          <w:tcPr>
            <w:tcW w:w="152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36" w:hRule="atLeast"/>
        </w:trPr>
        <w:tc>
          <w:tcPr>
            <w:tcW w:w="1017"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86"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71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1,1-二氯乙烷</w:t>
            </w:r>
          </w:p>
        </w:tc>
        <w:tc>
          <w:tcPr>
            <w:tcW w:w="152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未检出</w:t>
            </w:r>
          </w:p>
        </w:tc>
        <w:tc>
          <w:tcPr>
            <w:tcW w:w="171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邻-二甲苯</w:t>
            </w:r>
          </w:p>
        </w:tc>
        <w:tc>
          <w:tcPr>
            <w:tcW w:w="152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36" w:hRule="atLeast"/>
        </w:trPr>
        <w:tc>
          <w:tcPr>
            <w:tcW w:w="1017"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86"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71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1,2-二氯乙烷</w:t>
            </w:r>
          </w:p>
        </w:tc>
        <w:tc>
          <w:tcPr>
            <w:tcW w:w="152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未检出</w:t>
            </w:r>
          </w:p>
        </w:tc>
        <w:tc>
          <w:tcPr>
            <w:tcW w:w="171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硝基苯</w:t>
            </w:r>
          </w:p>
        </w:tc>
        <w:tc>
          <w:tcPr>
            <w:tcW w:w="152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36" w:hRule="atLeast"/>
        </w:trPr>
        <w:tc>
          <w:tcPr>
            <w:tcW w:w="1017"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86"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71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1,1-二氯乙烯</w:t>
            </w:r>
          </w:p>
        </w:tc>
        <w:tc>
          <w:tcPr>
            <w:tcW w:w="152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71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苯胺</w:t>
            </w:r>
          </w:p>
        </w:tc>
        <w:tc>
          <w:tcPr>
            <w:tcW w:w="152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82" w:hRule="atLeast"/>
        </w:trPr>
        <w:tc>
          <w:tcPr>
            <w:tcW w:w="1017"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86"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71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顺-1,2-二氯乙烯</w:t>
            </w:r>
          </w:p>
        </w:tc>
        <w:tc>
          <w:tcPr>
            <w:tcW w:w="152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71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2-氯酚</w:t>
            </w:r>
          </w:p>
        </w:tc>
        <w:tc>
          <w:tcPr>
            <w:tcW w:w="152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82" w:hRule="atLeast"/>
        </w:trPr>
        <w:tc>
          <w:tcPr>
            <w:tcW w:w="1017"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86"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71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反-1,2-二氯乙烯</w:t>
            </w:r>
          </w:p>
        </w:tc>
        <w:tc>
          <w:tcPr>
            <w:tcW w:w="152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71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苯并[a]蒽</w:t>
            </w:r>
          </w:p>
        </w:tc>
        <w:tc>
          <w:tcPr>
            <w:tcW w:w="152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36" w:hRule="atLeast"/>
        </w:trPr>
        <w:tc>
          <w:tcPr>
            <w:tcW w:w="1017"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86"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71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二氯甲烷</w:t>
            </w:r>
          </w:p>
        </w:tc>
        <w:tc>
          <w:tcPr>
            <w:tcW w:w="152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71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苯并[a]芘</w:t>
            </w:r>
          </w:p>
        </w:tc>
        <w:tc>
          <w:tcPr>
            <w:tcW w:w="152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36" w:hRule="atLeast"/>
        </w:trPr>
        <w:tc>
          <w:tcPr>
            <w:tcW w:w="1017"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86"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71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1,2-二氯丙烷</w:t>
            </w:r>
          </w:p>
        </w:tc>
        <w:tc>
          <w:tcPr>
            <w:tcW w:w="152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71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苯并[b]荧蒽</w:t>
            </w:r>
          </w:p>
        </w:tc>
        <w:tc>
          <w:tcPr>
            <w:tcW w:w="152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82" w:hRule="atLeast"/>
        </w:trPr>
        <w:tc>
          <w:tcPr>
            <w:tcW w:w="1017"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86"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71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1,1,1,2-四氯乙烷</w:t>
            </w:r>
          </w:p>
        </w:tc>
        <w:tc>
          <w:tcPr>
            <w:tcW w:w="152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71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苯并[k]荧蒽</w:t>
            </w:r>
          </w:p>
        </w:tc>
        <w:tc>
          <w:tcPr>
            <w:tcW w:w="152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82" w:hRule="atLeast"/>
        </w:trPr>
        <w:tc>
          <w:tcPr>
            <w:tcW w:w="1017"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86"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71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1,1,2,2-四氯乙烷</w:t>
            </w:r>
          </w:p>
        </w:tc>
        <w:tc>
          <w:tcPr>
            <w:tcW w:w="152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71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䓛</w:t>
            </w:r>
          </w:p>
        </w:tc>
        <w:tc>
          <w:tcPr>
            <w:tcW w:w="152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4" w:hRule="atLeast"/>
        </w:trPr>
        <w:tc>
          <w:tcPr>
            <w:tcW w:w="1017"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86"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71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四氯乙烯</w:t>
            </w:r>
          </w:p>
        </w:tc>
        <w:tc>
          <w:tcPr>
            <w:tcW w:w="152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71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二苯并[a，h]蒽</w:t>
            </w:r>
          </w:p>
        </w:tc>
        <w:tc>
          <w:tcPr>
            <w:tcW w:w="152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82" w:hRule="atLeast"/>
        </w:trPr>
        <w:tc>
          <w:tcPr>
            <w:tcW w:w="1017"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86"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71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1,1,1-三氯乙烷</w:t>
            </w:r>
          </w:p>
        </w:tc>
        <w:tc>
          <w:tcPr>
            <w:tcW w:w="152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71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茚并[1,2,3-cd]芘</w:t>
            </w:r>
          </w:p>
        </w:tc>
        <w:tc>
          <w:tcPr>
            <w:tcW w:w="152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36" w:hRule="atLeast"/>
        </w:trPr>
        <w:tc>
          <w:tcPr>
            <w:tcW w:w="1017"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86"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71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1,1,2-三氯乙烷</w:t>
            </w:r>
          </w:p>
        </w:tc>
        <w:tc>
          <w:tcPr>
            <w:tcW w:w="152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71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萘</w:t>
            </w:r>
          </w:p>
        </w:tc>
        <w:tc>
          <w:tcPr>
            <w:tcW w:w="152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15" w:hRule="atLeast"/>
        </w:trPr>
        <w:tc>
          <w:tcPr>
            <w:tcW w:w="1017"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86"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71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样品状态</w:t>
            </w:r>
          </w:p>
        </w:tc>
        <w:tc>
          <w:tcPr>
            <w:tcW w:w="4757" w:type="dxa"/>
            <w:gridSpan w:val="3"/>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固态、</w:t>
            </w:r>
            <w:r>
              <w:rPr>
                <w:rFonts w:hint="eastAsia" w:ascii="宋体" w:hAnsi="宋体" w:eastAsia="宋体" w:cs="宋体"/>
                <w:color w:val="auto"/>
                <w:kern w:val="0"/>
                <w:sz w:val="24"/>
                <w:highlight w:val="none"/>
                <w:lang w:val="en-US" w:eastAsia="zh-CN"/>
              </w:rPr>
              <w:t>红</w:t>
            </w:r>
            <w:r>
              <w:rPr>
                <w:rFonts w:hint="eastAsia" w:ascii="宋体" w:hAnsi="宋体" w:eastAsia="宋体" w:cs="宋体"/>
                <w:color w:val="auto"/>
                <w:kern w:val="0"/>
                <w:sz w:val="24"/>
                <w:highlight w:val="none"/>
              </w:rPr>
              <w:t>色、</w:t>
            </w:r>
            <w:r>
              <w:rPr>
                <w:rFonts w:hint="eastAsia" w:ascii="宋体" w:hAnsi="宋体" w:eastAsia="宋体" w:cs="宋体"/>
                <w:color w:val="auto"/>
                <w:kern w:val="0"/>
                <w:sz w:val="24"/>
                <w:highlight w:val="none"/>
                <w:lang w:val="en-US" w:eastAsia="zh-CN"/>
              </w:rPr>
              <w:t>壤土</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en-US" w:eastAsia="zh-CN"/>
              </w:rPr>
              <w:t>潮湿</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en-US" w:eastAsia="zh-CN"/>
              </w:rPr>
              <w:t>少量</w:t>
            </w:r>
            <w:r>
              <w:rPr>
                <w:rFonts w:hint="eastAsia" w:ascii="宋体" w:hAnsi="宋体" w:eastAsia="宋体" w:cs="宋体"/>
                <w:color w:val="auto"/>
                <w:kern w:val="0"/>
                <w:sz w:val="24"/>
                <w:highlight w:val="none"/>
              </w:rPr>
              <w:t>砂粒、</w:t>
            </w:r>
            <w:r>
              <w:rPr>
                <w:rFonts w:hint="eastAsia" w:ascii="宋体" w:hAnsi="宋体" w:eastAsia="宋体" w:cs="宋体"/>
                <w:color w:val="auto"/>
                <w:kern w:val="0"/>
                <w:sz w:val="24"/>
                <w:highlight w:val="none"/>
                <w:lang w:val="en-US" w:eastAsia="zh-CN"/>
              </w:rPr>
              <w:t>少量根系</w:t>
            </w:r>
          </w:p>
        </w:tc>
      </w:tr>
    </w:tbl>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 xml:space="preserve"> </w:t>
      </w:r>
    </w:p>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highlight w:val="none"/>
        </w:rPr>
      </w:pPr>
      <w:r>
        <w:rPr>
          <w:rFonts w:hint="eastAsia" w:ascii="宋体" w:hAnsi="宋体" w:eastAsia="宋体" w:cs="宋体"/>
          <w:b/>
          <w:color w:val="auto"/>
          <w:sz w:val="24"/>
          <w:highlight w:val="none"/>
        </w:rPr>
        <w:t>土壤检测结果统计表</w:t>
      </w:r>
    </w:p>
    <w:tbl>
      <w:tblPr>
        <w:tblStyle w:val="21"/>
        <w:tblW w:w="9178" w:type="dxa"/>
        <w:tblInd w:w="-256" w:type="dxa"/>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995"/>
        <w:gridCol w:w="1847"/>
        <w:gridCol w:w="1681"/>
        <w:gridCol w:w="1494"/>
        <w:gridCol w:w="1672"/>
        <w:gridCol w:w="1489"/>
      </w:tblGrid>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54" w:hRule="atLeast"/>
          <w:tblHeader/>
        </w:trPr>
        <w:tc>
          <w:tcPr>
            <w:tcW w:w="99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采样时间</w:t>
            </w:r>
          </w:p>
        </w:tc>
        <w:tc>
          <w:tcPr>
            <w:tcW w:w="1847"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检测地点</w:t>
            </w:r>
          </w:p>
        </w:tc>
        <w:tc>
          <w:tcPr>
            <w:tcW w:w="168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检测因子</w:t>
            </w:r>
          </w:p>
        </w:tc>
        <w:tc>
          <w:tcPr>
            <w:tcW w:w="1494"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检测结果</w:t>
            </w:r>
          </w:p>
        </w:tc>
        <w:tc>
          <w:tcPr>
            <w:tcW w:w="167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检测因子</w:t>
            </w:r>
          </w:p>
        </w:tc>
        <w:tc>
          <w:tcPr>
            <w:tcW w:w="148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检测结果</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6" w:hRule="atLeast"/>
        </w:trPr>
        <w:tc>
          <w:tcPr>
            <w:tcW w:w="995" w:type="dxa"/>
            <w:vMerge w:val="restart"/>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rPr>
            </w:pPr>
            <w:r>
              <w:rPr>
                <w:rFonts w:hint="eastAsia" w:ascii="宋体" w:hAnsi="宋体" w:eastAsia="宋体" w:cs="宋体"/>
                <w:color w:val="auto"/>
                <w:kern w:val="0"/>
                <w:sz w:val="24"/>
                <w:highlight w:val="none"/>
              </w:rPr>
              <w:t>202</w:t>
            </w:r>
            <w:r>
              <w:rPr>
                <w:rFonts w:hint="eastAsia" w:ascii="宋体" w:hAnsi="宋体" w:eastAsia="宋体" w:cs="宋体"/>
                <w:color w:val="auto"/>
                <w:kern w:val="0"/>
                <w:sz w:val="24"/>
                <w:highlight w:val="none"/>
                <w:lang w:val="en-US" w:eastAsia="zh-CN"/>
              </w:rPr>
              <w:t>3</w:t>
            </w:r>
            <w:r>
              <w:rPr>
                <w:rFonts w:hint="eastAsia" w:ascii="宋体" w:hAnsi="宋体" w:eastAsia="宋体" w:cs="宋体"/>
                <w:color w:val="auto"/>
                <w:kern w:val="0"/>
                <w:sz w:val="24"/>
                <w:highlight w:val="none"/>
              </w:rPr>
              <w:t>.0</w:t>
            </w:r>
            <w:r>
              <w:rPr>
                <w:rFonts w:hint="eastAsia" w:ascii="宋体" w:hAnsi="宋体" w:eastAsia="宋体" w:cs="宋体"/>
                <w:color w:val="auto"/>
                <w:kern w:val="0"/>
                <w:sz w:val="24"/>
                <w:highlight w:val="none"/>
                <w:lang w:val="en-US" w:eastAsia="zh-CN"/>
              </w:rPr>
              <w:t>6.08</w:t>
            </w:r>
          </w:p>
        </w:tc>
        <w:tc>
          <w:tcPr>
            <w:tcW w:w="1847" w:type="dxa"/>
            <w:vMerge w:val="restart"/>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lang w:val="en-US" w:eastAsia="zh-CN"/>
              </w:rPr>
              <w:t>酸碱储罐区、尼文酸应急池、4#仓库（甲苯、氯苯）</w:t>
            </w:r>
          </w:p>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（N</w:t>
            </w:r>
            <w:r>
              <w:rPr>
                <w:rFonts w:hint="eastAsia" w:ascii="宋体" w:hAnsi="宋体" w:eastAsia="宋体" w:cs="宋体"/>
                <w:color w:val="auto"/>
                <w:kern w:val="0"/>
                <w:sz w:val="24"/>
                <w:highlight w:val="none"/>
                <w:lang w:eastAsia="zh-CN"/>
              </w:rPr>
              <w:t>：</w:t>
            </w:r>
            <w:r>
              <w:rPr>
                <w:rFonts w:hint="eastAsia" w:ascii="宋体" w:hAnsi="宋体" w:eastAsia="宋体" w:cs="宋体"/>
                <w:color w:val="auto"/>
                <w:kern w:val="0"/>
                <w:sz w:val="24"/>
                <w:highlight w:val="none"/>
              </w:rPr>
              <w:t>3</w:t>
            </w:r>
            <w:r>
              <w:rPr>
                <w:rFonts w:hint="eastAsia" w:ascii="宋体" w:hAnsi="宋体" w:eastAsia="宋体" w:cs="宋体"/>
                <w:color w:val="auto"/>
                <w:kern w:val="0"/>
                <w:sz w:val="24"/>
                <w:highlight w:val="none"/>
                <w:lang w:val="en-US" w:eastAsia="zh-CN"/>
              </w:rPr>
              <w:t>4</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en-US" w:eastAsia="zh-CN"/>
              </w:rPr>
              <w:t>40</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en-US" w:eastAsia="zh-CN"/>
              </w:rPr>
              <w:t>27.050</w:t>
            </w:r>
            <w:r>
              <w:rPr>
                <w:rFonts w:hint="eastAsia" w:ascii="宋体" w:hAnsi="宋体" w:eastAsia="宋体" w:cs="宋体"/>
                <w:color w:val="auto"/>
                <w:kern w:val="0"/>
                <w:sz w:val="24"/>
                <w:highlight w:val="none"/>
              </w:rPr>
              <w:t>''  E</w:t>
            </w:r>
            <w:r>
              <w:rPr>
                <w:rFonts w:hint="eastAsia" w:ascii="宋体" w:hAnsi="宋体" w:eastAsia="宋体" w:cs="宋体"/>
                <w:color w:val="auto"/>
                <w:kern w:val="0"/>
                <w:sz w:val="24"/>
                <w:highlight w:val="none"/>
                <w:lang w:eastAsia="zh-CN"/>
              </w:rPr>
              <w:t>：</w:t>
            </w:r>
            <w:r>
              <w:rPr>
                <w:rFonts w:hint="eastAsia" w:ascii="宋体" w:hAnsi="宋体" w:eastAsia="宋体" w:cs="宋体"/>
                <w:color w:val="auto"/>
                <w:kern w:val="0"/>
                <w:sz w:val="24"/>
                <w:highlight w:val="none"/>
              </w:rPr>
              <w:t>11</w:t>
            </w:r>
            <w:r>
              <w:rPr>
                <w:rFonts w:hint="eastAsia" w:ascii="宋体" w:hAnsi="宋体" w:eastAsia="宋体" w:cs="宋体"/>
                <w:color w:val="auto"/>
                <w:kern w:val="0"/>
                <w:sz w:val="24"/>
                <w:highlight w:val="none"/>
                <w:lang w:val="en-US" w:eastAsia="zh-CN"/>
              </w:rPr>
              <w:t>1</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en-US" w:eastAsia="zh-CN"/>
              </w:rPr>
              <w:t>35</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en-US" w:eastAsia="zh-CN"/>
              </w:rPr>
              <w:t>21.939</w:t>
            </w:r>
            <w:r>
              <w:rPr>
                <w:rFonts w:hint="eastAsia" w:ascii="宋体" w:hAnsi="宋体" w:eastAsia="宋体" w:cs="宋体"/>
                <w:color w:val="auto"/>
                <w:kern w:val="0"/>
                <w:sz w:val="24"/>
                <w:highlight w:val="none"/>
              </w:rPr>
              <w:t>''）</w:t>
            </w:r>
          </w:p>
        </w:tc>
        <w:tc>
          <w:tcPr>
            <w:tcW w:w="168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pH值</w:t>
            </w:r>
          </w:p>
        </w:tc>
        <w:tc>
          <w:tcPr>
            <w:tcW w:w="1494"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lang w:val="en-US" w:eastAsia="zh-CN"/>
              </w:rPr>
              <w:t>8.31</w:t>
            </w:r>
          </w:p>
        </w:tc>
        <w:tc>
          <w:tcPr>
            <w:tcW w:w="167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三氯乙烯</w:t>
            </w:r>
          </w:p>
        </w:tc>
        <w:tc>
          <w:tcPr>
            <w:tcW w:w="148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10" w:hRule="atLeast"/>
        </w:trPr>
        <w:tc>
          <w:tcPr>
            <w:tcW w:w="995"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47"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8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砷</w:t>
            </w:r>
          </w:p>
        </w:tc>
        <w:tc>
          <w:tcPr>
            <w:tcW w:w="1494"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en-US" w:eastAsia="zh-CN"/>
              </w:rPr>
              <w:t>13.6</w:t>
            </w:r>
            <w:r>
              <w:rPr>
                <w:rFonts w:hint="eastAsia" w:ascii="宋体" w:hAnsi="宋体" w:eastAsia="宋体" w:cs="宋体"/>
                <w:color w:val="auto"/>
                <w:kern w:val="0"/>
                <w:sz w:val="24"/>
                <w:highlight w:val="none"/>
              </w:rPr>
              <w:t>mg/kg</w:t>
            </w:r>
          </w:p>
        </w:tc>
        <w:tc>
          <w:tcPr>
            <w:tcW w:w="167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1,2,3-三氯丙烷</w:t>
            </w:r>
          </w:p>
        </w:tc>
        <w:tc>
          <w:tcPr>
            <w:tcW w:w="148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6" w:hRule="atLeast"/>
        </w:trPr>
        <w:tc>
          <w:tcPr>
            <w:tcW w:w="995"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47"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8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镉</w:t>
            </w:r>
          </w:p>
        </w:tc>
        <w:tc>
          <w:tcPr>
            <w:tcW w:w="1494"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en-US" w:eastAsia="zh-CN"/>
              </w:rPr>
              <w:t>0.93</w:t>
            </w:r>
            <w:r>
              <w:rPr>
                <w:rFonts w:hint="eastAsia" w:ascii="宋体" w:hAnsi="宋体" w:eastAsia="宋体" w:cs="宋体"/>
                <w:color w:val="auto"/>
                <w:kern w:val="0"/>
                <w:sz w:val="24"/>
                <w:highlight w:val="none"/>
              </w:rPr>
              <w:t>mg/kg</w:t>
            </w:r>
          </w:p>
        </w:tc>
        <w:tc>
          <w:tcPr>
            <w:tcW w:w="167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氯乙烯</w:t>
            </w:r>
          </w:p>
        </w:tc>
        <w:tc>
          <w:tcPr>
            <w:tcW w:w="148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6" w:hRule="atLeast"/>
        </w:trPr>
        <w:tc>
          <w:tcPr>
            <w:tcW w:w="995"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47"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8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铬（六价）</w:t>
            </w:r>
          </w:p>
        </w:tc>
        <w:tc>
          <w:tcPr>
            <w:tcW w:w="1494"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7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w:t>
            </w:r>
          </w:p>
        </w:tc>
        <w:tc>
          <w:tcPr>
            <w:tcW w:w="148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6" w:hRule="atLeast"/>
        </w:trPr>
        <w:tc>
          <w:tcPr>
            <w:tcW w:w="995"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47"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8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铜</w:t>
            </w:r>
          </w:p>
        </w:tc>
        <w:tc>
          <w:tcPr>
            <w:tcW w:w="1494"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en-US" w:eastAsia="zh-CN"/>
              </w:rPr>
              <w:t>49</w:t>
            </w:r>
            <w:r>
              <w:rPr>
                <w:rFonts w:hint="eastAsia" w:ascii="宋体" w:hAnsi="宋体" w:eastAsia="宋体" w:cs="宋体"/>
                <w:color w:val="auto"/>
                <w:kern w:val="0"/>
                <w:sz w:val="24"/>
                <w:highlight w:val="none"/>
              </w:rPr>
              <w:t>mg/kg</w:t>
            </w:r>
          </w:p>
        </w:tc>
        <w:tc>
          <w:tcPr>
            <w:tcW w:w="167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氯苯</w:t>
            </w:r>
          </w:p>
        </w:tc>
        <w:tc>
          <w:tcPr>
            <w:tcW w:w="148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6" w:hRule="atLeast"/>
        </w:trPr>
        <w:tc>
          <w:tcPr>
            <w:tcW w:w="995"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47"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8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铅</w:t>
            </w:r>
          </w:p>
        </w:tc>
        <w:tc>
          <w:tcPr>
            <w:tcW w:w="1494"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en-US" w:eastAsia="zh-CN"/>
              </w:rPr>
              <w:t>111</w:t>
            </w:r>
            <w:r>
              <w:rPr>
                <w:rFonts w:hint="eastAsia" w:ascii="宋体" w:hAnsi="宋体" w:eastAsia="宋体" w:cs="宋体"/>
                <w:color w:val="auto"/>
                <w:kern w:val="0"/>
                <w:sz w:val="24"/>
                <w:highlight w:val="none"/>
              </w:rPr>
              <w:t>mg/kg</w:t>
            </w:r>
          </w:p>
        </w:tc>
        <w:tc>
          <w:tcPr>
            <w:tcW w:w="167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1,2-二氯苯</w:t>
            </w:r>
          </w:p>
        </w:tc>
        <w:tc>
          <w:tcPr>
            <w:tcW w:w="148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6" w:hRule="atLeast"/>
        </w:trPr>
        <w:tc>
          <w:tcPr>
            <w:tcW w:w="995"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47"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8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汞</w:t>
            </w:r>
          </w:p>
        </w:tc>
        <w:tc>
          <w:tcPr>
            <w:tcW w:w="1494"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0</w:t>
            </w:r>
            <w:r>
              <w:rPr>
                <w:rFonts w:hint="eastAsia" w:ascii="宋体" w:hAnsi="宋体" w:eastAsia="宋体" w:cs="宋体"/>
                <w:color w:val="auto"/>
                <w:kern w:val="0"/>
                <w:sz w:val="24"/>
                <w:highlight w:val="none"/>
                <w:lang w:val="en-US" w:eastAsia="zh-CN"/>
              </w:rPr>
              <w:t>.284</w:t>
            </w:r>
            <w:r>
              <w:rPr>
                <w:rFonts w:hint="eastAsia" w:ascii="宋体" w:hAnsi="宋体" w:eastAsia="宋体" w:cs="宋体"/>
                <w:color w:val="auto"/>
                <w:kern w:val="0"/>
                <w:sz w:val="24"/>
                <w:highlight w:val="none"/>
              </w:rPr>
              <w:t>mg/kg</w:t>
            </w:r>
          </w:p>
        </w:tc>
        <w:tc>
          <w:tcPr>
            <w:tcW w:w="167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1,4-二氯苯</w:t>
            </w:r>
          </w:p>
        </w:tc>
        <w:tc>
          <w:tcPr>
            <w:tcW w:w="148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6" w:hRule="atLeast"/>
        </w:trPr>
        <w:tc>
          <w:tcPr>
            <w:tcW w:w="995"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47"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8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镍</w:t>
            </w:r>
          </w:p>
        </w:tc>
        <w:tc>
          <w:tcPr>
            <w:tcW w:w="1494"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en-US" w:eastAsia="zh-CN"/>
              </w:rPr>
              <w:t>71</w:t>
            </w:r>
            <w:r>
              <w:rPr>
                <w:rFonts w:hint="eastAsia" w:ascii="宋体" w:hAnsi="宋体" w:eastAsia="宋体" w:cs="宋体"/>
                <w:color w:val="auto"/>
                <w:kern w:val="0"/>
                <w:sz w:val="24"/>
                <w:highlight w:val="none"/>
              </w:rPr>
              <w:t>mg/kg</w:t>
            </w:r>
          </w:p>
        </w:tc>
        <w:tc>
          <w:tcPr>
            <w:tcW w:w="167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乙苯</w:t>
            </w:r>
          </w:p>
        </w:tc>
        <w:tc>
          <w:tcPr>
            <w:tcW w:w="148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6" w:hRule="atLeast"/>
        </w:trPr>
        <w:tc>
          <w:tcPr>
            <w:tcW w:w="995"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47"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8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四氯化碳</w:t>
            </w:r>
          </w:p>
        </w:tc>
        <w:tc>
          <w:tcPr>
            <w:tcW w:w="1494"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7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苯乙烯</w:t>
            </w:r>
          </w:p>
        </w:tc>
        <w:tc>
          <w:tcPr>
            <w:tcW w:w="148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6" w:hRule="atLeast"/>
        </w:trPr>
        <w:tc>
          <w:tcPr>
            <w:tcW w:w="995"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47"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8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氯仿</w:t>
            </w:r>
          </w:p>
        </w:tc>
        <w:tc>
          <w:tcPr>
            <w:tcW w:w="1494"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未检出</w:t>
            </w:r>
          </w:p>
        </w:tc>
        <w:tc>
          <w:tcPr>
            <w:tcW w:w="167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甲苯</w:t>
            </w:r>
          </w:p>
        </w:tc>
        <w:tc>
          <w:tcPr>
            <w:tcW w:w="148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6" w:hRule="atLeast"/>
        </w:trPr>
        <w:tc>
          <w:tcPr>
            <w:tcW w:w="995"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47"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8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氯甲烷</w:t>
            </w:r>
          </w:p>
        </w:tc>
        <w:tc>
          <w:tcPr>
            <w:tcW w:w="1494"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7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间,对-二甲苯</w:t>
            </w:r>
          </w:p>
        </w:tc>
        <w:tc>
          <w:tcPr>
            <w:tcW w:w="148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6" w:hRule="atLeast"/>
        </w:trPr>
        <w:tc>
          <w:tcPr>
            <w:tcW w:w="995"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47"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8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1,1-二氯乙烷</w:t>
            </w:r>
          </w:p>
        </w:tc>
        <w:tc>
          <w:tcPr>
            <w:tcW w:w="1494"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未检出</w:t>
            </w:r>
          </w:p>
        </w:tc>
        <w:tc>
          <w:tcPr>
            <w:tcW w:w="167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邻-二甲苯</w:t>
            </w:r>
          </w:p>
        </w:tc>
        <w:tc>
          <w:tcPr>
            <w:tcW w:w="148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6" w:hRule="atLeast"/>
        </w:trPr>
        <w:tc>
          <w:tcPr>
            <w:tcW w:w="995"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47"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8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1,2-二氯乙烷</w:t>
            </w:r>
          </w:p>
        </w:tc>
        <w:tc>
          <w:tcPr>
            <w:tcW w:w="1494"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未检出</w:t>
            </w:r>
          </w:p>
        </w:tc>
        <w:tc>
          <w:tcPr>
            <w:tcW w:w="167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硝基苯</w:t>
            </w:r>
          </w:p>
        </w:tc>
        <w:tc>
          <w:tcPr>
            <w:tcW w:w="148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6" w:hRule="atLeast"/>
        </w:trPr>
        <w:tc>
          <w:tcPr>
            <w:tcW w:w="995"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47"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8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1,1-二氯乙烯</w:t>
            </w:r>
          </w:p>
        </w:tc>
        <w:tc>
          <w:tcPr>
            <w:tcW w:w="1494"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7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苯胺</w:t>
            </w:r>
          </w:p>
        </w:tc>
        <w:tc>
          <w:tcPr>
            <w:tcW w:w="148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10" w:hRule="atLeast"/>
        </w:trPr>
        <w:tc>
          <w:tcPr>
            <w:tcW w:w="995"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47"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8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顺-1,2-二氯乙烯</w:t>
            </w:r>
          </w:p>
        </w:tc>
        <w:tc>
          <w:tcPr>
            <w:tcW w:w="1494"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7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2-氯酚</w:t>
            </w:r>
          </w:p>
        </w:tc>
        <w:tc>
          <w:tcPr>
            <w:tcW w:w="148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10" w:hRule="atLeast"/>
        </w:trPr>
        <w:tc>
          <w:tcPr>
            <w:tcW w:w="995"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47"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8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反-1,2-二氯乙烯</w:t>
            </w:r>
          </w:p>
        </w:tc>
        <w:tc>
          <w:tcPr>
            <w:tcW w:w="1494"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7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苯并[a]蒽</w:t>
            </w:r>
          </w:p>
        </w:tc>
        <w:tc>
          <w:tcPr>
            <w:tcW w:w="148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6" w:hRule="atLeast"/>
        </w:trPr>
        <w:tc>
          <w:tcPr>
            <w:tcW w:w="995"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47"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68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二氯甲烷</w:t>
            </w:r>
          </w:p>
        </w:tc>
        <w:tc>
          <w:tcPr>
            <w:tcW w:w="1494"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7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苯并[a]芘</w:t>
            </w:r>
          </w:p>
        </w:tc>
        <w:tc>
          <w:tcPr>
            <w:tcW w:w="148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6" w:hRule="atLeast"/>
        </w:trPr>
        <w:tc>
          <w:tcPr>
            <w:tcW w:w="995"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47"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68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1,2-二氯丙烷</w:t>
            </w:r>
          </w:p>
        </w:tc>
        <w:tc>
          <w:tcPr>
            <w:tcW w:w="1494"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7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苯并[b]荧蒽</w:t>
            </w:r>
          </w:p>
        </w:tc>
        <w:tc>
          <w:tcPr>
            <w:tcW w:w="148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10" w:hRule="atLeast"/>
        </w:trPr>
        <w:tc>
          <w:tcPr>
            <w:tcW w:w="995"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47"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68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1,1,1,2-四氯乙烷</w:t>
            </w:r>
          </w:p>
        </w:tc>
        <w:tc>
          <w:tcPr>
            <w:tcW w:w="1494"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7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苯并[k]荧蒽</w:t>
            </w:r>
          </w:p>
        </w:tc>
        <w:tc>
          <w:tcPr>
            <w:tcW w:w="148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10" w:hRule="atLeast"/>
        </w:trPr>
        <w:tc>
          <w:tcPr>
            <w:tcW w:w="995"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47"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68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1,1,2,2-四氯乙烷</w:t>
            </w:r>
          </w:p>
        </w:tc>
        <w:tc>
          <w:tcPr>
            <w:tcW w:w="1494"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7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䓛</w:t>
            </w:r>
          </w:p>
        </w:tc>
        <w:tc>
          <w:tcPr>
            <w:tcW w:w="148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6" w:hRule="atLeast"/>
        </w:trPr>
        <w:tc>
          <w:tcPr>
            <w:tcW w:w="995"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47"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68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四氯乙烯</w:t>
            </w:r>
          </w:p>
        </w:tc>
        <w:tc>
          <w:tcPr>
            <w:tcW w:w="1494"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7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二苯并[a，h]蒽</w:t>
            </w:r>
          </w:p>
        </w:tc>
        <w:tc>
          <w:tcPr>
            <w:tcW w:w="148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10" w:hRule="atLeast"/>
        </w:trPr>
        <w:tc>
          <w:tcPr>
            <w:tcW w:w="995"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47"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68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1,1,1-三氯乙烷</w:t>
            </w:r>
          </w:p>
        </w:tc>
        <w:tc>
          <w:tcPr>
            <w:tcW w:w="1494"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7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茚并[1,2,3-cd]芘</w:t>
            </w:r>
          </w:p>
        </w:tc>
        <w:tc>
          <w:tcPr>
            <w:tcW w:w="148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10" w:hRule="atLeast"/>
        </w:trPr>
        <w:tc>
          <w:tcPr>
            <w:tcW w:w="995"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47"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68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1,1,2-三氯乙烷</w:t>
            </w:r>
          </w:p>
        </w:tc>
        <w:tc>
          <w:tcPr>
            <w:tcW w:w="1494"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7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萘</w:t>
            </w:r>
          </w:p>
        </w:tc>
        <w:tc>
          <w:tcPr>
            <w:tcW w:w="148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888" w:hRule="atLeast"/>
        </w:trPr>
        <w:tc>
          <w:tcPr>
            <w:tcW w:w="995"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47"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68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样品状态</w:t>
            </w:r>
          </w:p>
        </w:tc>
        <w:tc>
          <w:tcPr>
            <w:tcW w:w="4655" w:type="dxa"/>
            <w:gridSpan w:val="3"/>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固态、</w:t>
            </w:r>
            <w:r>
              <w:rPr>
                <w:rFonts w:hint="eastAsia" w:ascii="宋体" w:hAnsi="宋体" w:eastAsia="宋体" w:cs="宋体"/>
                <w:color w:val="auto"/>
                <w:kern w:val="0"/>
                <w:sz w:val="24"/>
                <w:highlight w:val="none"/>
                <w:lang w:val="en-US" w:eastAsia="zh-CN"/>
              </w:rPr>
              <w:t>红</w:t>
            </w:r>
            <w:r>
              <w:rPr>
                <w:rFonts w:hint="eastAsia" w:ascii="宋体" w:hAnsi="宋体" w:eastAsia="宋体" w:cs="宋体"/>
                <w:color w:val="auto"/>
                <w:kern w:val="0"/>
                <w:sz w:val="24"/>
                <w:highlight w:val="none"/>
              </w:rPr>
              <w:t>色、</w:t>
            </w:r>
            <w:r>
              <w:rPr>
                <w:rFonts w:hint="eastAsia" w:ascii="宋体" w:hAnsi="宋体" w:eastAsia="宋体" w:cs="宋体"/>
                <w:color w:val="auto"/>
                <w:kern w:val="0"/>
                <w:sz w:val="24"/>
                <w:highlight w:val="none"/>
                <w:lang w:val="en-US" w:eastAsia="zh-CN"/>
              </w:rPr>
              <w:t>壤土</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en-US" w:eastAsia="zh-CN"/>
              </w:rPr>
              <w:t>潮湿</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en-US" w:eastAsia="zh-CN"/>
              </w:rPr>
              <w:t>少量</w:t>
            </w:r>
            <w:r>
              <w:rPr>
                <w:rFonts w:hint="eastAsia" w:ascii="宋体" w:hAnsi="宋体" w:eastAsia="宋体" w:cs="宋体"/>
                <w:color w:val="auto"/>
                <w:kern w:val="0"/>
                <w:sz w:val="24"/>
                <w:highlight w:val="none"/>
              </w:rPr>
              <w:t>砂粒、</w:t>
            </w:r>
            <w:r>
              <w:rPr>
                <w:rFonts w:hint="eastAsia" w:ascii="宋体" w:hAnsi="宋体" w:eastAsia="宋体" w:cs="宋体"/>
                <w:color w:val="auto"/>
                <w:kern w:val="0"/>
                <w:sz w:val="24"/>
                <w:highlight w:val="none"/>
                <w:lang w:val="en-US" w:eastAsia="zh-CN"/>
              </w:rPr>
              <w:t>少量根系</w:t>
            </w:r>
          </w:p>
        </w:tc>
      </w:tr>
    </w:tbl>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 xml:space="preserve"> </w:t>
      </w:r>
    </w:p>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b/>
          <w:color w:val="auto"/>
          <w:sz w:val="24"/>
          <w:highlight w:val="none"/>
        </w:rPr>
      </w:pPr>
    </w:p>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highlight w:val="none"/>
        </w:rPr>
      </w:pPr>
      <w:r>
        <w:rPr>
          <w:rFonts w:hint="eastAsia" w:ascii="宋体" w:hAnsi="宋体" w:eastAsia="宋体" w:cs="宋体"/>
          <w:b/>
          <w:color w:val="auto"/>
          <w:sz w:val="24"/>
          <w:highlight w:val="none"/>
        </w:rPr>
        <w:t>土壤检测结果统计表</w:t>
      </w:r>
    </w:p>
    <w:tbl>
      <w:tblPr>
        <w:tblStyle w:val="21"/>
        <w:tblW w:w="9217" w:type="dxa"/>
        <w:tblInd w:w="-256" w:type="dxa"/>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998"/>
        <w:gridCol w:w="1854"/>
        <w:gridCol w:w="1689"/>
        <w:gridCol w:w="1500"/>
        <w:gridCol w:w="1682"/>
        <w:gridCol w:w="1494"/>
      </w:tblGrid>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16" w:hRule="atLeast"/>
          <w:tblHeader/>
        </w:trPr>
        <w:tc>
          <w:tcPr>
            <w:tcW w:w="998"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采样时间</w:t>
            </w:r>
          </w:p>
        </w:tc>
        <w:tc>
          <w:tcPr>
            <w:tcW w:w="1854"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检测地点</w:t>
            </w:r>
          </w:p>
        </w:tc>
        <w:tc>
          <w:tcPr>
            <w:tcW w:w="168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检测因子</w:t>
            </w:r>
          </w:p>
        </w:tc>
        <w:tc>
          <w:tcPr>
            <w:tcW w:w="150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检测结果</w:t>
            </w:r>
          </w:p>
        </w:tc>
        <w:tc>
          <w:tcPr>
            <w:tcW w:w="168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检测因子</w:t>
            </w:r>
          </w:p>
        </w:tc>
        <w:tc>
          <w:tcPr>
            <w:tcW w:w="1494"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检测结果</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998" w:type="dxa"/>
            <w:vMerge w:val="restart"/>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rPr>
            </w:pPr>
            <w:r>
              <w:rPr>
                <w:rFonts w:hint="eastAsia" w:ascii="宋体" w:hAnsi="宋体" w:eastAsia="宋体" w:cs="宋体"/>
                <w:color w:val="auto"/>
                <w:kern w:val="0"/>
                <w:sz w:val="24"/>
                <w:highlight w:val="none"/>
              </w:rPr>
              <w:t>202</w:t>
            </w:r>
            <w:r>
              <w:rPr>
                <w:rFonts w:hint="eastAsia" w:ascii="宋体" w:hAnsi="宋体" w:eastAsia="宋体" w:cs="宋体"/>
                <w:color w:val="auto"/>
                <w:kern w:val="0"/>
                <w:sz w:val="24"/>
                <w:highlight w:val="none"/>
                <w:lang w:val="en-US" w:eastAsia="zh-CN"/>
              </w:rPr>
              <w:t>3</w:t>
            </w:r>
            <w:r>
              <w:rPr>
                <w:rFonts w:hint="eastAsia" w:ascii="宋体" w:hAnsi="宋体" w:eastAsia="宋体" w:cs="宋体"/>
                <w:color w:val="auto"/>
                <w:kern w:val="0"/>
                <w:sz w:val="24"/>
                <w:highlight w:val="none"/>
              </w:rPr>
              <w:t>.0</w:t>
            </w:r>
            <w:r>
              <w:rPr>
                <w:rFonts w:hint="eastAsia" w:ascii="宋体" w:hAnsi="宋体" w:eastAsia="宋体" w:cs="宋体"/>
                <w:color w:val="auto"/>
                <w:kern w:val="0"/>
                <w:sz w:val="24"/>
                <w:highlight w:val="none"/>
                <w:lang w:val="en-US" w:eastAsia="zh-CN"/>
              </w:rPr>
              <w:t>6.08</w:t>
            </w:r>
          </w:p>
        </w:tc>
        <w:tc>
          <w:tcPr>
            <w:tcW w:w="1854" w:type="dxa"/>
            <w:vMerge w:val="restart"/>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lang w:val="en-US" w:eastAsia="zh-CN"/>
              </w:rPr>
              <w:t>固废前处理车间、四溴应急池及缓冲池</w:t>
            </w:r>
          </w:p>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（N</w:t>
            </w:r>
            <w:r>
              <w:rPr>
                <w:rFonts w:hint="eastAsia" w:ascii="宋体" w:hAnsi="宋体" w:eastAsia="宋体" w:cs="宋体"/>
                <w:color w:val="auto"/>
                <w:kern w:val="0"/>
                <w:sz w:val="24"/>
                <w:highlight w:val="none"/>
                <w:lang w:eastAsia="zh-CN"/>
              </w:rPr>
              <w:t>：</w:t>
            </w:r>
            <w:r>
              <w:rPr>
                <w:rFonts w:hint="eastAsia" w:ascii="宋体" w:hAnsi="宋体" w:eastAsia="宋体" w:cs="宋体"/>
                <w:color w:val="auto"/>
                <w:kern w:val="0"/>
                <w:sz w:val="24"/>
                <w:highlight w:val="none"/>
              </w:rPr>
              <w:t>3</w:t>
            </w:r>
            <w:r>
              <w:rPr>
                <w:rFonts w:hint="eastAsia" w:ascii="宋体" w:hAnsi="宋体" w:eastAsia="宋体" w:cs="宋体"/>
                <w:color w:val="auto"/>
                <w:kern w:val="0"/>
                <w:sz w:val="24"/>
                <w:highlight w:val="none"/>
                <w:lang w:val="en-US" w:eastAsia="zh-CN"/>
              </w:rPr>
              <w:t>4</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en-US" w:eastAsia="zh-CN"/>
              </w:rPr>
              <w:t>40</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en-US" w:eastAsia="zh-CN"/>
              </w:rPr>
              <w:t>25.796</w:t>
            </w:r>
            <w:r>
              <w:rPr>
                <w:rFonts w:hint="eastAsia" w:ascii="宋体" w:hAnsi="宋体" w:eastAsia="宋体" w:cs="宋体"/>
                <w:color w:val="auto"/>
                <w:kern w:val="0"/>
                <w:sz w:val="24"/>
                <w:highlight w:val="none"/>
              </w:rPr>
              <w:t>''  E</w:t>
            </w:r>
            <w:r>
              <w:rPr>
                <w:rFonts w:hint="eastAsia" w:ascii="宋体" w:hAnsi="宋体" w:eastAsia="宋体" w:cs="宋体"/>
                <w:color w:val="auto"/>
                <w:kern w:val="0"/>
                <w:sz w:val="24"/>
                <w:highlight w:val="none"/>
                <w:lang w:eastAsia="zh-CN"/>
              </w:rPr>
              <w:t>：</w:t>
            </w:r>
            <w:r>
              <w:rPr>
                <w:rFonts w:hint="eastAsia" w:ascii="宋体" w:hAnsi="宋体" w:eastAsia="宋体" w:cs="宋体"/>
                <w:color w:val="auto"/>
                <w:kern w:val="0"/>
                <w:sz w:val="24"/>
                <w:highlight w:val="none"/>
              </w:rPr>
              <w:t>11</w:t>
            </w:r>
            <w:r>
              <w:rPr>
                <w:rFonts w:hint="eastAsia" w:ascii="宋体" w:hAnsi="宋体" w:eastAsia="宋体" w:cs="宋体"/>
                <w:color w:val="auto"/>
                <w:kern w:val="0"/>
                <w:sz w:val="24"/>
                <w:highlight w:val="none"/>
                <w:lang w:val="en-US" w:eastAsia="zh-CN"/>
              </w:rPr>
              <w:t>1</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en-US" w:eastAsia="zh-CN"/>
              </w:rPr>
              <w:t>35</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en-US" w:eastAsia="zh-CN"/>
              </w:rPr>
              <w:t>27.520</w:t>
            </w:r>
            <w:r>
              <w:rPr>
                <w:rFonts w:hint="eastAsia" w:ascii="宋体" w:hAnsi="宋体" w:eastAsia="宋体" w:cs="宋体"/>
                <w:color w:val="auto"/>
                <w:kern w:val="0"/>
                <w:sz w:val="24"/>
                <w:highlight w:val="none"/>
              </w:rPr>
              <w:t>''）</w:t>
            </w:r>
          </w:p>
        </w:tc>
        <w:tc>
          <w:tcPr>
            <w:tcW w:w="168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pH值</w:t>
            </w:r>
          </w:p>
        </w:tc>
        <w:tc>
          <w:tcPr>
            <w:tcW w:w="150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lang w:val="en-US" w:eastAsia="zh-CN"/>
              </w:rPr>
              <w:t>8.20</w:t>
            </w:r>
          </w:p>
        </w:tc>
        <w:tc>
          <w:tcPr>
            <w:tcW w:w="168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三氯乙烯</w:t>
            </w:r>
          </w:p>
        </w:tc>
        <w:tc>
          <w:tcPr>
            <w:tcW w:w="1494"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44" w:hRule="atLeast"/>
        </w:trPr>
        <w:tc>
          <w:tcPr>
            <w:tcW w:w="998"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54"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8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砷</w:t>
            </w:r>
          </w:p>
        </w:tc>
        <w:tc>
          <w:tcPr>
            <w:tcW w:w="150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en-US" w:eastAsia="zh-CN"/>
              </w:rPr>
              <w:t>10.2</w:t>
            </w:r>
            <w:r>
              <w:rPr>
                <w:rFonts w:hint="eastAsia" w:ascii="宋体" w:hAnsi="宋体" w:eastAsia="宋体" w:cs="宋体"/>
                <w:color w:val="auto"/>
                <w:kern w:val="0"/>
                <w:sz w:val="24"/>
                <w:highlight w:val="none"/>
              </w:rPr>
              <w:t>mg/kg</w:t>
            </w:r>
          </w:p>
        </w:tc>
        <w:tc>
          <w:tcPr>
            <w:tcW w:w="168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1,2,3-三氯丙烷</w:t>
            </w:r>
          </w:p>
        </w:tc>
        <w:tc>
          <w:tcPr>
            <w:tcW w:w="1494"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998"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54"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8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镉</w:t>
            </w:r>
          </w:p>
        </w:tc>
        <w:tc>
          <w:tcPr>
            <w:tcW w:w="150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en-US" w:eastAsia="zh-CN"/>
              </w:rPr>
              <w:t>0.61</w:t>
            </w:r>
            <w:r>
              <w:rPr>
                <w:rFonts w:hint="eastAsia" w:ascii="宋体" w:hAnsi="宋体" w:eastAsia="宋体" w:cs="宋体"/>
                <w:color w:val="auto"/>
                <w:kern w:val="0"/>
                <w:sz w:val="24"/>
                <w:highlight w:val="none"/>
              </w:rPr>
              <w:t>mg/kg</w:t>
            </w:r>
          </w:p>
        </w:tc>
        <w:tc>
          <w:tcPr>
            <w:tcW w:w="168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氯乙烯</w:t>
            </w:r>
          </w:p>
        </w:tc>
        <w:tc>
          <w:tcPr>
            <w:tcW w:w="1494"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998"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54"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8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铬（六价）</w:t>
            </w:r>
          </w:p>
        </w:tc>
        <w:tc>
          <w:tcPr>
            <w:tcW w:w="150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8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w:t>
            </w:r>
          </w:p>
        </w:tc>
        <w:tc>
          <w:tcPr>
            <w:tcW w:w="1494"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998"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54"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8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铜</w:t>
            </w:r>
          </w:p>
        </w:tc>
        <w:tc>
          <w:tcPr>
            <w:tcW w:w="150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en-US" w:eastAsia="zh-CN"/>
              </w:rPr>
              <w:t>47</w:t>
            </w:r>
            <w:r>
              <w:rPr>
                <w:rFonts w:hint="eastAsia" w:ascii="宋体" w:hAnsi="宋体" w:eastAsia="宋体" w:cs="宋体"/>
                <w:color w:val="auto"/>
                <w:kern w:val="0"/>
                <w:sz w:val="24"/>
                <w:highlight w:val="none"/>
              </w:rPr>
              <w:t>mg/kg</w:t>
            </w:r>
          </w:p>
        </w:tc>
        <w:tc>
          <w:tcPr>
            <w:tcW w:w="168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氯苯</w:t>
            </w:r>
          </w:p>
        </w:tc>
        <w:tc>
          <w:tcPr>
            <w:tcW w:w="1494"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998"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54"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8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铅</w:t>
            </w:r>
          </w:p>
        </w:tc>
        <w:tc>
          <w:tcPr>
            <w:tcW w:w="150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en-US" w:eastAsia="zh-CN"/>
              </w:rPr>
              <w:t>106</w:t>
            </w:r>
            <w:r>
              <w:rPr>
                <w:rFonts w:hint="eastAsia" w:ascii="宋体" w:hAnsi="宋体" w:eastAsia="宋体" w:cs="宋体"/>
                <w:color w:val="auto"/>
                <w:kern w:val="0"/>
                <w:sz w:val="24"/>
                <w:highlight w:val="none"/>
              </w:rPr>
              <w:t>mg/kg</w:t>
            </w:r>
          </w:p>
        </w:tc>
        <w:tc>
          <w:tcPr>
            <w:tcW w:w="168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1,2-二氯苯</w:t>
            </w:r>
          </w:p>
        </w:tc>
        <w:tc>
          <w:tcPr>
            <w:tcW w:w="1494"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998"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54"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8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汞</w:t>
            </w:r>
          </w:p>
        </w:tc>
        <w:tc>
          <w:tcPr>
            <w:tcW w:w="150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0</w:t>
            </w:r>
            <w:r>
              <w:rPr>
                <w:rFonts w:hint="eastAsia" w:ascii="宋体" w:hAnsi="宋体" w:eastAsia="宋体" w:cs="宋体"/>
                <w:color w:val="auto"/>
                <w:kern w:val="0"/>
                <w:sz w:val="24"/>
                <w:highlight w:val="none"/>
                <w:lang w:val="en-US" w:eastAsia="zh-CN"/>
              </w:rPr>
              <w:t>.305</w:t>
            </w:r>
            <w:r>
              <w:rPr>
                <w:rFonts w:hint="eastAsia" w:ascii="宋体" w:hAnsi="宋体" w:eastAsia="宋体" w:cs="宋体"/>
                <w:color w:val="auto"/>
                <w:kern w:val="0"/>
                <w:sz w:val="24"/>
                <w:highlight w:val="none"/>
              </w:rPr>
              <w:t>mg/kg</w:t>
            </w:r>
          </w:p>
        </w:tc>
        <w:tc>
          <w:tcPr>
            <w:tcW w:w="168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1,4-二氯苯</w:t>
            </w:r>
          </w:p>
        </w:tc>
        <w:tc>
          <w:tcPr>
            <w:tcW w:w="1494"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998"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54"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8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镍</w:t>
            </w:r>
          </w:p>
        </w:tc>
        <w:tc>
          <w:tcPr>
            <w:tcW w:w="150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en-US" w:eastAsia="zh-CN"/>
              </w:rPr>
              <w:t>60</w:t>
            </w:r>
            <w:r>
              <w:rPr>
                <w:rFonts w:hint="eastAsia" w:ascii="宋体" w:hAnsi="宋体" w:eastAsia="宋体" w:cs="宋体"/>
                <w:color w:val="auto"/>
                <w:kern w:val="0"/>
                <w:sz w:val="24"/>
                <w:highlight w:val="none"/>
              </w:rPr>
              <w:t>mg/kg</w:t>
            </w:r>
          </w:p>
        </w:tc>
        <w:tc>
          <w:tcPr>
            <w:tcW w:w="168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乙苯</w:t>
            </w:r>
          </w:p>
        </w:tc>
        <w:tc>
          <w:tcPr>
            <w:tcW w:w="1494"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998"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54"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8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四氯化碳</w:t>
            </w:r>
          </w:p>
        </w:tc>
        <w:tc>
          <w:tcPr>
            <w:tcW w:w="150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8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苯乙烯</w:t>
            </w:r>
          </w:p>
        </w:tc>
        <w:tc>
          <w:tcPr>
            <w:tcW w:w="1494"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998"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54"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8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氯仿</w:t>
            </w:r>
          </w:p>
        </w:tc>
        <w:tc>
          <w:tcPr>
            <w:tcW w:w="150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未检出</w:t>
            </w:r>
          </w:p>
        </w:tc>
        <w:tc>
          <w:tcPr>
            <w:tcW w:w="168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甲苯</w:t>
            </w:r>
          </w:p>
        </w:tc>
        <w:tc>
          <w:tcPr>
            <w:tcW w:w="1494"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998"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54"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8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氯甲烷</w:t>
            </w:r>
          </w:p>
        </w:tc>
        <w:tc>
          <w:tcPr>
            <w:tcW w:w="150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8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间,对-二甲苯</w:t>
            </w:r>
          </w:p>
        </w:tc>
        <w:tc>
          <w:tcPr>
            <w:tcW w:w="1494"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998"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54"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8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1,1-二氯乙烷</w:t>
            </w:r>
          </w:p>
        </w:tc>
        <w:tc>
          <w:tcPr>
            <w:tcW w:w="150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未检出</w:t>
            </w:r>
          </w:p>
        </w:tc>
        <w:tc>
          <w:tcPr>
            <w:tcW w:w="168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邻-二甲苯</w:t>
            </w:r>
          </w:p>
        </w:tc>
        <w:tc>
          <w:tcPr>
            <w:tcW w:w="1494"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998"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54"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8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1,2-二氯乙烷</w:t>
            </w:r>
          </w:p>
        </w:tc>
        <w:tc>
          <w:tcPr>
            <w:tcW w:w="150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未检出</w:t>
            </w:r>
          </w:p>
        </w:tc>
        <w:tc>
          <w:tcPr>
            <w:tcW w:w="168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硝基苯</w:t>
            </w:r>
          </w:p>
        </w:tc>
        <w:tc>
          <w:tcPr>
            <w:tcW w:w="1494"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998"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54"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8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1,1-二氯乙烯</w:t>
            </w:r>
          </w:p>
        </w:tc>
        <w:tc>
          <w:tcPr>
            <w:tcW w:w="150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8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苯胺</w:t>
            </w:r>
          </w:p>
        </w:tc>
        <w:tc>
          <w:tcPr>
            <w:tcW w:w="1494"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04" w:hRule="atLeast"/>
        </w:trPr>
        <w:tc>
          <w:tcPr>
            <w:tcW w:w="998"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54"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8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顺-1,2-二氯乙烯</w:t>
            </w:r>
          </w:p>
        </w:tc>
        <w:tc>
          <w:tcPr>
            <w:tcW w:w="150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8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2-氯酚</w:t>
            </w:r>
          </w:p>
        </w:tc>
        <w:tc>
          <w:tcPr>
            <w:tcW w:w="1494"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04" w:hRule="atLeast"/>
        </w:trPr>
        <w:tc>
          <w:tcPr>
            <w:tcW w:w="998"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54"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8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反-1,2-二氯乙烯</w:t>
            </w:r>
          </w:p>
        </w:tc>
        <w:tc>
          <w:tcPr>
            <w:tcW w:w="150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8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苯并[a]蒽</w:t>
            </w:r>
          </w:p>
        </w:tc>
        <w:tc>
          <w:tcPr>
            <w:tcW w:w="1494"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998"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54"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68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二氯甲烷</w:t>
            </w:r>
          </w:p>
        </w:tc>
        <w:tc>
          <w:tcPr>
            <w:tcW w:w="150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8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苯并[a]芘</w:t>
            </w:r>
          </w:p>
        </w:tc>
        <w:tc>
          <w:tcPr>
            <w:tcW w:w="1494"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998"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54"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68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1,2-二氯丙烷</w:t>
            </w:r>
          </w:p>
        </w:tc>
        <w:tc>
          <w:tcPr>
            <w:tcW w:w="150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8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苯并[b]荧蒽</w:t>
            </w:r>
          </w:p>
        </w:tc>
        <w:tc>
          <w:tcPr>
            <w:tcW w:w="1494"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04" w:hRule="atLeast"/>
        </w:trPr>
        <w:tc>
          <w:tcPr>
            <w:tcW w:w="998"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54"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68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1,1,1,2-四氯乙烷</w:t>
            </w:r>
          </w:p>
        </w:tc>
        <w:tc>
          <w:tcPr>
            <w:tcW w:w="150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8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苯并[k]荧蒽</w:t>
            </w:r>
          </w:p>
        </w:tc>
        <w:tc>
          <w:tcPr>
            <w:tcW w:w="1494"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04" w:hRule="atLeast"/>
        </w:trPr>
        <w:tc>
          <w:tcPr>
            <w:tcW w:w="998"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54"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68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1,1,2,2-四氯乙烷</w:t>
            </w:r>
          </w:p>
        </w:tc>
        <w:tc>
          <w:tcPr>
            <w:tcW w:w="150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8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䓛</w:t>
            </w:r>
          </w:p>
        </w:tc>
        <w:tc>
          <w:tcPr>
            <w:tcW w:w="1494"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3" w:hRule="atLeast"/>
        </w:trPr>
        <w:tc>
          <w:tcPr>
            <w:tcW w:w="998"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54"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68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四氯乙烯</w:t>
            </w:r>
          </w:p>
        </w:tc>
        <w:tc>
          <w:tcPr>
            <w:tcW w:w="150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8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二苯并[a，h]蒽</w:t>
            </w:r>
          </w:p>
        </w:tc>
        <w:tc>
          <w:tcPr>
            <w:tcW w:w="1494"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04" w:hRule="atLeast"/>
        </w:trPr>
        <w:tc>
          <w:tcPr>
            <w:tcW w:w="998"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54"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68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1,1,1-三氯乙烷</w:t>
            </w:r>
          </w:p>
        </w:tc>
        <w:tc>
          <w:tcPr>
            <w:tcW w:w="150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8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茚并[1,2,3-cd]芘</w:t>
            </w:r>
          </w:p>
        </w:tc>
        <w:tc>
          <w:tcPr>
            <w:tcW w:w="1494"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998"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54"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68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1,1,2-三氯乙烷</w:t>
            </w:r>
          </w:p>
        </w:tc>
        <w:tc>
          <w:tcPr>
            <w:tcW w:w="150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8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萘</w:t>
            </w:r>
          </w:p>
        </w:tc>
        <w:tc>
          <w:tcPr>
            <w:tcW w:w="1494"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77" w:hRule="atLeast"/>
        </w:trPr>
        <w:tc>
          <w:tcPr>
            <w:tcW w:w="998"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54"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68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样品状态</w:t>
            </w:r>
          </w:p>
        </w:tc>
        <w:tc>
          <w:tcPr>
            <w:tcW w:w="4676" w:type="dxa"/>
            <w:gridSpan w:val="3"/>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固态、</w:t>
            </w:r>
            <w:r>
              <w:rPr>
                <w:rFonts w:hint="eastAsia" w:ascii="宋体" w:hAnsi="宋体" w:eastAsia="宋体" w:cs="宋体"/>
                <w:color w:val="auto"/>
                <w:kern w:val="0"/>
                <w:sz w:val="24"/>
                <w:highlight w:val="none"/>
                <w:lang w:val="en-US" w:eastAsia="zh-CN"/>
              </w:rPr>
              <w:t>红</w:t>
            </w:r>
            <w:r>
              <w:rPr>
                <w:rFonts w:hint="eastAsia" w:ascii="宋体" w:hAnsi="宋体" w:eastAsia="宋体" w:cs="宋体"/>
                <w:color w:val="auto"/>
                <w:kern w:val="0"/>
                <w:sz w:val="24"/>
                <w:highlight w:val="none"/>
              </w:rPr>
              <w:t>色、</w:t>
            </w:r>
            <w:r>
              <w:rPr>
                <w:rFonts w:hint="eastAsia" w:ascii="宋体" w:hAnsi="宋体" w:eastAsia="宋体" w:cs="宋体"/>
                <w:color w:val="auto"/>
                <w:kern w:val="0"/>
                <w:sz w:val="24"/>
                <w:highlight w:val="none"/>
                <w:lang w:val="en-US" w:eastAsia="zh-CN"/>
              </w:rPr>
              <w:t>壤土</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en-US" w:eastAsia="zh-CN"/>
              </w:rPr>
              <w:t>潮湿</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en-US" w:eastAsia="zh-CN"/>
              </w:rPr>
              <w:t>少量</w:t>
            </w:r>
            <w:r>
              <w:rPr>
                <w:rFonts w:hint="eastAsia" w:ascii="宋体" w:hAnsi="宋体" w:eastAsia="宋体" w:cs="宋体"/>
                <w:color w:val="auto"/>
                <w:kern w:val="0"/>
                <w:sz w:val="24"/>
                <w:highlight w:val="none"/>
              </w:rPr>
              <w:t>砂粒、</w:t>
            </w:r>
            <w:r>
              <w:rPr>
                <w:rFonts w:hint="eastAsia" w:ascii="宋体" w:hAnsi="宋体" w:eastAsia="宋体" w:cs="宋体"/>
                <w:color w:val="auto"/>
                <w:kern w:val="0"/>
                <w:sz w:val="24"/>
                <w:highlight w:val="none"/>
                <w:lang w:val="en-US" w:eastAsia="zh-CN"/>
              </w:rPr>
              <w:t>少量根系</w:t>
            </w:r>
          </w:p>
        </w:tc>
      </w:tr>
    </w:tbl>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 xml:space="preserve"> </w:t>
      </w:r>
    </w:p>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highlight w:val="none"/>
        </w:rPr>
      </w:pPr>
      <w:r>
        <w:rPr>
          <w:rFonts w:hint="eastAsia" w:ascii="宋体" w:hAnsi="宋体" w:eastAsia="宋体" w:cs="宋体"/>
          <w:b/>
          <w:color w:val="auto"/>
          <w:sz w:val="24"/>
          <w:highlight w:val="none"/>
        </w:rPr>
        <w:t>土壤检测结果统计表</w:t>
      </w:r>
    </w:p>
    <w:tbl>
      <w:tblPr>
        <w:tblStyle w:val="21"/>
        <w:tblW w:w="9057" w:type="dxa"/>
        <w:tblInd w:w="-256" w:type="dxa"/>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982"/>
        <w:gridCol w:w="1821"/>
        <w:gridCol w:w="1659"/>
        <w:gridCol w:w="1475"/>
        <w:gridCol w:w="1651"/>
        <w:gridCol w:w="1469"/>
      </w:tblGrid>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57" w:hRule="atLeast"/>
          <w:tblHeader/>
        </w:trPr>
        <w:tc>
          <w:tcPr>
            <w:tcW w:w="982"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采样时间</w:t>
            </w:r>
          </w:p>
        </w:tc>
        <w:tc>
          <w:tcPr>
            <w:tcW w:w="182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检测地点</w:t>
            </w:r>
          </w:p>
        </w:tc>
        <w:tc>
          <w:tcPr>
            <w:tcW w:w="165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检测因子</w:t>
            </w:r>
          </w:p>
        </w:tc>
        <w:tc>
          <w:tcPr>
            <w:tcW w:w="147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检测结果</w:t>
            </w:r>
          </w:p>
        </w:tc>
        <w:tc>
          <w:tcPr>
            <w:tcW w:w="165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检测因子</w:t>
            </w:r>
          </w:p>
        </w:tc>
        <w:tc>
          <w:tcPr>
            <w:tcW w:w="146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检测结果</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85" w:hRule="atLeast"/>
        </w:trPr>
        <w:tc>
          <w:tcPr>
            <w:tcW w:w="982" w:type="dxa"/>
            <w:vMerge w:val="restart"/>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rPr>
            </w:pPr>
            <w:r>
              <w:rPr>
                <w:rFonts w:hint="eastAsia" w:ascii="宋体" w:hAnsi="宋体" w:eastAsia="宋体" w:cs="宋体"/>
                <w:color w:val="auto"/>
                <w:kern w:val="0"/>
                <w:sz w:val="24"/>
                <w:highlight w:val="none"/>
              </w:rPr>
              <w:t>202</w:t>
            </w:r>
            <w:r>
              <w:rPr>
                <w:rFonts w:hint="eastAsia" w:ascii="宋体" w:hAnsi="宋体" w:eastAsia="宋体" w:cs="宋体"/>
                <w:color w:val="auto"/>
                <w:kern w:val="0"/>
                <w:sz w:val="24"/>
                <w:highlight w:val="none"/>
                <w:lang w:val="en-US" w:eastAsia="zh-CN"/>
              </w:rPr>
              <w:t>3</w:t>
            </w:r>
            <w:r>
              <w:rPr>
                <w:rFonts w:hint="eastAsia" w:ascii="宋体" w:hAnsi="宋体" w:eastAsia="宋体" w:cs="宋体"/>
                <w:color w:val="auto"/>
                <w:kern w:val="0"/>
                <w:sz w:val="24"/>
                <w:highlight w:val="none"/>
              </w:rPr>
              <w:t>.0</w:t>
            </w:r>
            <w:r>
              <w:rPr>
                <w:rFonts w:hint="eastAsia" w:ascii="宋体" w:hAnsi="宋体" w:eastAsia="宋体" w:cs="宋体"/>
                <w:color w:val="auto"/>
                <w:kern w:val="0"/>
                <w:sz w:val="24"/>
                <w:highlight w:val="none"/>
                <w:lang w:val="en-US" w:eastAsia="zh-CN"/>
              </w:rPr>
              <w:t>6.08</w:t>
            </w:r>
          </w:p>
        </w:tc>
        <w:tc>
          <w:tcPr>
            <w:tcW w:w="1821" w:type="dxa"/>
            <w:vMerge w:val="restart"/>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en-US" w:eastAsia="zh-CN"/>
              </w:rPr>
              <w:t>土壤背景监测点</w:t>
            </w:r>
            <w:r>
              <w:rPr>
                <w:rFonts w:hint="eastAsia" w:ascii="宋体" w:hAnsi="宋体" w:eastAsia="宋体" w:cs="宋体"/>
                <w:color w:val="auto"/>
                <w:kern w:val="0"/>
                <w:sz w:val="24"/>
                <w:highlight w:val="none"/>
              </w:rPr>
              <w:t>（N</w:t>
            </w:r>
            <w:r>
              <w:rPr>
                <w:rFonts w:hint="eastAsia" w:ascii="宋体" w:hAnsi="宋体" w:eastAsia="宋体" w:cs="宋体"/>
                <w:color w:val="auto"/>
                <w:kern w:val="0"/>
                <w:sz w:val="24"/>
                <w:highlight w:val="none"/>
                <w:lang w:eastAsia="zh-CN"/>
              </w:rPr>
              <w:t>：</w:t>
            </w:r>
            <w:r>
              <w:rPr>
                <w:rFonts w:hint="eastAsia" w:ascii="宋体" w:hAnsi="宋体" w:eastAsia="宋体" w:cs="宋体"/>
                <w:color w:val="auto"/>
                <w:kern w:val="0"/>
                <w:sz w:val="24"/>
                <w:highlight w:val="none"/>
              </w:rPr>
              <w:t>3</w:t>
            </w:r>
            <w:r>
              <w:rPr>
                <w:rFonts w:hint="eastAsia" w:ascii="宋体" w:hAnsi="宋体" w:eastAsia="宋体" w:cs="宋体"/>
                <w:color w:val="auto"/>
                <w:kern w:val="0"/>
                <w:sz w:val="24"/>
                <w:highlight w:val="none"/>
                <w:lang w:val="en-US" w:eastAsia="zh-CN"/>
              </w:rPr>
              <w:t>4</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en-US" w:eastAsia="zh-CN"/>
              </w:rPr>
              <w:t>40</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en-US" w:eastAsia="zh-CN"/>
              </w:rPr>
              <w:t>33.435</w:t>
            </w:r>
            <w:r>
              <w:rPr>
                <w:rFonts w:hint="eastAsia" w:ascii="宋体" w:hAnsi="宋体" w:eastAsia="宋体" w:cs="宋体"/>
                <w:color w:val="auto"/>
                <w:kern w:val="0"/>
                <w:sz w:val="24"/>
                <w:highlight w:val="none"/>
              </w:rPr>
              <w:t>''  E</w:t>
            </w:r>
            <w:r>
              <w:rPr>
                <w:rFonts w:hint="eastAsia" w:ascii="宋体" w:hAnsi="宋体" w:eastAsia="宋体" w:cs="宋体"/>
                <w:color w:val="auto"/>
                <w:kern w:val="0"/>
                <w:sz w:val="24"/>
                <w:highlight w:val="none"/>
                <w:lang w:eastAsia="zh-CN"/>
              </w:rPr>
              <w:t>：</w:t>
            </w:r>
            <w:r>
              <w:rPr>
                <w:rFonts w:hint="eastAsia" w:ascii="宋体" w:hAnsi="宋体" w:eastAsia="宋体" w:cs="宋体"/>
                <w:color w:val="auto"/>
                <w:kern w:val="0"/>
                <w:sz w:val="24"/>
                <w:highlight w:val="none"/>
              </w:rPr>
              <w:t>11</w:t>
            </w:r>
            <w:r>
              <w:rPr>
                <w:rFonts w:hint="eastAsia" w:ascii="宋体" w:hAnsi="宋体" w:eastAsia="宋体" w:cs="宋体"/>
                <w:color w:val="auto"/>
                <w:kern w:val="0"/>
                <w:sz w:val="24"/>
                <w:highlight w:val="none"/>
                <w:lang w:val="en-US" w:eastAsia="zh-CN"/>
              </w:rPr>
              <w:t>1</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en-US" w:eastAsia="zh-CN"/>
              </w:rPr>
              <w:t>35</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en-US" w:eastAsia="zh-CN"/>
              </w:rPr>
              <w:t>24.024</w:t>
            </w:r>
            <w:r>
              <w:rPr>
                <w:rFonts w:hint="eastAsia" w:ascii="宋体" w:hAnsi="宋体" w:eastAsia="宋体" w:cs="宋体"/>
                <w:color w:val="auto"/>
                <w:kern w:val="0"/>
                <w:sz w:val="24"/>
                <w:highlight w:val="none"/>
              </w:rPr>
              <w:t>''）</w:t>
            </w:r>
          </w:p>
        </w:tc>
        <w:tc>
          <w:tcPr>
            <w:tcW w:w="165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pH值</w:t>
            </w:r>
          </w:p>
        </w:tc>
        <w:tc>
          <w:tcPr>
            <w:tcW w:w="147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lang w:val="en-US" w:eastAsia="zh-CN"/>
              </w:rPr>
              <w:t>8.41</w:t>
            </w:r>
          </w:p>
        </w:tc>
        <w:tc>
          <w:tcPr>
            <w:tcW w:w="165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三氯乙烯</w:t>
            </w:r>
          </w:p>
        </w:tc>
        <w:tc>
          <w:tcPr>
            <w:tcW w:w="146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56" w:hRule="atLeast"/>
        </w:trPr>
        <w:tc>
          <w:tcPr>
            <w:tcW w:w="982"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21"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5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砷</w:t>
            </w:r>
          </w:p>
        </w:tc>
        <w:tc>
          <w:tcPr>
            <w:tcW w:w="147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en-US" w:eastAsia="zh-CN"/>
              </w:rPr>
              <w:t>10.9</w:t>
            </w:r>
            <w:r>
              <w:rPr>
                <w:rFonts w:hint="eastAsia" w:ascii="宋体" w:hAnsi="宋体" w:eastAsia="宋体" w:cs="宋体"/>
                <w:color w:val="auto"/>
                <w:kern w:val="0"/>
                <w:sz w:val="24"/>
                <w:highlight w:val="none"/>
              </w:rPr>
              <w:t>mg/kg</w:t>
            </w:r>
          </w:p>
        </w:tc>
        <w:tc>
          <w:tcPr>
            <w:tcW w:w="165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1,2,3-三氯丙烷</w:t>
            </w:r>
          </w:p>
        </w:tc>
        <w:tc>
          <w:tcPr>
            <w:tcW w:w="146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85" w:hRule="atLeast"/>
        </w:trPr>
        <w:tc>
          <w:tcPr>
            <w:tcW w:w="982"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21"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5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镉</w:t>
            </w:r>
          </w:p>
        </w:tc>
        <w:tc>
          <w:tcPr>
            <w:tcW w:w="147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en-US" w:eastAsia="zh-CN"/>
              </w:rPr>
              <w:t>0.90</w:t>
            </w:r>
            <w:r>
              <w:rPr>
                <w:rFonts w:hint="eastAsia" w:ascii="宋体" w:hAnsi="宋体" w:eastAsia="宋体" w:cs="宋体"/>
                <w:color w:val="auto"/>
                <w:kern w:val="0"/>
                <w:sz w:val="24"/>
                <w:highlight w:val="none"/>
              </w:rPr>
              <w:t>mg/kg</w:t>
            </w:r>
          </w:p>
        </w:tc>
        <w:tc>
          <w:tcPr>
            <w:tcW w:w="165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氯乙烯</w:t>
            </w:r>
          </w:p>
        </w:tc>
        <w:tc>
          <w:tcPr>
            <w:tcW w:w="146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85" w:hRule="atLeast"/>
        </w:trPr>
        <w:tc>
          <w:tcPr>
            <w:tcW w:w="982"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21"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5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铬（六价）</w:t>
            </w:r>
          </w:p>
        </w:tc>
        <w:tc>
          <w:tcPr>
            <w:tcW w:w="147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5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w:t>
            </w:r>
          </w:p>
        </w:tc>
        <w:tc>
          <w:tcPr>
            <w:tcW w:w="146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85" w:hRule="atLeast"/>
        </w:trPr>
        <w:tc>
          <w:tcPr>
            <w:tcW w:w="982"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21"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5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铜</w:t>
            </w:r>
          </w:p>
        </w:tc>
        <w:tc>
          <w:tcPr>
            <w:tcW w:w="147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en-US" w:eastAsia="zh-CN"/>
              </w:rPr>
              <w:t>47</w:t>
            </w:r>
            <w:r>
              <w:rPr>
                <w:rFonts w:hint="eastAsia" w:ascii="宋体" w:hAnsi="宋体" w:eastAsia="宋体" w:cs="宋体"/>
                <w:color w:val="auto"/>
                <w:kern w:val="0"/>
                <w:sz w:val="24"/>
                <w:highlight w:val="none"/>
              </w:rPr>
              <w:t>mg/kg</w:t>
            </w:r>
          </w:p>
        </w:tc>
        <w:tc>
          <w:tcPr>
            <w:tcW w:w="165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氯苯</w:t>
            </w:r>
          </w:p>
        </w:tc>
        <w:tc>
          <w:tcPr>
            <w:tcW w:w="146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85" w:hRule="atLeast"/>
        </w:trPr>
        <w:tc>
          <w:tcPr>
            <w:tcW w:w="982"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21"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5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铅</w:t>
            </w:r>
          </w:p>
        </w:tc>
        <w:tc>
          <w:tcPr>
            <w:tcW w:w="147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en-US" w:eastAsia="zh-CN"/>
              </w:rPr>
              <w:t>107</w:t>
            </w:r>
            <w:r>
              <w:rPr>
                <w:rFonts w:hint="eastAsia" w:ascii="宋体" w:hAnsi="宋体" w:eastAsia="宋体" w:cs="宋体"/>
                <w:color w:val="auto"/>
                <w:kern w:val="0"/>
                <w:sz w:val="24"/>
                <w:highlight w:val="none"/>
              </w:rPr>
              <w:t>mg/kg</w:t>
            </w:r>
          </w:p>
        </w:tc>
        <w:tc>
          <w:tcPr>
            <w:tcW w:w="165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1,2-二氯苯</w:t>
            </w:r>
          </w:p>
        </w:tc>
        <w:tc>
          <w:tcPr>
            <w:tcW w:w="146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85" w:hRule="atLeast"/>
        </w:trPr>
        <w:tc>
          <w:tcPr>
            <w:tcW w:w="982"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21"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5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汞</w:t>
            </w:r>
          </w:p>
        </w:tc>
        <w:tc>
          <w:tcPr>
            <w:tcW w:w="147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0</w:t>
            </w:r>
            <w:r>
              <w:rPr>
                <w:rFonts w:hint="eastAsia" w:ascii="宋体" w:hAnsi="宋体" w:eastAsia="宋体" w:cs="宋体"/>
                <w:color w:val="auto"/>
                <w:kern w:val="0"/>
                <w:sz w:val="24"/>
                <w:highlight w:val="none"/>
                <w:lang w:val="en-US" w:eastAsia="zh-CN"/>
              </w:rPr>
              <w:t>.283</w:t>
            </w:r>
            <w:r>
              <w:rPr>
                <w:rFonts w:hint="eastAsia" w:ascii="宋体" w:hAnsi="宋体" w:eastAsia="宋体" w:cs="宋体"/>
                <w:color w:val="auto"/>
                <w:kern w:val="0"/>
                <w:sz w:val="24"/>
                <w:highlight w:val="none"/>
              </w:rPr>
              <w:t>mg/kg</w:t>
            </w:r>
          </w:p>
        </w:tc>
        <w:tc>
          <w:tcPr>
            <w:tcW w:w="165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1,4-二氯苯</w:t>
            </w:r>
          </w:p>
        </w:tc>
        <w:tc>
          <w:tcPr>
            <w:tcW w:w="146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85" w:hRule="atLeast"/>
        </w:trPr>
        <w:tc>
          <w:tcPr>
            <w:tcW w:w="982"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21"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5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镍</w:t>
            </w:r>
          </w:p>
        </w:tc>
        <w:tc>
          <w:tcPr>
            <w:tcW w:w="147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en-US" w:eastAsia="zh-CN"/>
              </w:rPr>
              <w:t>77</w:t>
            </w:r>
            <w:r>
              <w:rPr>
                <w:rFonts w:hint="eastAsia" w:ascii="宋体" w:hAnsi="宋体" w:eastAsia="宋体" w:cs="宋体"/>
                <w:color w:val="auto"/>
                <w:kern w:val="0"/>
                <w:sz w:val="24"/>
                <w:highlight w:val="none"/>
              </w:rPr>
              <w:t>mg/kg</w:t>
            </w:r>
          </w:p>
        </w:tc>
        <w:tc>
          <w:tcPr>
            <w:tcW w:w="165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乙苯</w:t>
            </w:r>
          </w:p>
        </w:tc>
        <w:tc>
          <w:tcPr>
            <w:tcW w:w="146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85" w:hRule="atLeast"/>
        </w:trPr>
        <w:tc>
          <w:tcPr>
            <w:tcW w:w="982"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21"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5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四氯化碳</w:t>
            </w:r>
          </w:p>
        </w:tc>
        <w:tc>
          <w:tcPr>
            <w:tcW w:w="147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5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苯乙烯</w:t>
            </w:r>
          </w:p>
        </w:tc>
        <w:tc>
          <w:tcPr>
            <w:tcW w:w="146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85" w:hRule="atLeast"/>
        </w:trPr>
        <w:tc>
          <w:tcPr>
            <w:tcW w:w="982"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21"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5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氯仿</w:t>
            </w:r>
          </w:p>
        </w:tc>
        <w:tc>
          <w:tcPr>
            <w:tcW w:w="147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未检出</w:t>
            </w:r>
          </w:p>
        </w:tc>
        <w:tc>
          <w:tcPr>
            <w:tcW w:w="165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甲苯</w:t>
            </w:r>
          </w:p>
        </w:tc>
        <w:tc>
          <w:tcPr>
            <w:tcW w:w="146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85" w:hRule="atLeast"/>
        </w:trPr>
        <w:tc>
          <w:tcPr>
            <w:tcW w:w="982"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21"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5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氯甲烷</w:t>
            </w:r>
          </w:p>
        </w:tc>
        <w:tc>
          <w:tcPr>
            <w:tcW w:w="147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5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间,对-二甲苯</w:t>
            </w:r>
          </w:p>
        </w:tc>
        <w:tc>
          <w:tcPr>
            <w:tcW w:w="146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85" w:hRule="atLeast"/>
        </w:trPr>
        <w:tc>
          <w:tcPr>
            <w:tcW w:w="982"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21"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5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1,1-二氯乙烷</w:t>
            </w:r>
          </w:p>
        </w:tc>
        <w:tc>
          <w:tcPr>
            <w:tcW w:w="147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未检出</w:t>
            </w:r>
          </w:p>
        </w:tc>
        <w:tc>
          <w:tcPr>
            <w:tcW w:w="165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邻-二甲苯</w:t>
            </w:r>
          </w:p>
        </w:tc>
        <w:tc>
          <w:tcPr>
            <w:tcW w:w="146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85" w:hRule="atLeast"/>
        </w:trPr>
        <w:tc>
          <w:tcPr>
            <w:tcW w:w="982"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21"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5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1,2-二氯乙烷</w:t>
            </w:r>
          </w:p>
        </w:tc>
        <w:tc>
          <w:tcPr>
            <w:tcW w:w="147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未检出</w:t>
            </w:r>
          </w:p>
        </w:tc>
        <w:tc>
          <w:tcPr>
            <w:tcW w:w="165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硝基苯</w:t>
            </w:r>
          </w:p>
        </w:tc>
        <w:tc>
          <w:tcPr>
            <w:tcW w:w="146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85" w:hRule="atLeast"/>
        </w:trPr>
        <w:tc>
          <w:tcPr>
            <w:tcW w:w="982"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21"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5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1,1-二氯乙烯</w:t>
            </w:r>
          </w:p>
        </w:tc>
        <w:tc>
          <w:tcPr>
            <w:tcW w:w="147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5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苯胺</w:t>
            </w:r>
          </w:p>
        </w:tc>
        <w:tc>
          <w:tcPr>
            <w:tcW w:w="146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56" w:hRule="atLeast"/>
        </w:trPr>
        <w:tc>
          <w:tcPr>
            <w:tcW w:w="982"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21"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5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顺-1,2-二氯乙烯</w:t>
            </w:r>
          </w:p>
        </w:tc>
        <w:tc>
          <w:tcPr>
            <w:tcW w:w="147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5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2-氯酚</w:t>
            </w:r>
          </w:p>
        </w:tc>
        <w:tc>
          <w:tcPr>
            <w:tcW w:w="146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56" w:hRule="atLeast"/>
        </w:trPr>
        <w:tc>
          <w:tcPr>
            <w:tcW w:w="982"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821"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0"/>
                <w:szCs w:val="21"/>
                <w:highlight w:val="none"/>
              </w:rPr>
            </w:pPr>
          </w:p>
        </w:tc>
        <w:tc>
          <w:tcPr>
            <w:tcW w:w="165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反-1,2-二氯乙烯</w:t>
            </w:r>
          </w:p>
        </w:tc>
        <w:tc>
          <w:tcPr>
            <w:tcW w:w="147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5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苯并[a]蒽</w:t>
            </w:r>
          </w:p>
        </w:tc>
        <w:tc>
          <w:tcPr>
            <w:tcW w:w="146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85" w:hRule="atLeast"/>
        </w:trPr>
        <w:tc>
          <w:tcPr>
            <w:tcW w:w="982"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21"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65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二氯甲烷</w:t>
            </w:r>
          </w:p>
        </w:tc>
        <w:tc>
          <w:tcPr>
            <w:tcW w:w="147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5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苯并[a]芘</w:t>
            </w:r>
          </w:p>
        </w:tc>
        <w:tc>
          <w:tcPr>
            <w:tcW w:w="146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85" w:hRule="atLeast"/>
        </w:trPr>
        <w:tc>
          <w:tcPr>
            <w:tcW w:w="982"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21"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65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1,2-二氯丙烷</w:t>
            </w:r>
          </w:p>
        </w:tc>
        <w:tc>
          <w:tcPr>
            <w:tcW w:w="147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5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苯并[b]荧蒽</w:t>
            </w:r>
          </w:p>
        </w:tc>
        <w:tc>
          <w:tcPr>
            <w:tcW w:w="146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56" w:hRule="atLeast"/>
        </w:trPr>
        <w:tc>
          <w:tcPr>
            <w:tcW w:w="982"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21"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65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1,1,1,2-四氯乙烷</w:t>
            </w:r>
          </w:p>
        </w:tc>
        <w:tc>
          <w:tcPr>
            <w:tcW w:w="147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5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苯并[k]荧蒽</w:t>
            </w:r>
          </w:p>
        </w:tc>
        <w:tc>
          <w:tcPr>
            <w:tcW w:w="146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56" w:hRule="atLeast"/>
        </w:trPr>
        <w:tc>
          <w:tcPr>
            <w:tcW w:w="982"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21"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65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1,1,2,2-四氯乙烷</w:t>
            </w:r>
          </w:p>
        </w:tc>
        <w:tc>
          <w:tcPr>
            <w:tcW w:w="147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5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䓛</w:t>
            </w:r>
          </w:p>
        </w:tc>
        <w:tc>
          <w:tcPr>
            <w:tcW w:w="146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58" w:hRule="atLeast"/>
        </w:trPr>
        <w:tc>
          <w:tcPr>
            <w:tcW w:w="982"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21"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65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四氯乙烯</w:t>
            </w:r>
          </w:p>
        </w:tc>
        <w:tc>
          <w:tcPr>
            <w:tcW w:w="147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5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二苯并[a，h]蒽</w:t>
            </w:r>
          </w:p>
        </w:tc>
        <w:tc>
          <w:tcPr>
            <w:tcW w:w="146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56" w:hRule="atLeast"/>
        </w:trPr>
        <w:tc>
          <w:tcPr>
            <w:tcW w:w="982"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21"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65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1,1,1-三氯乙烷</w:t>
            </w:r>
          </w:p>
        </w:tc>
        <w:tc>
          <w:tcPr>
            <w:tcW w:w="147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5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茚并[1,2,3-cd]芘</w:t>
            </w:r>
          </w:p>
        </w:tc>
        <w:tc>
          <w:tcPr>
            <w:tcW w:w="146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56" w:hRule="atLeast"/>
        </w:trPr>
        <w:tc>
          <w:tcPr>
            <w:tcW w:w="982"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21"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65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1,1,2-三氯乙烷</w:t>
            </w:r>
          </w:p>
        </w:tc>
        <w:tc>
          <w:tcPr>
            <w:tcW w:w="1475"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c>
          <w:tcPr>
            <w:tcW w:w="1651"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萘</w:t>
            </w:r>
          </w:p>
        </w:tc>
        <w:tc>
          <w:tcPr>
            <w:tcW w:w="146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未检出</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87" w:hRule="atLeast"/>
        </w:trPr>
        <w:tc>
          <w:tcPr>
            <w:tcW w:w="982"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821"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p>
        </w:tc>
        <w:tc>
          <w:tcPr>
            <w:tcW w:w="165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样品状态</w:t>
            </w:r>
          </w:p>
        </w:tc>
        <w:tc>
          <w:tcPr>
            <w:tcW w:w="4595" w:type="dxa"/>
            <w:gridSpan w:val="3"/>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固态、</w:t>
            </w:r>
            <w:r>
              <w:rPr>
                <w:rFonts w:hint="eastAsia" w:ascii="宋体" w:hAnsi="宋体" w:eastAsia="宋体" w:cs="宋体"/>
                <w:color w:val="auto"/>
                <w:kern w:val="0"/>
                <w:sz w:val="24"/>
                <w:highlight w:val="none"/>
                <w:lang w:val="en-US" w:eastAsia="zh-CN"/>
              </w:rPr>
              <w:t>红</w:t>
            </w:r>
            <w:r>
              <w:rPr>
                <w:rFonts w:hint="eastAsia" w:ascii="宋体" w:hAnsi="宋体" w:eastAsia="宋体" w:cs="宋体"/>
                <w:color w:val="auto"/>
                <w:kern w:val="0"/>
                <w:sz w:val="24"/>
                <w:highlight w:val="none"/>
              </w:rPr>
              <w:t>色、</w:t>
            </w:r>
            <w:r>
              <w:rPr>
                <w:rFonts w:hint="eastAsia" w:ascii="宋体" w:hAnsi="宋体" w:eastAsia="宋体" w:cs="宋体"/>
                <w:color w:val="auto"/>
                <w:kern w:val="0"/>
                <w:sz w:val="24"/>
                <w:highlight w:val="none"/>
                <w:lang w:val="en-US" w:eastAsia="zh-CN"/>
              </w:rPr>
              <w:t>壤土</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en-US" w:eastAsia="zh-CN"/>
              </w:rPr>
              <w:t>潮湿</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en-US" w:eastAsia="zh-CN"/>
              </w:rPr>
              <w:t>少量</w:t>
            </w:r>
            <w:r>
              <w:rPr>
                <w:rFonts w:hint="eastAsia" w:ascii="宋体" w:hAnsi="宋体" w:eastAsia="宋体" w:cs="宋体"/>
                <w:color w:val="auto"/>
                <w:kern w:val="0"/>
                <w:sz w:val="24"/>
                <w:highlight w:val="none"/>
              </w:rPr>
              <w:t>砂粒、</w:t>
            </w:r>
            <w:r>
              <w:rPr>
                <w:rFonts w:hint="eastAsia" w:ascii="宋体" w:hAnsi="宋体" w:eastAsia="宋体" w:cs="宋体"/>
                <w:color w:val="auto"/>
                <w:kern w:val="0"/>
                <w:sz w:val="24"/>
                <w:highlight w:val="none"/>
                <w:lang w:val="en-US" w:eastAsia="zh-CN"/>
              </w:rPr>
              <w:t>少量根系</w:t>
            </w:r>
          </w:p>
        </w:tc>
      </w:tr>
    </w:tbl>
    <w:p>
      <w:pPr>
        <w:spacing w:line="460" w:lineRule="exact"/>
        <w:jc w:val="center"/>
        <w:rPr>
          <w:rFonts w:hint="eastAsia" w:ascii="宋体" w:hAnsi="宋体" w:eastAsia="宋体" w:cs="宋体"/>
          <w:b/>
          <w:color w:val="auto"/>
          <w:spacing w:val="0"/>
          <w:sz w:val="44"/>
          <w:szCs w:val="44"/>
          <w:highlight w:val="none"/>
        </w:rPr>
        <w:sectPr>
          <w:headerReference r:id="rId5" w:type="default"/>
          <w:footerReference r:id="rId6" w:type="default"/>
          <w:pgSz w:w="11906" w:h="16838"/>
          <w:pgMar w:top="1134" w:right="1418" w:bottom="1417" w:left="1418" w:header="851" w:footer="850" w:gutter="0"/>
          <w:pgBorders>
            <w:top w:val="none" w:sz="0" w:space="0"/>
            <w:left w:val="none" w:sz="0" w:space="0"/>
            <w:bottom w:val="none" w:sz="0" w:space="0"/>
            <w:right w:val="none" w:sz="0" w:space="0"/>
          </w:pgBorders>
          <w:pgNumType w:fmt="decimal" w:start="1"/>
          <w:cols w:space="0" w:num="1"/>
          <w:docGrid w:type="lines" w:linePitch="490" w:charSpace="0"/>
        </w:sectPr>
      </w:pPr>
    </w:p>
    <w:p>
      <w:pPr>
        <w:pStyle w:val="7"/>
        <w:bidi w:val="0"/>
        <w:spacing w:line="360" w:lineRule="auto"/>
        <w:rPr>
          <w:rFonts w:hint="eastAsia" w:ascii="宋体" w:hAnsi="宋体" w:eastAsia="宋体" w:cs="宋体"/>
          <w:lang w:val="en-US" w:eastAsia="zh-CN"/>
        </w:rPr>
      </w:pPr>
      <w:bookmarkStart w:id="263" w:name="_Toc1971"/>
      <w:r>
        <w:rPr>
          <w:rFonts w:hint="eastAsia" w:ascii="宋体" w:hAnsi="宋体" w:eastAsia="宋体" w:cs="宋体"/>
          <w:lang w:val="en-US" w:eastAsia="zh-CN"/>
        </w:rPr>
        <w:t>9质量保证与质量控制</w:t>
      </w:r>
      <w:bookmarkEnd w:id="260"/>
      <w:bookmarkEnd w:id="261"/>
      <w:bookmarkEnd w:id="262"/>
      <w:bookmarkEnd w:id="263"/>
    </w:p>
    <w:p>
      <w:pPr>
        <w:keepNext/>
        <w:keepLines/>
        <w:widowControl w:val="0"/>
        <w:numPr>
          <w:ilvl w:val="1"/>
          <w:numId w:val="1"/>
        </w:numPr>
        <w:bidi w:val="0"/>
        <w:spacing w:line="360" w:lineRule="auto"/>
        <w:ind w:firstLine="0" w:firstLineChars="0"/>
        <w:jc w:val="left"/>
        <w:outlineLvl w:val="1"/>
        <w:rPr>
          <w:rFonts w:hint="eastAsia" w:ascii="宋体" w:hAnsi="宋体" w:eastAsia="宋体" w:cs="宋体"/>
          <w:b/>
          <w:bCs/>
          <w:kern w:val="2"/>
          <w:sz w:val="28"/>
          <w:szCs w:val="32"/>
          <w:lang w:val="en-US" w:eastAsia="zh-CN" w:bidi="ar-SA"/>
        </w:rPr>
      </w:pPr>
      <w:bookmarkStart w:id="264" w:name="_Toc7047"/>
      <w:bookmarkStart w:id="265" w:name="_Toc2115"/>
      <w:bookmarkStart w:id="266" w:name="_Toc13167"/>
      <w:bookmarkStart w:id="267" w:name="_Toc7011"/>
      <w:bookmarkStart w:id="268" w:name="_Toc22663"/>
      <w:bookmarkStart w:id="269" w:name="_Toc29954"/>
      <w:r>
        <w:rPr>
          <w:rFonts w:hint="eastAsia" w:ascii="宋体" w:hAnsi="宋体" w:eastAsia="宋体" w:cs="宋体"/>
          <w:b/>
          <w:bCs/>
          <w:kern w:val="2"/>
          <w:sz w:val="28"/>
          <w:szCs w:val="32"/>
          <w:lang w:val="en-US" w:eastAsia="zh-CN" w:bidi="ar-SA"/>
        </w:rPr>
        <w:t>9.1自行监测质量体系</w:t>
      </w:r>
      <w:bookmarkEnd w:id="264"/>
      <w:bookmarkEnd w:id="265"/>
      <w:bookmarkEnd w:id="266"/>
      <w:bookmarkEnd w:id="267"/>
      <w:bookmarkEnd w:id="268"/>
      <w:bookmarkEnd w:id="269"/>
    </w:p>
    <w:p>
      <w:pPr>
        <w:spacing w:line="360" w:lineRule="auto"/>
        <w:ind w:firstLine="560" w:firstLineChars="200"/>
        <w:outlineLvl w:val="9"/>
        <w:rPr>
          <w:rFonts w:hint="eastAsia" w:ascii="宋体" w:hAnsi="宋体" w:eastAsia="宋体" w:cs="宋体"/>
          <w:b w:val="0"/>
          <w:bCs w:val="0"/>
          <w:snapToGrid/>
          <w:color w:val="auto"/>
          <w:kern w:val="2"/>
          <w:sz w:val="28"/>
          <w:szCs w:val="24"/>
          <w:highlight w:val="none"/>
          <w:lang w:val="en-US" w:eastAsia="zh-CN" w:bidi="ar-SA"/>
        </w:rPr>
      </w:pPr>
      <w:bookmarkStart w:id="270" w:name="_Toc32423"/>
      <w:r>
        <w:rPr>
          <w:rFonts w:hint="eastAsia" w:ascii="宋体" w:hAnsi="宋体" w:eastAsia="宋体" w:cs="宋体"/>
          <w:color w:val="auto"/>
          <w:spacing w:val="0"/>
          <w:kern w:val="2"/>
          <w:sz w:val="28"/>
          <w:szCs w:val="28"/>
          <w:highlight w:val="none"/>
          <w:lang w:val="en-US" w:eastAsia="zh-CN" w:bidi="zh-CN"/>
        </w:rPr>
        <w:t>三门峡新鑫源科技有限公司2023年度土壤和地下水检测工作由洛阳市达峰环境检测有限公司负责，公司拥有河南省质量技术监督局颁发的检验检测机构资质认定证书（洛阳市达峰环境检测有限公司：证书编号201612050382，有效期2026年11月9日。公司质量体系完善，符合实验室分析工作的条件和相应资质要求，凡承担本项目的采样和检测分析等的人员均通过公司考核并持证上岗</w:t>
      </w:r>
      <w:r>
        <w:rPr>
          <w:rFonts w:hint="eastAsia" w:ascii="宋体" w:hAnsi="宋体" w:eastAsia="宋体" w:cs="宋体"/>
          <w:b w:val="0"/>
          <w:bCs w:val="0"/>
          <w:snapToGrid/>
          <w:color w:val="auto"/>
          <w:kern w:val="2"/>
          <w:sz w:val="28"/>
          <w:szCs w:val="24"/>
          <w:highlight w:val="none"/>
          <w:lang w:val="en-US" w:eastAsia="zh-CN" w:bidi="ar-SA"/>
        </w:rPr>
        <w:t>。</w:t>
      </w:r>
      <w:bookmarkEnd w:id="270"/>
    </w:p>
    <w:p>
      <w:pPr>
        <w:keepNext/>
        <w:keepLines/>
        <w:widowControl w:val="0"/>
        <w:numPr>
          <w:ilvl w:val="1"/>
          <w:numId w:val="1"/>
        </w:numPr>
        <w:bidi w:val="0"/>
        <w:spacing w:line="360" w:lineRule="auto"/>
        <w:ind w:firstLine="0" w:firstLineChars="0"/>
        <w:jc w:val="left"/>
        <w:outlineLvl w:val="1"/>
        <w:rPr>
          <w:rFonts w:hint="eastAsia" w:ascii="宋体" w:hAnsi="宋体" w:eastAsia="宋体" w:cs="宋体"/>
          <w:b/>
          <w:bCs/>
          <w:kern w:val="2"/>
          <w:sz w:val="28"/>
          <w:szCs w:val="32"/>
          <w:lang w:val="en-US" w:eastAsia="zh-CN" w:bidi="ar-SA"/>
        </w:rPr>
      </w:pPr>
      <w:bookmarkStart w:id="271" w:name="_Toc579"/>
      <w:bookmarkStart w:id="272" w:name="_Toc20216"/>
      <w:bookmarkStart w:id="273" w:name="_Toc23714"/>
      <w:bookmarkStart w:id="274" w:name="_Toc7617"/>
      <w:r>
        <w:rPr>
          <w:rFonts w:hint="eastAsia" w:ascii="宋体" w:hAnsi="宋体" w:eastAsia="宋体" w:cs="宋体"/>
          <w:b/>
          <w:bCs/>
          <w:kern w:val="2"/>
          <w:sz w:val="28"/>
          <w:szCs w:val="32"/>
          <w:lang w:val="en-US" w:eastAsia="zh-CN" w:bidi="ar-SA"/>
        </w:rPr>
        <w:t>9.2监测方案制定的质量保证与控制</w:t>
      </w:r>
      <w:bookmarkEnd w:id="271"/>
      <w:bookmarkEnd w:id="272"/>
      <w:bookmarkEnd w:id="273"/>
      <w:bookmarkEnd w:id="274"/>
    </w:p>
    <w:p>
      <w:pPr>
        <w:spacing w:line="360" w:lineRule="auto"/>
        <w:ind w:firstLine="560" w:firstLineChars="200"/>
        <w:outlineLvl w:val="9"/>
        <w:rPr>
          <w:rFonts w:hint="eastAsia" w:ascii="宋体" w:hAnsi="宋体" w:eastAsia="宋体" w:cs="宋体"/>
          <w:color w:val="auto"/>
          <w:spacing w:val="0"/>
          <w:kern w:val="2"/>
          <w:sz w:val="28"/>
          <w:szCs w:val="28"/>
          <w:highlight w:val="none"/>
          <w:lang w:val="en-US" w:eastAsia="zh-CN" w:bidi="zh-CN"/>
        </w:rPr>
      </w:pPr>
      <w:r>
        <w:rPr>
          <w:rFonts w:hint="eastAsia" w:ascii="宋体" w:hAnsi="宋体" w:eastAsia="宋体" w:cs="宋体"/>
          <w:color w:val="auto"/>
          <w:spacing w:val="0"/>
          <w:kern w:val="2"/>
          <w:sz w:val="28"/>
          <w:szCs w:val="28"/>
          <w:highlight w:val="none"/>
          <w:lang w:val="en-US" w:eastAsia="zh-CN" w:bidi="zh-CN"/>
        </w:rPr>
        <w:t>三门峡新鑫源科技有限公司2023年度土壤和地下水监测方案保持一致，可满足监测要求，主要包含以下内容：</w:t>
      </w:r>
    </w:p>
    <w:p>
      <w:pPr>
        <w:spacing w:line="360" w:lineRule="auto"/>
        <w:ind w:firstLine="560" w:firstLineChars="200"/>
        <w:outlineLvl w:val="9"/>
        <w:rPr>
          <w:rFonts w:hint="eastAsia" w:ascii="宋体" w:hAnsi="宋体" w:eastAsia="宋体" w:cs="宋体"/>
          <w:color w:val="auto"/>
          <w:spacing w:val="0"/>
          <w:kern w:val="2"/>
          <w:sz w:val="28"/>
          <w:szCs w:val="28"/>
          <w:highlight w:val="none"/>
          <w:lang w:val="en-US" w:eastAsia="zh-CN" w:bidi="zh-CN"/>
        </w:rPr>
      </w:pPr>
      <w:r>
        <w:rPr>
          <w:rFonts w:hint="eastAsia" w:ascii="宋体" w:hAnsi="宋体" w:eastAsia="宋体" w:cs="宋体"/>
          <w:color w:val="auto"/>
          <w:spacing w:val="0"/>
          <w:kern w:val="2"/>
          <w:sz w:val="28"/>
          <w:szCs w:val="28"/>
          <w:highlight w:val="none"/>
          <w:lang w:val="en-US" w:eastAsia="zh-CN" w:bidi="zh-CN"/>
        </w:rPr>
        <w:t>（1）重点单元识别与分类依据满足《工业企业土壤和地下水自行监测技术指南（试行）》（HJ1209-2021）的要求，已按照HJ1209-2021要求提供了重点监测单元清单及标记有重点单元及监测点/监测井位置的企业总平面布置图；</w:t>
      </w:r>
    </w:p>
    <w:p>
      <w:pPr>
        <w:spacing w:line="360" w:lineRule="auto"/>
        <w:ind w:firstLine="560" w:firstLineChars="200"/>
        <w:outlineLvl w:val="9"/>
        <w:rPr>
          <w:rFonts w:hint="eastAsia" w:ascii="宋体" w:hAnsi="宋体" w:eastAsia="宋体" w:cs="宋体"/>
          <w:color w:val="auto"/>
          <w:spacing w:val="0"/>
          <w:kern w:val="2"/>
          <w:sz w:val="28"/>
          <w:szCs w:val="28"/>
          <w:highlight w:val="none"/>
          <w:lang w:val="en-US" w:eastAsia="zh-CN" w:bidi="zh-CN"/>
        </w:rPr>
      </w:pPr>
      <w:r>
        <w:rPr>
          <w:rFonts w:hint="eastAsia" w:ascii="宋体" w:hAnsi="宋体" w:eastAsia="宋体" w:cs="宋体"/>
          <w:color w:val="auto"/>
          <w:spacing w:val="0"/>
          <w:kern w:val="2"/>
          <w:sz w:val="28"/>
          <w:szCs w:val="28"/>
          <w:highlight w:val="none"/>
          <w:lang w:val="en-US" w:eastAsia="zh-CN" w:bidi="zh-CN"/>
        </w:rPr>
        <w:t>（2）土壤监测点的位置、数量和深度满足HJ1209-2021中“5.2监测点位”的要求；</w:t>
      </w:r>
    </w:p>
    <w:p>
      <w:pPr>
        <w:spacing w:line="360" w:lineRule="auto"/>
        <w:ind w:firstLine="560" w:firstLineChars="200"/>
        <w:outlineLvl w:val="9"/>
        <w:rPr>
          <w:rFonts w:hint="eastAsia" w:ascii="宋体" w:hAnsi="宋体" w:eastAsia="宋体" w:cs="宋体"/>
          <w:color w:val="auto"/>
          <w:spacing w:val="0"/>
          <w:kern w:val="2"/>
          <w:sz w:val="28"/>
          <w:szCs w:val="28"/>
          <w:highlight w:val="none"/>
          <w:lang w:val="en-US" w:eastAsia="zh-CN" w:bidi="zh-CN"/>
        </w:rPr>
      </w:pPr>
      <w:r>
        <w:rPr>
          <w:rFonts w:hint="eastAsia" w:ascii="宋体" w:hAnsi="宋体" w:eastAsia="宋体" w:cs="宋体"/>
          <w:color w:val="auto"/>
          <w:spacing w:val="0"/>
          <w:kern w:val="2"/>
          <w:sz w:val="28"/>
          <w:szCs w:val="28"/>
          <w:highlight w:val="none"/>
          <w:lang w:val="en-US" w:eastAsia="zh-CN" w:bidi="zh-CN"/>
        </w:rPr>
        <w:t>（3）土壤和地下水的监测指标、监测频次满足HJ1209-2021中“5.3监测指标与频次”的要求；</w:t>
      </w:r>
    </w:p>
    <w:p>
      <w:pPr>
        <w:spacing w:line="360" w:lineRule="auto"/>
        <w:ind w:firstLine="560" w:firstLineChars="200"/>
        <w:outlineLvl w:val="9"/>
        <w:rPr>
          <w:rFonts w:hint="eastAsia" w:ascii="宋体" w:hAnsi="宋体" w:eastAsia="宋体" w:cs="宋体"/>
          <w:color w:val="auto"/>
          <w:spacing w:val="0"/>
          <w:kern w:val="2"/>
          <w:sz w:val="28"/>
          <w:szCs w:val="28"/>
          <w:highlight w:val="none"/>
          <w:lang w:val="en-US" w:eastAsia="zh-CN" w:bidi="zh-CN"/>
        </w:rPr>
      </w:pPr>
      <w:r>
        <w:rPr>
          <w:rFonts w:hint="eastAsia" w:ascii="宋体" w:hAnsi="宋体" w:eastAsia="宋体" w:cs="宋体"/>
          <w:color w:val="auto"/>
          <w:spacing w:val="0"/>
          <w:kern w:val="2"/>
          <w:sz w:val="28"/>
          <w:szCs w:val="28"/>
          <w:highlight w:val="none"/>
          <w:lang w:val="en-US" w:eastAsia="zh-CN" w:bidi="zh-CN"/>
        </w:rPr>
        <w:t>（4）已核实土壤和地下水的监测点位具备采样条件。</w:t>
      </w:r>
    </w:p>
    <w:p>
      <w:pPr>
        <w:pStyle w:val="7"/>
        <w:outlineLvl w:val="9"/>
        <w:rPr>
          <w:rFonts w:hint="eastAsia" w:ascii="宋体" w:hAnsi="宋体" w:eastAsia="宋体" w:cs="宋体"/>
          <w:lang w:val="zh-CN" w:eastAsia="zh-CN"/>
        </w:rPr>
      </w:pPr>
    </w:p>
    <w:p>
      <w:pPr>
        <w:keepNext/>
        <w:keepLines/>
        <w:widowControl w:val="0"/>
        <w:numPr>
          <w:ilvl w:val="1"/>
          <w:numId w:val="1"/>
        </w:numPr>
        <w:bidi w:val="0"/>
        <w:spacing w:line="360" w:lineRule="auto"/>
        <w:ind w:firstLine="0" w:firstLineChars="0"/>
        <w:jc w:val="left"/>
        <w:outlineLvl w:val="1"/>
        <w:rPr>
          <w:rFonts w:hint="eastAsia" w:ascii="宋体" w:hAnsi="宋体" w:eastAsia="宋体" w:cs="宋体"/>
          <w:b/>
          <w:bCs/>
          <w:kern w:val="2"/>
          <w:sz w:val="28"/>
          <w:szCs w:val="32"/>
          <w:lang w:val="en-US" w:eastAsia="zh-CN" w:bidi="ar-SA"/>
        </w:rPr>
      </w:pPr>
      <w:bookmarkStart w:id="275" w:name="_Toc7375"/>
      <w:bookmarkStart w:id="276" w:name="_Toc28152"/>
      <w:bookmarkStart w:id="277" w:name="_Toc29355"/>
      <w:bookmarkStart w:id="278" w:name="_Toc27575"/>
      <w:bookmarkStart w:id="279" w:name="_Toc27607"/>
      <w:bookmarkStart w:id="280" w:name="_Toc6183"/>
      <w:r>
        <w:rPr>
          <w:rFonts w:hint="eastAsia" w:ascii="宋体" w:hAnsi="宋体" w:eastAsia="宋体" w:cs="宋体"/>
          <w:b/>
          <w:bCs/>
          <w:kern w:val="2"/>
          <w:sz w:val="28"/>
          <w:szCs w:val="32"/>
          <w:lang w:val="en-US" w:eastAsia="zh-CN" w:bidi="ar-SA"/>
        </w:rPr>
        <w:t>9.3样品采集、保存、流转、制备与分析的质量保证与控制</w:t>
      </w:r>
      <w:bookmarkEnd w:id="275"/>
      <w:bookmarkEnd w:id="276"/>
      <w:bookmarkEnd w:id="277"/>
      <w:bookmarkEnd w:id="278"/>
      <w:bookmarkEnd w:id="279"/>
      <w:bookmarkEnd w:id="280"/>
    </w:p>
    <w:p>
      <w:pPr>
        <w:keepNext/>
        <w:keepLines/>
        <w:widowControl w:val="0"/>
        <w:spacing w:line="360" w:lineRule="auto"/>
        <w:jc w:val="both"/>
        <w:outlineLvl w:val="2"/>
        <w:rPr>
          <w:rFonts w:hint="eastAsia" w:ascii="宋体" w:hAnsi="宋体" w:eastAsia="宋体" w:cs="宋体"/>
          <w:color w:val="auto"/>
          <w:kern w:val="2"/>
          <w:sz w:val="28"/>
          <w:szCs w:val="24"/>
          <w:highlight w:val="none"/>
          <w:lang w:val="en-US" w:eastAsia="zh-CN" w:bidi="ar-SA"/>
        </w:rPr>
      </w:pPr>
      <w:bookmarkStart w:id="281" w:name="_Toc11334"/>
      <w:bookmarkStart w:id="282" w:name="_Toc11242"/>
      <w:bookmarkStart w:id="283" w:name="_Toc19209"/>
      <w:bookmarkStart w:id="284" w:name="_Toc25326"/>
      <w:bookmarkStart w:id="285" w:name="_Toc107924599"/>
      <w:bookmarkStart w:id="286" w:name="_Toc23156"/>
      <w:r>
        <w:rPr>
          <w:rFonts w:hint="eastAsia" w:ascii="宋体" w:hAnsi="宋体" w:eastAsia="宋体" w:cs="宋体"/>
          <w:color w:val="auto"/>
          <w:kern w:val="2"/>
          <w:sz w:val="28"/>
          <w:szCs w:val="24"/>
          <w:highlight w:val="none"/>
          <w:lang w:val="en-US" w:eastAsia="zh-CN" w:bidi="ar-SA"/>
        </w:rPr>
        <w:t>9.3.1采样过程中的质量控制</w:t>
      </w:r>
      <w:bookmarkEnd w:id="281"/>
      <w:bookmarkEnd w:id="282"/>
      <w:bookmarkEnd w:id="283"/>
      <w:bookmarkEnd w:id="284"/>
      <w:bookmarkEnd w:id="285"/>
      <w:bookmarkEnd w:id="286"/>
    </w:p>
    <w:p>
      <w:pPr>
        <w:bidi w:val="0"/>
        <w:spacing w:line="360" w:lineRule="auto"/>
        <w:jc w:val="left"/>
        <w:outlineLvl w:val="3"/>
        <w:rPr>
          <w:rFonts w:hint="eastAsia" w:ascii="宋体" w:hAnsi="宋体" w:eastAsia="宋体" w:cs="宋体"/>
          <w:color w:val="auto"/>
          <w:sz w:val="28"/>
          <w:highlight w:val="none"/>
          <w:lang w:val="en-US" w:eastAsia="zh-CN"/>
        </w:rPr>
      </w:pPr>
      <w:r>
        <w:rPr>
          <w:rFonts w:hint="eastAsia" w:ascii="宋体" w:hAnsi="宋体" w:eastAsia="宋体" w:cs="宋体"/>
          <w:color w:val="auto"/>
          <w:sz w:val="28"/>
          <w:highlight w:val="none"/>
          <w:lang w:val="en-US" w:eastAsia="zh-CN"/>
        </w:rPr>
        <w:t>（1）采样前准备</w:t>
      </w:r>
    </w:p>
    <w:p>
      <w:pPr>
        <w:bidi w:val="0"/>
        <w:spacing w:line="360" w:lineRule="auto"/>
        <w:ind w:firstLine="560" w:firstLineChars="200"/>
        <w:jc w:val="left"/>
        <w:rPr>
          <w:rFonts w:hint="eastAsia" w:ascii="宋体" w:hAnsi="宋体" w:eastAsia="宋体" w:cs="宋体"/>
          <w:color w:val="auto"/>
          <w:sz w:val="28"/>
          <w:highlight w:val="none"/>
          <w:lang w:val="en-US" w:eastAsia="zh-CN"/>
        </w:rPr>
      </w:pPr>
      <w:r>
        <w:rPr>
          <w:rFonts w:hint="eastAsia" w:ascii="宋体" w:hAnsi="宋体" w:eastAsia="宋体" w:cs="宋体"/>
          <w:color w:val="auto"/>
          <w:sz w:val="28"/>
          <w:highlight w:val="none"/>
          <w:lang w:val="en-US" w:eastAsia="zh-CN"/>
        </w:rPr>
        <w:t>采样前组织操作培训，对采样操作规范、安全须知等进行充分交底，保证采样的规范与安全。根据需要按国家有关危险物质使用及健康安全等相关法规制订现场人员安全防护计划，并对相关人员进行必要的培训。</w:t>
      </w:r>
    </w:p>
    <w:p>
      <w:pPr>
        <w:bidi w:val="0"/>
        <w:spacing w:line="360" w:lineRule="auto"/>
        <w:ind w:firstLine="560" w:firstLineChars="200"/>
        <w:jc w:val="left"/>
        <w:rPr>
          <w:rFonts w:hint="eastAsia" w:ascii="宋体" w:hAnsi="宋体" w:eastAsia="宋体" w:cs="宋体"/>
          <w:color w:val="auto"/>
          <w:sz w:val="28"/>
          <w:highlight w:val="none"/>
          <w:lang w:val="en-US" w:eastAsia="zh-CN"/>
        </w:rPr>
      </w:pPr>
      <w:r>
        <w:rPr>
          <w:rFonts w:hint="eastAsia" w:ascii="宋体" w:hAnsi="宋体" w:eastAsia="宋体" w:cs="宋体"/>
          <w:color w:val="auto"/>
          <w:sz w:val="28"/>
          <w:highlight w:val="none"/>
          <w:lang w:val="en-US" w:eastAsia="zh-CN"/>
        </w:rPr>
        <w:t>采样人员通过岗前培训、持证上岗，掌握土壤采样技术和要求，熟悉采样器具的使用和样品的保存运输条件。</w:t>
      </w:r>
    </w:p>
    <w:p>
      <w:pPr>
        <w:bidi w:val="0"/>
        <w:spacing w:line="360" w:lineRule="auto"/>
        <w:ind w:firstLine="560" w:firstLineChars="200"/>
        <w:jc w:val="left"/>
        <w:rPr>
          <w:rFonts w:hint="eastAsia" w:ascii="宋体" w:hAnsi="宋体" w:eastAsia="宋体" w:cs="宋体"/>
          <w:color w:val="auto"/>
          <w:sz w:val="28"/>
          <w:highlight w:val="none"/>
          <w:lang w:val="en-US" w:eastAsia="zh-CN"/>
        </w:rPr>
      </w:pPr>
      <w:r>
        <w:rPr>
          <w:rFonts w:hint="eastAsia" w:ascii="宋体" w:hAnsi="宋体" w:eastAsia="宋体" w:cs="宋体"/>
          <w:color w:val="auto"/>
          <w:sz w:val="28"/>
          <w:highlight w:val="none"/>
          <w:lang w:val="en-US" w:eastAsia="zh-CN"/>
        </w:rPr>
        <w:t>现场人员按有关规定，使用个人防护装备，严格执行现场设备操作规范。根据采样方案，准备各种记录表单、必需的监控器材、足够的取样器材，并进行消毒或预先清洗。</w:t>
      </w:r>
    </w:p>
    <w:p>
      <w:pPr>
        <w:bidi w:val="0"/>
        <w:spacing w:line="360" w:lineRule="auto"/>
        <w:ind w:firstLine="560" w:firstLineChars="200"/>
        <w:jc w:val="left"/>
        <w:outlineLvl w:val="3"/>
        <w:rPr>
          <w:rFonts w:hint="eastAsia" w:ascii="宋体" w:hAnsi="宋体" w:eastAsia="宋体" w:cs="宋体"/>
          <w:color w:val="auto"/>
          <w:sz w:val="28"/>
          <w:highlight w:val="none"/>
          <w:lang w:val="en-US" w:eastAsia="zh-CN"/>
        </w:rPr>
      </w:pPr>
      <w:r>
        <w:rPr>
          <w:rFonts w:hint="eastAsia" w:ascii="宋体" w:hAnsi="宋体" w:eastAsia="宋体" w:cs="宋体"/>
          <w:color w:val="auto"/>
          <w:sz w:val="28"/>
          <w:highlight w:val="none"/>
          <w:lang w:val="en-US" w:eastAsia="zh-CN"/>
        </w:rPr>
        <w:t>（2）土壤样品采集质量控制</w:t>
      </w:r>
    </w:p>
    <w:p>
      <w:pPr>
        <w:bidi w:val="0"/>
        <w:spacing w:line="360" w:lineRule="auto"/>
        <w:ind w:firstLine="560" w:firstLineChars="200"/>
        <w:jc w:val="left"/>
        <w:rPr>
          <w:rFonts w:hint="eastAsia" w:ascii="宋体" w:hAnsi="宋体" w:eastAsia="宋体" w:cs="宋体"/>
          <w:color w:val="auto"/>
          <w:sz w:val="28"/>
          <w:highlight w:val="none"/>
          <w:lang w:val="en-US" w:eastAsia="zh-CN"/>
        </w:rPr>
      </w:pPr>
      <w:r>
        <w:rPr>
          <w:rFonts w:hint="eastAsia" w:ascii="宋体" w:hAnsi="宋体" w:eastAsia="宋体" w:cs="宋体"/>
          <w:color w:val="auto"/>
          <w:sz w:val="28"/>
          <w:highlight w:val="none"/>
          <w:lang w:val="en-US" w:eastAsia="zh-CN"/>
        </w:rPr>
        <w:t>土壤样品的采集按照《建设用地土壤污染风险管控和修复监测技术导则》（HJ25.2-2019）、《土壤环境监测技术规范》（HJ/T166-2004）等要求进行。</w:t>
      </w:r>
    </w:p>
    <w:p>
      <w:pPr>
        <w:bidi w:val="0"/>
        <w:spacing w:line="360" w:lineRule="auto"/>
        <w:ind w:firstLine="560" w:firstLineChars="200"/>
        <w:jc w:val="left"/>
        <w:rPr>
          <w:rFonts w:hint="eastAsia" w:ascii="宋体" w:hAnsi="宋体" w:eastAsia="宋体" w:cs="宋体"/>
          <w:color w:val="auto"/>
          <w:sz w:val="28"/>
          <w:highlight w:val="none"/>
          <w:lang w:val="en-US" w:eastAsia="zh-CN"/>
        </w:rPr>
      </w:pPr>
      <w:r>
        <w:rPr>
          <w:rFonts w:hint="eastAsia" w:ascii="宋体" w:hAnsi="宋体" w:eastAsia="宋体" w:cs="宋体"/>
          <w:color w:val="auto"/>
          <w:sz w:val="28"/>
          <w:highlight w:val="none"/>
          <w:lang w:val="en-US" w:eastAsia="zh-CN"/>
        </w:rPr>
        <w:t>①防止采样过程中的交叉污染：</w:t>
      </w:r>
    </w:p>
    <w:p>
      <w:pPr>
        <w:bidi w:val="0"/>
        <w:spacing w:line="360" w:lineRule="auto"/>
        <w:ind w:firstLine="560" w:firstLineChars="200"/>
        <w:jc w:val="left"/>
        <w:rPr>
          <w:rFonts w:hint="eastAsia" w:ascii="宋体" w:hAnsi="宋体" w:eastAsia="宋体" w:cs="宋体"/>
          <w:color w:val="auto"/>
          <w:sz w:val="28"/>
          <w:highlight w:val="none"/>
          <w:lang w:val="en-US" w:eastAsia="zh-CN"/>
        </w:rPr>
      </w:pPr>
      <w:r>
        <w:rPr>
          <w:rFonts w:hint="eastAsia" w:ascii="宋体" w:hAnsi="宋体" w:eastAsia="宋体" w:cs="宋体"/>
          <w:color w:val="auto"/>
          <w:sz w:val="28"/>
          <w:highlight w:val="none"/>
          <w:lang w:val="en-US" w:eastAsia="zh-CN"/>
        </w:rPr>
        <w:t>在两次钻孔之间，钻探设备进行清洗；同一钻孔在不同深度采样时，对钻探设备、取样装置也进行清洗；与土壤接触的其他采样工具重复使用时，进行清洗后使用。采样过程中佩戴有一次性手套，为避免不同样品之间的交叉污染，每采集一个样品都更换手套。每采完一次样，都将采样工具用自来水洗净后再用蒸馏水淋洗一遍。</w:t>
      </w:r>
    </w:p>
    <w:p>
      <w:pPr>
        <w:bidi w:val="0"/>
        <w:spacing w:line="360" w:lineRule="auto"/>
        <w:ind w:firstLine="560" w:firstLineChars="200"/>
        <w:jc w:val="left"/>
        <w:rPr>
          <w:rFonts w:hint="eastAsia" w:ascii="宋体" w:hAnsi="宋体" w:eastAsia="宋体" w:cs="宋体"/>
          <w:color w:val="auto"/>
          <w:sz w:val="28"/>
          <w:highlight w:val="none"/>
          <w:lang w:val="en-US" w:eastAsia="zh-CN"/>
        </w:rPr>
      </w:pPr>
      <w:r>
        <w:rPr>
          <w:rFonts w:hint="eastAsia" w:ascii="宋体" w:hAnsi="宋体" w:eastAsia="宋体" w:cs="宋体"/>
          <w:color w:val="auto"/>
          <w:sz w:val="28"/>
          <w:highlight w:val="none"/>
          <w:lang w:val="en-US" w:eastAsia="zh-CN"/>
        </w:rPr>
        <w:t>②防止采样的二次污染：</w:t>
      </w:r>
    </w:p>
    <w:p>
      <w:pPr>
        <w:bidi w:val="0"/>
        <w:spacing w:line="360" w:lineRule="auto"/>
        <w:ind w:firstLine="560" w:firstLineChars="200"/>
        <w:jc w:val="left"/>
        <w:rPr>
          <w:rFonts w:hint="eastAsia" w:ascii="宋体" w:hAnsi="宋体" w:eastAsia="宋体" w:cs="宋体"/>
          <w:color w:val="auto"/>
          <w:sz w:val="28"/>
          <w:highlight w:val="none"/>
          <w:lang w:val="en-US" w:eastAsia="zh-CN"/>
        </w:rPr>
      </w:pPr>
      <w:r>
        <w:rPr>
          <w:rFonts w:hint="eastAsia" w:ascii="宋体" w:hAnsi="宋体" w:eastAsia="宋体" w:cs="宋体"/>
          <w:color w:val="auto"/>
          <w:sz w:val="28"/>
          <w:highlight w:val="none"/>
          <w:lang w:val="en-US" w:eastAsia="zh-CN"/>
        </w:rPr>
        <w:t>每个采样点钻探结束后，都将所有剩余的废弃土覆盖塑料布保护，待土壤污染状况调查工作结束后，装入垃圾袋内，统一进行规范处置。</w:t>
      </w:r>
    </w:p>
    <w:p>
      <w:pPr>
        <w:bidi w:val="0"/>
        <w:spacing w:line="360" w:lineRule="auto"/>
        <w:ind w:firstLine="560" w:firstLineChars="200"/>
        <w:jc w:val="left"/>
        <w:rPr>
          <w:rFonts w:hint="eastAsia" w:ascii="宋体" w:hAnsi="宋体" w:eastAsia="宋体" w:cs="宋体"/>
          <w:color w:val="auto"/>
          <w:sz w:val="28"/>
          <w:highlight w:val="none"/>
          <w:lang w:val="en-US" w:eastAsia="zh-CN"/>
        </w:rPr>
      </w:pPr>
      <w:r>
        <w:rPr>
          <w:rFonts w:hint="eastAsia" w:ascii="宋体" w:hAnsi="宋体" w:eastAsia="宋体" w:cs="宋体"/>
          <w:color w:val="auto"/>
          <w:sz w:val="28"/>
          <w:highlight w:val="none"/>
          <w:lang w:val="en-US" w:eastAsia="zh-CN"/>
        </w:rPr>
        <w:t>③规范采样操作：</w:t>
      </w:r>
    </w:p>
    <w:p>
      <w:pPr>
        <w:bidi w:val="0"/>
        <w:spacing w:line="360" w:lineRule="auto"/>
        <w:ind w:firstLine="560" w:firstLineChars="200"/>
        <w:jc w:val="left"/>
        <w:rPr>
          <w:rFonts w:hint="eastAsia" w:ascii="宋体" w:hAnsi="宋体" w:eastAsia="宋体" w:cs="宋体"/>
          <w:color w:val="auto"/>
          <w:sz w:val="28"/>
          <w:highlight w:val="none"/>
          <w:lang w:val="en-US" w:eastAsia="zh-CN"/>
        </w:rPr>
      </w:pPr>
      <w:r>
        <w:rPr>
          <w:rFonts w:hint="eastAsia" w:ascii="宋体" w:hAnsi="宋体" w:eastAsia="宋体" w:cs="宋体"/>
          <w:color w:val="auto"/>
          <w:sz w:val="28"/>
          <w:highlight w:val="none"/>
          <w:lang w:val="en-US" w:eastAsia="zh-CN"/>
        </w:rPr>
        <w:t>土壤采样时优先采集挥发性有机物、半挥发性有机物、石油烃、六价铬样品，然后使用竹刀采集重金属及无机物等样品。首先竹刀刮除表层土壤，立即用非扰动取样器采集足量样品迅速推入40mL吹扫捕集瓶，然后使用竹刀采集半挥发性、重金属样品，半挥发性样品足量装入250ml棕色玻璃瓶，重金属样品置于自封袋中。挥发性有机物采集3个样品，其余采集1个样品，将同一取样深度不同类别样品再分别置于自封袋中保存。按照质量控制要求准备全程序空白样和运输空白样品。土壤样品采集完成后，在样品瓶上标明编号等采样信息，并做好现场记录。样品采集成功后，立即放入车载冰箱中，使样品保存在4℃以下冷藏运输。</w:t>
      </w:r>
    </w:p>
    <w:p>
      <w:pPr>
        <w:bidi w:val="0"/>
        <w:spacing w:line="360" w:lineRule="auto"/>
        <w:ind w:firstLine="560" w:firstLineChars="200"/>
        <w:jc w:val="left"/>
        <w:rPr>
          <w:rFonts w:hint="eastAsia" w:ascii="宋体" w:hAnsi="宋体" w:eastAsia="宋体" w:cs="宋体"/>
          <w:color w:val="auto"/>
          <w:sz w:val="28"/>
          <w:highlight w:val="none"/>
          <w:lang w:val="en-US" w:eastAsia="zh-CN"/>
        </w:rPr>
      </w:pPr>
      <w:r>
        <w:rPr>
          <w:rFonts w:hint="eastAsia" w:ascii="宋体" w:hAnsi="宋体" w:eastAsia="宋体" w:cs="宋体"/>
          <w:color w:val="auto"/>
          <w:sz w:val="28"/>
          <w:highlight w:val="none"/>
          <w:lang w:val="en-US" w:eastAsia="zh-CN"/>
        </w:rPr>
        <w:t>④采集记录填写：</w:t>
      </w:r>
    </w:p>
    <w:p>
      <w:pPr>
        <w:bidi w:val="0"/>
        <w:spacing w:line="360" w:lineRule="auto"/>
        <w:ind w:firstLine="560" w:firstLineChars="200"/>
        <w:jc w:val="left"/>
        <w:rPr>
          <w:rFonts w:hint="eastAsia" w:ascii="宋体" w:hAnsi="宋体" w:eastAsia="宋体" w:cs="宋体"/>
          <w:color w:val="auto"/>
          <w:sz w:val="28"/>
          <w:highlight w:val="none"/>
          <w:lang w:val="en-US" w:eastAsia="zh-CN"/>
        </w:rPr>
      </w:pPr>
      <w:r>
        <w:rPr>
          <w:rFonts w:hint="eastAsia" w:ascii="宋体" w:hAnsi="宋体" w:eastAsia="宋体" w:cs="宋体"/>
          <w:color w:val="auto"/>
          <w:sz w:val="28"/>
          <w:highlight w:val="none"/>
          <w:lang w:val="en-US" w:eastAsia="zh-CN"/>
        </w:rPr>
        <w:t>所有样品采集时，记录监测点位经纬度信息。每个样品采集结束时及时填写标签信息进行粘贴，采样结束后，逐项检查采样记录、样袋标签和样品。</w:t>
      </w:r>
    </w:p>
    <w:p>
      <w:pPr>
        <w:bidi w:val="0"/>
        <w:spacing w:line="360" w:lineRule="auto"/>
        <w:ind w:firstLine="560" w:firstLineChars="200"/>
        <w:jc w:val="left"/>
        <w:outlineLvl w:val="3"/>
        <w:rPr>
          <w:rFonts w:hint="eastAsia" w:ascii="宋体" w:hAnsi="宋体" w:eastAsia="宋体" w:cs="宋体"/>
          <w:color w:val="auto"/>
          <w:sz w:val="28"/>
          <w:highlight w:val="none"/>
          <w:lang w:val="en-US" w:eastAsia="zh-CN"/>
        </w:rPr>
      </w:pPr>
      <w:r>
        <w:rPr>
          <w:rFonts w:hint="eastAsia" w:ascii="宋体" w:hAnsi="宋体" w:eastAsia="宋体" w:cs="宋体"/>
          <w:color w:val="auto"/>
          <w:sz w:val="28"/>
          <w:highlight w:val="none"/>
          <w:lang w:val="en-US" w:eastAsia="zh-CN"/>
        </w:rPr>
        <w:t>（2）样品保存、流转过程中的质量控制</w:t>
      </w:r>
    </w:p>
    <w:p>
      <w:pPr>
        <w:bidi w:val="0"/>
        <w:spacing w:line="360" w:lineRule="auto"/>
        <w:ind w:firstLine="560" w:firstLineChars="200"/>
        <w:jc w:val="left"/>
        <w:rPr>
          <w:rFonts w:hint="eastAsia" w:ascii="宋体" w:hAnsi="宋体" w:eastAsia="宋体" w:cs="宋体"/>
          <w:color w:val="auto"/>
          <w:sz w:val="28"/>
          <w:highlight w:val="none"/>
          <w:lang w:val="en-US" w:eastAsia="zh-CN"/>
        </w:rPr>
      </w:pPr>
      <w:r>
        <w:rPr>
          <w:rFonts w:hint="eastAsia" w:ascii="宋体" w:hAnsi="宋体" w:eastAsia="宋体" w:cs="宋体"/>
          <w:color w:val="auto"/>
          <w:sz w:val="28"/>
          <w:highlight w:val="none"/>
          <w:lang w:val="en-US" w:eastAsia="zh-CN"/>
        </w:rPr>
        <w:t>对采集的所有样品，各组均在装运前安排人员进行点位复核，在采样现场逐件核对样品登记表、样品标签、采样记录核对无误后分类装箱。样品运输中严防样品损失、混淆和沾污，对样品避光外包装。</w:t>
      </w:r>
    </w:p>
    <w:p>
      <w:pPr>
        <w:bidi w:val="0"/>
        <w:spacing w:line="360" w:lineRule="auto"/>
        <w:ind w:firstLine="560" w:firstLineChars="200"/>
        <w:jc w:val="left"/>
        <w:rPr>
          <w:rFonts w:hint="eastAsia" w:ascii="宋体" w:hAnsi="宋体" w:eastAsia="宋体" w:cs="宋体"/>
          <w:color w:val="auto"/>
          <w:sz w:val="28"/>
          <w:highlight w:val="none"/>
          <w:lang w:val="en-US" w:eastAsia="zh-CN"/>
        </w:rPr>
      </w:pPr>
      <w:r>
        <w:rPr>
          <w:rFonts w:hint="eastAsia" w:ascii="宋体" w:hAnsi="宋体" w:eastAsia="宋体" w:cs="宋体"/>
          <w:color w:val="auto"/>
          <w:sz w:val="28"/>
          <w:highlight w:val="none"/>
          <w:lang w:val="en-US" w:eastAsia="zh-CN"/>
        </w:rPr>
        <w:t>采样小组于当天或第二天将样品全部送到实验室后，采样人员将填好的样品交接单，同样品一起交给实验室样品管理员进行核对，确定无误后在样品交接单上签字。该项目采样结束交接土壤样品。样品皆依据规范中“样品保存及质量保证”进行储存，土壤样品按功能区域分开存放。质控人员对样品标识、包装容器、样品状态、保存环境条件等监控进行监督检查。</w:t>
      </w:r>
    </w:p>
    <w:p>
      <w:pPr>
        <w:bidi w:val="0"/>
        <w:spacing w:line="360" w:lineRule="auto"/>
        <w:ind w:firstLine="560" w:firstLineChars="200"/>
        <w:jc w:val="left"/>
        <w:rPr>
          <w:rFonts w:hint="eastAsia" w:ascii="宋体" w:hAnsi="宋体" w:eastAsia="宋体" w:cs="宋体"/>
          <w:color w:val="auto"/>
          <w:sz w:val="28"/>
          <w:highlight w:val="none"/>
          <w:lang w:val="en-US" w:eastAsia="zh-CN"/>
        </w:rPr>
      </w:pPr>
      <w:r>
        <w:rPr>
          <w:rFonts w:hint="eastAsia" w:ascii="宋体" w:hAnsi="宋体" w:eastAsia="宋体" w:cs="宋体"/>
          <w:color w:val="auto"/>
          <w:sz w:val="28"/>
          <w:highlight w:val="none"/>
          <w:lang w:val="en-US" w:eastAsia="zh-CN"/>
        </w:rPr>
        <w:t>样品采集当天不能将样品运送至实验室进行检测，样品需用车载冰箱、冷藏柜等设备低温保存，冷藏柜、车载冰箱温度调至4℃以下。</w:t>
      </w:r>
    </w:p>
    <w:p>
      <w:pPr>
        <w:bidi w:val="0"/>
        <w:spacing w:line="360" w:lineRule="auto"/>
        <w:jc w:val="left"/>
        <w:outlineLvl w:val="2"/>
        <w:rPr>
          <w:rFonts w:hint="eastAsia" w:ascii="宋体" w:hAnsi="宋体" w:eastAsia="宋体" w:cs="宋体"/>
          <w:b/>
          <w:bCs/>
          <w:color w:val="auto"/>
          <w:sz w:val="28"/>
          <w:highlight w:val="none"/>
          <w:lang w:val="en-US" w:eastAsia="zh-CN"/>
        </w:rPr>
      </w:pPr>
      <w:bookmarkStart w:id="287" w:name="_Toc107924600"/>
      <w:r>
        <w:rPr>
          <w:rFonts w:hint="eastAsia" w:ascii="宋体" w:hAnsi="宋体" w:eastAsia="宋体" w:cs="宋体"/>
          <w:b/>
          <w:bCs/>
          <w:color w:val="auto"/>
          <w:sz w:val="28"/>
          <w:highlight w:val="none"/>
          <w:lang w:val="en-US" w:eastAsia="zh-CN"/>
        </w:rPr>
        <w:t>9.3.2实验室检测过程中的质量保证和质量控制</w:t>
      </w:r>
      <w:bookmarkEnd w:id="287"/>
    </w:p>
    <w:p>
      <w:pPr>
        <w:bidi w:val="0"/>
        <w:spacing w:line="360" w:lineRule="auto"/>
        <w:ind w:firstLine="560" w:firstLineChars="200"/>
        <w:jc w:val="left"/>
        <w:rPr>
          <w:rFonts w:hint="eastAsia" w:ascii="宋体" w:hAnsi="宋体" w:eastAsia="宋体" w:cs="宋体"/>
          <w:color w:val="auto"/>
          <w:sz w:val="28"/>
          <w:highlight w:val="none"/>
          <w:lang w:val="en-US" w:eastAsia="zh-CN"/>
        </w:rPr>
      </w:pPr>
      <w:r>
        <w:rPr>
          <w:rFonts w:hint="eastAsia" w:ascii="宋体" w:hAnsi="宋体" w:eastAsia="宋体" w:cs="宋体"/>
          <w:color w:val="auto"/>
          <w:sz w:val="28"/>
          <w:highlight w:val="none"/>
          <w:lang w:val="en-US" w:eastAsia="zh-CN"/>
        </w:rPr>
        <w:t>本次调查实验室检测工作严格按照规范落实质量保证和质量控制措施，确保获取的样品与取得的检测数据真实可信。</w:t>
      </w:r>
    </w:p>
    <w:p>
      <w:pPr>
        <w:bidi w:val="0"/>
        <w:spacing w:line="360" w:lineRule="auto"/>
        <w:ind w:firstLine="560" w:firstLineChars="200"/>
        <w:jc w:val="left"/>
        <w:rPr>
          <w:rFonts w:hint="eastAsia" w:ascii="宋体" w:hAnsi="宋体" w:eastAsia="宋体" w:cs="宋体"/>
          <w:color w:val="auto"/>
          <w:sz w:val="28"/>
          <w:highlight w:val="none"/>
          <w:lang w:val="en-US" w:eastAsia="zh-CN"/>
        </w:rPr>
      </w:pPr>
      <w:r>
        <w:rPr>
          <w:rFonts w:hint="eastAsia" w:ascii="宋体" w:hAnsi="宋体" w:eastAsia="宋体" w:cs="宋体"/>
          <w:color w:val="auto"/>
          <w:sz w:val="28"/>
          <w:highlight w:val="none"/>
          <w:lang w:val="en-US" w:eastAsia="zh-CN"/>
        </w:rPr>
        <w:t>实验室分析检测使用内、外部质量控制结合的质控手段以保证数据结果的准确度，主要包括空白、平行、加标、质控样分析的内部质控方式和采集密码平行样的外部质控方式。</w:t>
      </w:r>
    </w:p>
    <w:p>
      <w:pPr>
        <w:bidi w:val="0"/>
        <w:spacing w:line="360" w:lineRule="auto"/>
        <w:ind w:firstLine="560" w:firstLineChars="200"/>
        <w:jc w:val="left"/>
        <w:rPr>
          <w:rFonts w:hint="eastAsia" w:ascii="宋体" w:hAnsi="宋体" w:eastAsia="宋体" w:cs="宋体"/>
          <w:color w:val="auto"/>
          <w:sz w:val="28"/>
          <w:highlight w:val="none"/>
          <w:lang w:val="en-US" w:eastAsia="zh-CN"/>
        </w:rPr>
      </w:pPr>
      <w:r>
        <w:rPr>
          <w:rFonts w:hint="eastAsia" w:ascii="宋体" w:hAnsi="宋体" w:eastAsia="宋体" w:cs="宋体"/>
          <w:color w:val="auto"/>
          <w:sz w:val="28"/>
          <w:highlight w:val="none"/>
          <w:lang w:val="en-US" w:eastAsia="zh-CN"/>
        </w:rPr>
        <w:t>（1）实验室检测人员均经过培训，持证上岗，具有扎实的专业理论知识及丰富的实际操作经验。</w:t>
      </w:r>
    </w:p>
    <w:p>
      <w:pPr>
        <w:bidi w:val="0"/>
        <w:spacing w:line="360" w:lineRule="auto"/>
        <w:ind w:firstLine="560" w:firstLineChars="200"/>
        <w:jc w:val="left"/>
        <w:outlineLvl w:val="3"/>
        <w:rPr>
          <w:rFonts w:hint="eastAsia" w:ascii="宋体" w:hAnsi="宋体" w:eastAsia="宋体" w:cs="宋体"/>
          <w:color w:val="auto"/>
          <w:sz w:val="28"/>
          <w:highlight w:val="none"/>
          <w:lang w:val="en-US" w:eastAsia="zh-CN"/>
        </w:rPr>
      </w:pPr>
      <w:r>
        <w:rPr>
          <w:rFonts w:hint="eastAsia" w:ascii="宋体" w:hAnsi="宋体" w:eastAsia="宋体" w:cs="宋体"/>
          <w:color w:val="auto"/>
          <w:sz w:val="28"/>
          <w:highlight w:val="none"/>
          <w:lang w:val="en-US" w:eastAsia="zh-CN"/>
        </w:rPr>
        <w:t>（2）实验室仪器设备、标准物质等控制</w:t>
      </w:r>
    </w:p>
    <w:p>
      <w:pPr>
        <w:bidi w:val="0"/>
        <w:spacing w:line="360" w:lineRule="auto"/>
        <w:ind w:firstLine="560" w:firstLineChars="200"/>
        <w:jc w:val="left"/>
        <w:rPr>
          <w:rFonts w:hint="eastAsia" w:ascii="宋体" w:hAnsi="宋体" w:eastAsia="宋体" w:cs="宋体"/>
          <w:color w:val="auto"/>
          <w:sz w:val="28"/>
          <w:highlight w:val="none"/>
          <w:lang w:val="en-US" w:eastAsia="zh-CN"/>
        </w:rPr>
      </w:pPr>
      <w:r>
        <w:rPr>
          <w:rFonts w:hint="eastAsia" w:ascii="宋体" w:hAnsi="宋体" w:eastAsia="宋体" w:cs="宋体"/>
          <w:color w:val="auto"/>
          <w:sz w:val="28"/>
          <w:highlight w:val="none"/>
          <w:lang w:val="en-US" w:eastAsia="zh-CN"/>
        </w:rPr>
        <w:t>公司质控人员对仪器设备、标准物质、实验用水、仪器检出限和精密度、校准曲线、实验准备等方面内容进行逐条检查。具体检查结果如下：</w:t>
      </w:r>
    </w:p>
    <w:p>
      <w:pPr>
        <w:bidi w:val="0"/>
        <w:spacing w:line="360" w:lineRule="auto"/>
        <w:ind w:firstLine="560" w:firstLineChars="200"/>
        <w:jc w:val="left"/>
        <w:rPr>
          <w:rFonts w:hint="eastAsia" w:ascii="宋体" w:hAnsi="宋体" w:eastAsia="宋体" w:cs="宋体"/>
          <w:color w:val="auto"/>
          <w:sz w:val="28"/>
          <w:highlight w:val="none"/>
          <w:lang w:val="en-US" w:eastAsia="zh-CN"/>
        </w:rPr>
      </w:pPr>
      <w:r>
        <w:rPr>
          <w:rFonts w:hint="eastAsia" w:ascii="宋体" w:hAnsi="宋体" w:eastAsia="宋体" w:cs="宋体"/>
          <w:color w:val="auto"/>
          <w:sz w:val="28"/>
          <w:highlight w:val="none"/>
          <w:lang w:val="en-US" w:eastAsia="zh-CN"/>
        </w:rPr>
        <w:t>①项目所用的气相色谱质谱联用仪、气相色谱仪、原子荧光、原子吸收、电感耦合等离子体发射质谱仪等仪器设备和天平、容量瓶、吸液管等计量器具均检定合格、在有效期内；性能、量程、精度满足方法要求。</w:t>
      </w:r>
    </w:p>
    <w:p>
      <w:pPr>
        <w:bidi w:val="0"/>
        <w:spacing w:line="360" w:lineRule="auto"/>
        <w:ind w:firstLine="560" w:firstLineChars="200"/>
        <w:jc w:val="left"/>
        <w:rPr>
          <w:rFonts w:hint="eastAsia" w:ascii="宋体" w:hAnsi="宋体" w:eastAsia="宋体" w:cs="宋体"/>
          <w:color w:val="auto"/>
          <w:sz w:val="28"/>
          <w:highlight w:val="none"/>
          <w:lang w:val="en-US" w:eastAsia="zh-CN"/>
        </w:rPr>
      </w:pPr>
      <w:r>
        <w:rPr>
          <w:rFonts w:hint="eastAsia" w:ascii="宋体" w:hAnsi="宋体" w:eastAsia="宋体" w:cs="宋体"/>
          <w:color w:val="auto"/>
          <w:sz w:val="28"/>
          <w:highlight w:val="none"/>
          <w:lang w:val="en-US" w:eastAsia="zh-CN"/>
        </w:rPr>
        <w:t>②实验室使用的标准溶液、质控样品均是国家有证标准物质，且在有效期内。</w:t>
      </w:r>
    </w:p>
    <w:p>
      <w:pPr>
        <w:bidi w:val="0"/>
        <w:spacing w:line="360" w:lineRule="auto"/>
        <w:ind w:firstLine="560" w:firstLineChars="200"/>
        <w:jc w:val="left"/>
        <w:rPr>
          <w:rFonts w:hint="eastAsia" w:ascii="宋体" w:hAnsi="宋体" w:eastAsia="宋体" w:cs="宋体"/>
          <w:color w:val="auto"/>
          <w:sz w:val="28"/>
          <w:highlight w:val="none"/>
          <w:lang w:val="en-US" w:eastAsia="zh-CN"/>
        </w:rPr>
      </w:pPr>
      <w:r>
        <w:rPr>
          <w:rFonts w:hint="eastAsia" w:ascii="宋体" w:hAnsi="宋体" w:eastAsia="宋体" w:cs="宋体"/>
          <w:color w:val="auto"/>
          <w:sz w:val="28"/>
          <w:highlight w:val="none"/>
          <w:lang w:val="en-US" w:eastAsia="zh-CN"/>
        </w:rPr>
        <w:t>③实验用水实时监测，电阻率≥18.2MΩ•cm（25℃），符合要求。</w:t>
      </w:r>
    </w:p>
    <w:p>
      <w:pPr>
        <w:bidi w:val="0"/>
        <w:spacing w:line="360" w:lineRule="auto"/>
        <w:ind w:firstLine="560" w:firstLineChars="200"/>
        <w:jc w:val="left"/>
        <w:rPr>
          <w:rFonts w:hint="eastAsia" w:ascii="宋体" w:hAnsi="宋体" w:eastAsia="宋体" w:cs="宋体"/>
          <w:color w:val="auto"/>
          <w:sz w:val="28"/>
          <w:highlight w:val="none"/>
          <w:lang w:val="en-US" w:eastAsia="zh-CN"/>
        </w:rPr>
      </w:pPr>
      <w:r>
        <w:rPr>
          <w:rFonts w:hint="eastAsia" w:ascii="宋体" w:hAnsi="宋体" w:eastAsia="宋体" w:cs="宋体"/>
          <w:color w:val="auto"/>
          <w:sz w:val="28"/>
          <w:highlight w:val="none"/>
          <w:lang w:val="en-US" w:eastAsia="zh-CN"/>
        </w:rPr>
        <w:t>④金属项目检测使用优级纯试剂，有机项目检测使用色谱级及农残级试剂，所有试剂采购回来均经验收合格后方能使用，符合要求。</w:t>
      </w:r>
    </w:p>
    <w:p>
      <w:pPr>
        <w:bidi w:val="0"/>
        <w:spacing w:line="360" w:lineRule="auto"/>
        <w:ind w:firstLine="560" w:firstLineChars="200"/>
        <w:jc w:val="left"/>
        <w:rPr>
          <w:rFonts w:hint="eastAsia" w:ascii="宋体" w:hAnsi="宋体" w:eastAsia="宋体" w:cs="宋体"/>
          <w:color w:val="auto"/>
          <w:sz w:val="28"/>
          <w:highlight w:val="none"/>
          <w:lang w:val="en-US" w:eastAsia="zh-CN"/>
        </w:rPr>
      </w:pPr>
      <w:r>
        <w:rPr>
          <w:rFonts w:hint="eastAsia" w:ascii="宋体" w:hAnsi="宋体" w:eastAsia="宋体" w:cs="宋体"/>
          <w:color w:val="auto"/>
          <w:sz w:val="28"/>
          <w:highlight w:val="none"/>
          <w:lang w:val="en-US" w:eastAsia="zh-CN"/>
        </w:rPr>
        <w:t>⑤实验器具根据标准要求使用不同清洗剂及清洗方式进行清洗。</w:t>
      </w:r>
    </w:p>
    <w:p>
      <w:pPr>
        <w:bidi w:val="0"/>
        <w:spacing w:line="360" w:lineRule="auto"/>
        <w:ind w:firstLine="560" w:firstLineChars="200"/>
        <w:jc w:val="left"/>
        <w:outlineLvl w:val="3"/>
        <w:rPr>
          <w:rFonts w:hint="eastAsia" w:ascii="宋体" w:hAnsi="宋体" w:eastAsia="宋体" w:cs="宋体"/>
          <w:color w:val="auto"/>
          <w:sz w:val="28"/>
          <w:highlight w:val="none"/>
          <w:lang w:val="en-US" w:eastAsia="zh-CN"/>
        </w:rPr>
      </w:pPr>
      <w:r>
        <w:rPr>
          <w:rFonts w:hint="eastAsia" w:ascii="宋体" w:hAnsi="宋体" w:eastAsia="宋体" w:cs="宋体"/>
          <w:color w:val="auto"/>
          <w:sz w:val="28"/>
          <w:highlight w:val="none"/>
          <w:lang w:val="en-US" w:eastAsia="zh-CN"/>
        </w:rPr>
        <w:t>（3）内部和外部质量控制</w:t>
      </w:r>
    </w:p>
    <w:p>
      <w:pPr>
        <w:bidi w:val="0"/>
        <w:spacing w:line="360" w:lineRule="auto"/>
        <w:ind w:firstLine="560" w:firstLineChars="200"/>
        <w:jc w:val="left"/>
        <w:rPr>
          <w:rFonts w:hint="eastAsia" w:ascii="宋体" w:hAnsi="宋体" w:eastAsia="宋体" w:cs="宋体"/>
          <w:color w:val="auto"/>
          <w:sz w:val="28"/>
          <w:highlight w:val="none"/>
          <w:lang w:val="en-US" w:eastAsia="zh-CN"/>
        </w:rPr>
      </w:pPr>
      <w:r>
        <w:rPr>
          <w:rFonts w:hint="eastAsia" w:ascii="宋体" w:hAnsi="宋体" w:eastAsia="宋体" w:cs="宋体"/>
          <w:color w:val="auto"/>
          <w:sz w:val="28"/>
          <w:highlight w:val="none"/>
          <w:lang w:val="en-US" w:eastAsia="zh-CN"/>
        </w:rPr>
        <w:t>①空白试验</w:t>
      </w:r>
    </w:p>
    <w:p>
      <w:pPr>
        <w:bidi w:val="0"/>
        <w:spacing w:line="360" w:lineRule="auto"/>
        <w:ind w:firstLine="560" w:firstLineChars="200"/>
        <w:jc w:val="left"/>
        <w:rPr>
          <w:rFonts w:hint="eastAsia" w:ascii="宋体" w:hAnsi="宋体" w:eastAsia="宋体" w:cs="宋体"/>
          <w:color w:val="auto"/>
          <w:sz w:val="28"/>
          <w:highlight w:val="none"/>
          <w:lang w:val="en-US" w:eastAsia="zh-CN"/>
        </w:rPr>
      </w:pPr>
      <w:r>
        <w:rPr>
          <w:rFonts w:hint="eastAsia" w:ascii="宋体" w:hAnsi="宋体" w:eastAsia="宋体" w:cs="宋体"/>
          <w:color w:val="auto"/>
          <w:sz w:val="28"/>
          <w:highlight w:val="none"/>
          <w:lang w:val="en-US" w:eastAsia="zh-CN"/>
        </w:rPr>
        <w:t>检查每个检测项目的全程序空白、运输空白及试剂空白分析结果，审核实验试剂、材料及实验过程，均不对实验结果产生干扰，本批样共采集土壤和样品，设置1个全程序空白，1个运输空白。</w:t>
      </w:r>
    </w:p>
    <w:p>
      <w:pPr>
        <w:bidi w:val="0"/>
        <w:spacing w:line="360" w:lineRule="auto"/>
        <w:ind w:firstLine="560" w:firstLineChars="200"/>
        <w:jc w:val="left"/>
        <w:rPr>
          <w:rFonts w:hint="eastAsia" w:ascii="宋体" w:hAnsi="宋体" w:eastAsia="宋体" w:cs="宋体"/>
          <w:color w:val="auto"/>
          <w:sz w:val="28"/>
          <w:highlight w:val="none"/>
          <w:lang w:val="en-US" w:eastAsia="zh-CN"/>
        </w:rPr>
      </w:pPr>
      <w:r>
        <w:rPr>
          <w:rFonts w:hint="eastAsia" w:ascii="宋体" w:hAnsi="宋体" w:eastAsia="宋体" w:cs="宋体"/>
          <w:color w:val="auto"/>
          <w:sz w:val="28"/>
          <w:highlight w:val="none"/>
          <w:lang w:val="en-US" w:eastAsia="zh-CN"/>
        </w:rPr>
        <w:t>②精密度控制</w:t>
      </w:r>
    </w:p>
    <w:p>
      <w:pPr>
        <w:bidi w:val="0"/>
        <w:spacing w:line="360" w:lineRule="auto"/>
        <w:ind w:firstLine="560" w:firstLineChars="200"/>
        <w:jc w:val="left"/>
        <w:rPr>
          <w:rFonts w:hint="eastAsia" w:ascii="宋体" w:hAnsi="宋体" w:eastAsia="宋体" w:cs="宋体"/>
          <w:color w:val="auto"/>
          <w:sz w:val="28"/>
          <w:highlight w:val="none"/>
          <w:lang w:val="en-US" w:eastAsia="zh-CN"/>
        </w:rPr>
      </w:pPr>
      <w:r>
        <w:rPr>
          <w:rFonts w:hint="eastAsia" w:ascii="宋体" w:hAnsi="宋体" w:eastAsia="宋体" w:cs="宋体"/>
          <w:color w:val="auto"/>
          <w:sz w:val="28"/>
          <w:highlight w:val="none"/>
          <w:lang w:val="en-US" w:eastAsia="zh-CN"/>
        </w:rPr>
        <w:t>样品检测项目检测时按照标准要求进行平行样分析，共设置1个平行样，质控结果应符合标准《土壤环境监测技术规范》（HJ/T166-2004）、《地下水环境监测技术规范》（HJ/T164-2020）和各项目国家标准中要求各项目国家标准中要求。</w:t>
      </w:r>
    </w:p>
    <w:p>
      <w:pPr>
        <w:bidi w:val="0"/>
        <w:spacing w:line="360" w:lineRule="auto"/>
        <w:ind w:firstLine="560" w:firstLineChars="200"/>
        <w:jc w:val="left"/>
        <w:rPr>
          <w:rFonts w:hint="eastAsia" w:ascii="宋体" w:hAnsi="宋体" w:eastAsia="宋体" w:cs="宋体"/>
          <w:color w:val="auto"/>
          <w:sz w:val="28"/>
          <w:highlight w:val="none"/>
          <w:lang w:val="en-US" w:eastAsia="zh-CN"/>
        </w:rPr>
      </w:pPr>
      <w:r>
        <w:rPr>
          <w:rFonts w:hint="eastAsia" w:ascii="宋体" w:hAnsi="宋体" w:eastAsia="宋体" w:cs="宋体"/>
          <w:color w:val="auto"/>
          <w:sz w:val="28"/>
          <w:highlight w:val="none"/>
          <w:lang w:val="en-US" w:eastAsia="zh-CN"/>
        </w:rPr>
        <w:t>③准确度控制</w:t>
      </w:r>
    </w:p>
    <w:p>
      <w:pPr>
        <w:bidi w:val="0"/>
        <w:spacing w:line="360" w:lineRule="auto"/>
        <w:ind w:firstLine="560" w:firstLineChars="200"/>
        <w:jc w:val="left"/>
        <w:rPr>
          <w:rFonts w:hint="eastAsia" w:ascii="宋体" w:hAnsi="宋体" w:eastAsia="宋体" w:cs="宋体"/>
          <w:color w:val="auto"/>
          <w:sz w:val="28"/>
          <w:highlight w:val="none"/>
          <w:lang w:val="en-US" w:eastAsia="zh-CN"/>
        </w:rPr>
      </w:pPr>
      <w:r>
        <w:rPr>
          <w:rFonts w:hint="eastAsia" w:ascii="宋体" w:hAnsi="宋体" w:eastAsia="宋体" w:cs="宋体"/>
          <w:color w:val="auto"/>
          <w:sz w:val="28"/>
          <w:highlight w:val="none"/>
          <w:lang w:val="en-US" w:eastAsia="zh-CN"/>
        </w:rPr>
        <w:t>通过检测标准质控物质及样品加标回收率来检查测定准确度，对部分因子进行质控样分析，质控样检测结果应显示合格，实验室准确度结果应符合标准《土壤环境监测技术规范》（HJ/T166-2004）《地下水环境监测技术规范》（HJ/T164-2020）和各项目国家标准中要求。</w:t>
      </w:r>
    </w:p>
    <w:p>
      <w:pPr>
        <w:bidi w:val="0"/>
        <w:spacing w:line="360" w:lineRule="auto"/>
        <w:ind w:firstLine="560" w:firstLineChars="200"/>
        <w:jc w:val="left"/>
        <w:rPr>
          <w:rFonts w:hint="eastAsia" w:ascii="宋体" w:hAnsi="宋体" w:eastAsia="宋体" w:cs="宋体"/>
          <w:color w:val="auto"/>
          <w:sz w:val="28"/>
          <w:highlight w:val="none"/>
          <w:lang w:val="en-US" w:eastAsia="zh-CN"/>
        </w:rPr>
      </w:pPr>
      <w:r>
        <w:rPr>
          <w:rFonts w:hint="eastAsia" w:ascii="宋体" w:hAnsi="宋体" w:eastAsia="宋体" w:cs="宋体"/>
          <w:color w:val="auto"/>
          <w:sz w:val="28"/>
          <w:highlight w:val="none"/>
          <w:lang w:val="en-US" w:eastAsia="zh-CN"/>
        </w:rPr>
        <w:t>④外部质量控制</w:t>
      </w:r>
    </w:p>
    <w:p>
      <w:pPr>
        <w:bidi w:val="0"/>
        <w:spacing w:line="360" w:lineRule="auto"/>
        <w:ind w:firstLine="560" w:firstLineChars="200"/>
        <w:jc w:val="left"/>
        <w:rPr>
          <w:rFonts w:hint="eastAsia" w:ascii="宋体" w:hAnsi="宋体" w:eastAsia="宋体" w:cs="宋体"/>
          <w:color w:val="auto"/>
          <w:sz w:val="28"/>
          <w:highlight w:val="none"/>
          <w:lang w:val="en-US" w:eastAsia="zh-CN"/>
        </w:rPr>
      </w:pPr>
      <w:r>
        <w:rPr>
          <w:rFonts w:hint="eastAsia" w:ascii="宋体" w:hAnsi="宋体" w:eastAsia="宋体" w:cs="宋体"/>
          <w:color w:val="auto"/>
          <w:sz w:val="28"/>
          <w:highlight w:val="none"/>
          <w:lang w:val="en-US" w:eastAsia="zh-CN"/>
        </w:rPr>
        <w:t>本次实验室分析的质量控制包括实验室内部明码平行、样品加标、质控标准样分析。</w:t>
      </w:r>
    </w:p>
    <w:p>
      <w:pPr>
        <w:bidi w:val="0"/>
        <w:spacing w:line="360" w:lineRule="auto"/>
        <w:ind w:firstLine="560" w:firstLineChars="200"/>
        <w:jc w:val="left"/>
        <w:outlineLvl w:val="3"/>
        <w:rPr>
          <w:rFonts w:hint="eastAsia" w:ascii="宋体" w:hAnsi="宋体" w:eastAsia="宋体" w:cs="宋体"/>
          <w:color w:val="auto"/>
          <w:sz w:val="28"/>
          <w:highlight w:val="none"/>
          <w:lang w:val="en-US" w:eastAsia="zh-CN"/>
        </w:rPr>
      </w:pPr>
      <w:r>
        <w:rPr>
          <w:rFonts w:hint="eastAsia" w:ascii="宋体" w:hAnsi="宋体" w:eastAsia="宋体" w:cs="宋体"/>
          <w:color w:val="auto"/>
          <w:sz w:val="28"/>
          <w:highlight w:val="none"/>
          <w:lang w:val="en-US" w:eastAsia="zh-CN"/>
        </w:rPr>
        <w:t>（4）数据分析及结果报告</w:t>
      </w:r>
    </w:p>
    <w:p>
      <w:pPr>
        <w:bidi w:val="0"/>
        <w:spacing w:line="360" w:lineRule="auto"/>
        <w:ind w:firstLine="560" w:firstLineChars="200"/>
        <w:jc w:val="left"/>
        <w:rPr>
          <w:rFonts w:hint="eastAsia" w:ascii="宋体" w:hAnsi="宋体" w:eastAsia="宋体" w:cs="宋体"/>
          <w:color w:val="auto"/>
          <w:sz w:val="28"/>
          <w:highlight w:val="none"/>
          <w:lang w:val="en-US" w:eastAsia="zh-CN"/>
        </w:rPr>
      </w:pPr>
      <w:r>
        <w:rPr>
          <w:rFonts w:hint="eastAsia" w:ascii="宋体" w:hAnsi="宋体" w:eastAsia="宋体" w:cs="宋体"/>
          <w:color w:val="auto"/>
          <w:sz w:val="28"/>
          <w:highlight w:val="none"/>
          <w:lang w:val="en-US" w:eastAsia="zh-CN"/>
        </w:rPr>
        <w:t>公司质量保证室检查了原始记录、仪器使用记录和溶液配制记录等，实验室分析人员的全程操作均符合要求。核查了原始记录与检测报告中数据的一致性，结果显示，分析测试报告均完整无误。此批次样品所涉及的所有实验记录、原始数据及相关档案严格按照公司质量体系程序文件中的规定执行。</w:t>
      </w:r>
    </w:p>
    <w:p>
      <w:pPr>
        <w:bidi w:val="0"/>
        <w:spacing w:line="360" w:lineRule="auto"/>
        <w:ind w:firstLine="560" w:firstLineChars="200"/>
        <w:jc w:val="left"/>
        <w:outlineLvl w:val="3"/>
        <w:rPr>
          <w:rFonts w:hint="eastAsia" w:ascii="宋体" w:hAnsi="宋体" w:eastAsia="宋体" w:cs="宋体"/>
          <w:color w:val="auto"/>
          <w:sz w:val="28"/>
          <w:highlight w:val="none"/>
          <w:lang w:val="en-US" w:eastAsia="zh-CN"/>
        </w:rPr>
      </w:pPr>
      <w:r>
        <w:rPr>
          <w:rFonts w:hint="eastAsia" w:ascii="宋体" w:hAnsi="宋体" w:eastAsia="宋体" w:cs="宋体"/>
          <w:color w:val="auto"/>
          <w:sz w:val="28"/>
          <w:highlight w:val="none"/>
          <w:lang w:val="en-US" w:eastAsia="zh-CN"/>
        </w:rPr>
        <w:t>（5）检测过程质量保证</w:t>
      </w:r>
    </w:p>
    <w:p>
      <w:pPr>
        <w:bidi w:val="0"/>
        <w:spacing w:line="360" w:lineRule="auto"/>
        <w:ind w:firstLine="560" w:firstLineChars="200"/>
        <w:jc w:val="left"/>
        <w:rPr>
          <w:rFonts w:hint="eastAsia" w:ascii="宋体" w:hAnsi="宋体" w:eastAsia="宋体" w:cs="宋体"/>
          <w:color w:val="auto"/>
          <w:sz w:val="28"/>
          <w:highlight w:val="none"/>
          <w:lang w:val="en-US" w:eastAsia="zh-CN"/>
        </w:rPr>
      </w:pPr>
      <w:r>
        <w:rPr>
          <w:rFonts w:hint="eastAsia" w:ascii="宋体" w:hAnsi="宋体" w:eastAsia="宋体" w:cs="宋体"/>
          <w:color w:val="auto"/>
          <w:sz w:val="28"/>
          <w:highlight w:val="none"/>
          <w:lang w:val="en-US" w:eastAsia="zh-CN"/>
        </w:rPr>
        <w:t>①实验室检测项目各样品检测均严格按照规定的检测标准方法进行检测。</w:t>
      </w:r>
    </w:p>
    <w:p>
      <w:pPr>
        <w:bidi w:val="0"/>
        <w:spacing w:line="360" w:lineRule="auto"/>
        <w:ind w:firstLine="560" w:firstLineChars="200"/>
        <w:jc w:val="left"/>
        <w:rPr>
          <w:rFonts w:hint="eastAsia" w:ascii="宋体" w:hAnsi="宋体" w:eastAsia="宋体" w:cs="宋体"/>
          <w:color w:val="auto"/>
          <w:sz w:val="28"/>
          <w:highlight w:val="none"/>
          <w:lang w:val="en-US" w:eastAsia="zh-CN"/>
        </w:rPr>
      </w:pPr>
      <w:r>
        <w:rPr>
          <w:rFonts w:hint="eastAsia" w:ascii="宋体" w:hAnsi="宋体" w:eastAsia="宋体" w:cs="宋体"/>
          <w:color w:val="auto"/>
          <w:sz w:val="28"/>
          <w:highlight w:val="none"/>
          <w:lang w:val="en-US" w:eastAsia="zh-CN"/>
        </w:rPr>
        <w:t>②在各检测指标中，在使用标准物质进行校准曲线或标准检查点测试时，获得校准曲线或标准检查点结果应符合检测结果验收标准中的相关规定。</w:t>
      </w:r>
    </w:p>
    <w:p>
      <w:pPr>
        <w:bidi w:val="0"/>
        <w:spacing w:line="360" w:lineRule="auto"/>
        <w:ind w:firstLine="560" w:firstLineChars="200"/>
        <w:jc w:val="left"/>
        <w:rPr>
          <w:rFonts w:hint="eastAsia" w:ascii="宋体" w:hAnsi="宋体" w:eastAsia="宋体" w:cs="宋体"/>
          <w:color w:val="auto"/>
          <w:sz w:val="28"/>
          <w:highlight w:val="none"/>
          <w:lang w:val="en-US" w:eastAsia="zh-CN"/>
        </w:rPr>
      </w:pPr>
      <w:r>
        <w:rPr>
          <w:rFonts w:hint="eastAsia" w:ascii="宋体" w:hAnsi="宋体" w:eastAsia="宋体" w:cs="宋体"/>
          <w:color w:val="auto"/>
          <w:sz w:val="28"/>
          <w:highlight w:val="none"/>
          <w:lang w:val="en-US" w:eastAsia="zh-CN"/>
        </w:rPr>
        <w:t>③每批次样品进行现场空白和实验室空白，现场空白和实验室空白结果符合检测结果标准中的相关规定。</w:t>
      </w:r>
    </w:p>
    <w:p>
      <w:pPr>
        <w:bidi w:val="0"/>
        <w:spacing w:line="360" w:lineRule="auto"/>
        <w:ind w:firstLine="560" w:firstLineChars="200"/>
        <w:jc w:val="left"/>
        <w:rPr>
          <w:rFonts w:hint="eastAsia" w:ascii="宋体" w:hAnsi="宋体" w:eastAsia="宋体" w:cs="宋体"/>
          <w:color w:val="auto"/>
          <w:sz w:val="28"/>
          <w:highlight w:val="none"/>
          <w:lang w:val="en-US" w:eastAsia="zh-CN"/>
        </w:rPr>
      </w:pPr>
      <w:r>
        <w:rPr>
          <w:rFonts w:hint="eastAsia" w:ascii="宋体" w:hAnsi="宋体" w:eastAsia="宋体" w:cs="宋体"/>
          <w:color w:val="auto"/>
          <w:sz w:val="28"/>
          <w:highlight w:val="none"/>
          <w:lang w:val="en-US" w:eastAsia="zh-CN"/>
        </w:rPr>
        <w:t>④实验室检测项目所用的样品要根据检测标准要求按保存期、保存环境、保存条件和有效期等进行保存，符合要求的样品方可开展检测。</w:t>
      </w:r>
    </w:p>
    <w:p>
      <w:pPr>
        <w:bidi w:val="0"/>
        <w:spacing w:line="360" w:lineRule="auto"/>
        <w:ind w:firstLine="560" w:firstLineChars="200"/>
        <w:jc w:val="left"/>
        <w:rPr>
          <w:rFonts w:hint="eastAsia" w:ascii="宋体" w:hAnsi="宋体" w:eastAsia="宋体" w:cs="宋体"/>
          <w:color w:val="auto"/>
          <w:sz w:val="28"/>
          <w:highlight w:val="none"/>
          <w:lang w:val="en-US" w:eastAsia="zh-CN"/>
        </w:rPr>
      </w:pPr>
      <w:r>
        <w:rPr>
          <w:rFonts w:hint="eastAsia" w:ascii="宋体" w:hAnsi="宋体" w:eastAsia="宋体" w:cs="宋体"/>
          <w:color w:val="auto"/>
          <w:sz w:val="28"/>
          <w:highlight w:val="none"/>
          <w:lang w:val="en-US" w:eastAsia="zh-CN"/>
        </w:rPr>
        <w:t>⑤分析人员在接收样品时，仔细核对样品和采样记录，确认正确无误后，进行签收。</w:t>
      </w:r>
    </w:p>
    <w:p>
      <w:pPr>
        <w:bidi w:val="0"/>
        <w:spacing w:line="360" w:lineRule="auto"/>
        <w:ind w:firstLine="560" w:firstLineChars="200"/>
        <w:jc w:val="left"/>
        <w:rPr>
          <w:rFonts w:hint="eastAsia" w:ascii="宋体" w:hAnsi="宋体" w:eastAsia="宋体" w:cs="宋体"/>
          <w:color w:val="auto"/>
          <w:sz w:val="28"/>
          <w:highlight w:val="none"/>
          <w:lang w:val="en-US" w:eastAsia="zh-CN"/>
        </w:rPr>
      </w:pPr>
      <w:r>
        <w:rPr>
          <w:rFonts w:hint="eastAsia" w:ascii="宋体" w:hAnsi="宋体" w:eastAsia="宋体" w:cs="宋体"/>
          <w:color w:val="auto"/>
          <w:sz w:val="28"/>
          <w:highlight w:val="none"/>
          <w:lang w:val="en-US" w:eastAsia="zh-CN"/>
        </w:rPr>
        <w:t>⑥实验室主任应对检测人员执行全部检测指标的标准检测方法流程进行检查，严格按照技术要求进行检测。</w:t>
      </w:r>
    </w:p>
    <w:p>
      <w:pPr>
        <w:pStyle w:val="7"/>
        <w:bidi w:val="0"/>
        <w:spacing w:line="360" w:lineRule="auto"/>
        <w:rPr>
          <w:rFonts w:hint="eastAsia" w:ascii="宋体" w:hAnsi="宋体" w:eastAsia="宋体" w:cs="宋体"/>
          <w:lang w:val="en-US" w:eastAsia="zh-CN"/>
        </w:rPr>
      </w:pPr>
      <w:bookmarkStart w:id="288" w:name="_Toc14480"/>
      <w:bookmarkStart w:id="289" w:name="_Toc31137"/>
      <w:bookmarkStart w:id="290" w:name="_Toc32704"/>
      <w:bookmarkStart w:id="291" w:name="_Toc2164"/>
      <w:r>
        <w:rPr>
          <w:rFonts w:hint="eastAsia" w:ascii="宋体" w:hAnsi="宋体" w:eastAsia="宋体" w:cs="宋体"/>
          <w:lang w:val="en-US" w:eastAsia="zh-CN"/>
        </w:rPr>
        <w:t>10.结论与措施</w:t>
      </w:r>
      <w:bookmarkEnd w:id="288"/>
      <w:bookmarkEnd w:id="289"/>
      <w:bookmarkEnd w:id="290"/>
      <w:bookmarkEnd w:id="291"/>
    </w:p>
    <w:p>
      <w:pPr>
        <w:keepNext/>
        <w:keepLines/>
        <w:widowControl w:val="0"/>
        <w:numPr>
          <w:ilvl w:val="1"/>
          <w:numId w:val="1"/>
        </w:numPr>
        <w:bidi w:val="0"/>
        <w:spacing w:line="360" w:lineRule="auto"/>
        <w:ind w:firstLine="0" w:firstLineChars="0"/>
        <w:jc w:val="left"/>
        <w:outlineLvl w:val="1"/>
        <w:rPr>
          <w:rFonts w:hint="eastAsia" w:ascii="宋体" w:hAnsi="宋体" w:eastAsia="宋体" w:cs="宋体"/>
          <w:b/>
          <w:bCs/>
          <w:kern w:val="2"/>
          <w:sz w:val="28"/>
          <w:szCs w:val="32"/>
          <w:lang w:val="en-US" w:eastAsia="zh-CN" w:bidi="ar-SA"/>
        </w:rPr>
      </w:pPr>
      <w:bookmarkStart w:id="292" w:name="_Toc8553"/>
      <w:bookmarkStart w:id="293" w:name="_Toc17078"/>
      <w:bookmarkStart w:id="294" w:name="_Toc6958"/>
      <w:bookmarkStart w:id="295" w:name="_Toc15747"/>
      <w:r>
        <w:rPr>
          <w:rFonts w:hint="eastAsia" w:ascii="宋体" w:hAnsi="宋体" w:eastAsia="宋体" w:cs="宋体"/>
          <w:b/>
          <w:bCs/>
          <w:kern w:val="2"/>
          <w:sz w:val="28"/>
          <w:szCs w:val="32"/>
          <w:lang w:val="en-US" w:eastAsia="zh-CN" w:bidi="ar-SA"/>
        </w:rPr>
        <w:t>10.1现场采样和监测</w:t>
      </w:r>
      <w:bookmarkEnd w:id="292"/>
      <w:bookmarkEnd w:id="293"/>
      <w:bookmarkEnd w:id="294"/>
      <w:bookmarkEnd w:id="295"/>
    </w:p>
    <w:p>
      <w:pPr>
        <w:keepNext w:val="0"/>
        <w:keepLines w:val="0"/>
        <w:pageBreakBefore w:val="0"/>
        <w:widowControl w:val="0"/>
        <w:kinsoku/>
        <w:wordWrap/>
        <w:overflowPunct/>
        <w:topLinePunct w:val="0"/>
        <w:autoSpaceDE/>
        <w:autoSpaceDN/>
        <w:bidi w:val="0"/>
        <w:adjustRightInd w:val="0"/>
        <w:snapToGrid w:val="0"/>
        <w:spacing w:line="360" w:lineRule="auto"/>
        <w:ind w:firstLine="560" w:firstLineChars="200"/>
        <w:textAlignment w:val="auto"/>
        <w:rPr>
          <w:rFonts w:hint="eastAsia" w:ascii="宋体" w:hAnsi="宋体" w:eastAsia="宋体" w:cs="宋体"/>
          <w:color w:val="auto"/>
          <w:spacing w:val="0"/>
          <w:kern w:val="2"/>
          <w:sz w:val="28"/>
          <w:szCs w:val="28"/>
          <w:highlight w:val="none"/>
          <w:lang w:val="zh-CN" w:eastAsia="zh-CN" w:bidi="zh-CN"/>
        </w:rPr>
      </w:pPr>
      <w:bookmarkStart w:id="296" w:name="_Toc24991"/>
      <w:bookmarkStart w:id="297" w:name="_Toc13491"/>
      <w:bookmarkStart w:id="298" w:name="_Toc19892"/>
      <w:bookmarkStart w:id="299" w:name="_Toc3205"/>
      <w:bookmarkStart w:id="300" w:name="_Toc6980"/>
      <w:bookmarkStart w:id="301" w:name="_Toc29275"/>
      <w:bookmarkStart w:id="302" w:name="_Toc17871"/>
      <w:bookmarkStart w:id="303" w:name="_Toc5590"/>
      <w:bookmarkStart w:id="304" w:name="_Toc25516"/>
      <w:bookmarkStart w:id="305" w:name="_Toc20805"/>
      <w:bookmarkStart w:id="306" w:name="_Toc21780"/>
      <w:r>
        <w:rPr>
          <w:rFonts w:hint="eastAsia" w:ascii="宋体" w:hAnsi="宋体" w:eastAsia="宋体" w:cs="宋体"/>
          <w:color w:val="auto"/>
          <w:spacing w:val="0"/>
          <w:kern w:val="2"/>
          <w:sz w:val="28"/>
          <w:szCs w:val="28"/>
          <w:highlight w:val="none"/>
          <w:lang w:val="en-US" w:eastAsia="zh-CN" w:bidi="zh-CN"/>
        </w:rPr>
        <w:t>2023年6月18日-6月25日，公司委托洛阳市达峰环境检测有限公司对厂区地下水、园区地下水和厂区土壤开展监测。根据2023年6月25日出具的《</w:t>
      </w:r>
      <w:bookmarkStart w:id="307" w:name="_Toc31680"/>
      <w:bookmarkStart w:id="308" w:name="_Toc21867"/>
      <w:bookmarkStart w:id="309" w:name="_Toc15197"/>
      <w:r>
        <w:rPr>
          <w:rFonts w:hint="eastAsia" w:ascii="宋体" w:hAnsi="宋体" w:eastAsia="宋体" w:cs="宋体"/>
          <w:color w:val="auto"/>
          <w:spacing w:val="0"/>
          <w:kern w:val="2"/>
          <w:sz w:val="28"/>
          <w:szCs w:val="28"/>
          <w:highlight w:val="none"/>
          <w:lang w:val="en-US" w:eastAsia="zh-CN" w:bidi="zh-CN"/>
        </w:rPr>
        <w:t>三门峡新鑫源科技有限公司土</w:t>
      </w:r>
      <w:r>
        <w:rPr>
          <w:rFonts w:hint="eastAsia" w:ascii="宋体" w:hAnsi="宋体" w:eastAsia="宋体" w:cs="宋体"/>
          <w:color w:val="auto"/>
          <w:spacing w:val="0"/>
          <w:kern w:val="2"/>
          <w:sz w:val="28"/>
          <w:szCs w:val="28"/>
          <w:highlight w:val="none"/>
          <w:lang w:val="zh-CN" w:eastAsia="zh-CN" w:bidi="zh-CN"/>
        </w:rPr>
        <w:t>壤及地下水</w:t>
      </w:r>
      <w:bookmarkEnd w:id="307"/>
      <w:r>
        <w:rPr>
          <w:rFonts w:hint="eastAsia" w:ascii="宋体" w:hAnsi="宋体" w:eastAsia="宋体" w:cs="宋体"/>
          <w:color w:val="auto"/>
          <w:spacing w:val="0"/>
          <w:kern w:val="2"/>
          <w:sz w:val="28"/>
          <w:szCs w:val="28"/>
          <w:highlight w:val="none"/>
          <w:lang w:val="en-US" w:eastAsia="zh-CN" w:bidi="zh-CN"/>
        </w:rPr>
        <w:t>检测</w:t>
      </w:r>
      <w:r>
        <w:rPr>
          <w:rFonts w:hint="eastAsia" w:ascii="宋体" w:hAnsi="宋体" w:eastAsia="宋体" w:cs="宋体"/>
          <w:color w:val="auto"/>
          <w:spacing w:val="0"/>
          <w:kern w:val="2"/>
          <w:sz w:val="28"/>
          <w:szCs w:val="28"/>
          <w:highlight w:val="none"/>
          <w:lang w:val="zh-CN" w:eastAsia="zh-CN" w:bidi="zh-CN"/>
        </w:rPr>
        <w:t>报告</w:t>
      </w:r>
      <w:bookmarkEnd w:id="308"/>
      <w:bookmarkEnd w:id="309"/>
      <w:r>
        <w:rPr>
          <w:rFonts w:hint="eastAsia" w:ascii="宋体" w:hAnsi="宋体" w:eastAsia="宋体" w:cs="宋体"/>
          <w:color w:val="auto"/>
          <w:spacing w:val="0"/>
          <w:kern w:val="2"/>
          <w:sz w:val="28"/>
          <w:szCs w:val="28"/>
          <w:highlight w:val="none"/>
          <w:lang w:val="zh-CN" w:eastAsia="zh-CN" w:bidi="zh-CN"/>
        </w:rPr>
        <w:t>》（</w:t>
      </w:r>
      <w:r>
        <w:rPr>
          <w:rFonts w:hint="eastAsia" w:ascii="宋体" w:hAnsi="宋体" w:eastAsia="宋体" w:cs="宋体"/>
          <w:color w:val="auto"/>
          <w:spacing w:val="0"/>
          <w:kern w:val="2"/>
          <w:sz w:val="28"/>
          <w:szCs w:val="28"/>
          <w:highlight w:val="none"/>
          <w:lang w:val="en-US" w:eastAsia="zh-CN" w:bidi="zh-CN"/>
        </w:rPr>
        <w:t>编号：DFJC-010-06-2023），报告中</w:t>
      </w:r>
      <w:r>
        <w:rPr>
          <w:rFonts w:hint="eastAsia" w:ascii="宋体" w:hAnsi="宋体" w:eastAsia="宋体" w:cs="宋体"/>
          <w:color w:val="auto"/>
          <w:spacing w:val="0"/>
          <w:kern w:val="2"/>
          <w:sz w:val="28"/>
          <w:szCs w:val="28"/>
          <w:highlight w:val="none"/>
          <w:lang w:val="zh-CN" w:eastAsia="zh-CN" w:bidi="zh-CN"/>
        </w:rPr>
        <w:t>结合企业厂区生产设施分布和生产工艺等实际情况，确定布点位置及数量</w:t>
      </w:r>
      <w:r>
        <w:rPr>
          <w:rFonts w:hint="eastAsia" w:ascii="宋体" w:hAnsi="宋体" w:eastAsia="宋体" w:cs="宋体"/>
          <w:color w:val="auto"/>
          <w:spacing w:val="0"/>
          <w:kern w:val="2"/>
          <w:sz w:val="28"/>
          <w:szCs w:val="28"/>
          <w:highlight w:val="none"/>
          <w:lang w:val="en-US" w:eastAsia="zh-CN" w:bidi="zh-CN"/>
        </w:rPr>
        <w:t>13个</w:t>
      </w:r>
      <w:r>
        <w:rPr>
          <w:rFonts w:hint="eastAsia" w:ascii="宋体" w:hAnsi="宋体" w:eastAsia="宋体" w:cs="宋体"/>
          <w:color w:val="auto"/>
          <w:spacing w:val="0"/>
          <w:kern w:val="2"/>
          <w:sz w:val="28"/>
          <w:szCs w:val="28"/>
          <w:highlight w:val="none"/>
          <w:lang w:val="zh-CN" w:eastAsia="zh-CN" w:bidi="zh-CN"/>
        </w:rPr>
        <w:t>，其中土壤监测点</w:t>
      </w:r>
      <w:r>
        <w:rPr>
          <w:rFonts w:hint="eastAsia" w:ascii="宋体" w:hAnsi="宋体" w:eastAsia="宋体" w:cs="宋体"/>
          <w:color w:val="auto"/>
          <w:spacing w:val="0"/>
          <w:kern w:val="2"/>
          <w:sz w:val="28"/>
          <w:szCs w:val="28"/>
          <w:highlight w:val="none"/>
          <w:lang w:val="en-US" w:eastAsia="zh-CN" w:bidi="zh-CN"/>
        </w:rPr>
        <w:t>11</w:t>
      </w:r>
      <w:r>
        <w:rPr>
          <w:rFonts w:hint="eastAsia" w:ascii="宋体" w:hAnsi="宋体" w:eastAsia="宋体" w:cs="宋体"/>
          <w:color w:val="auto"/>
          <w:spacing w:val="0"/>
          <w:kern w:val="2"/>
          <w:sz w:val="28"/>
          <w:szCs w:val="28"/>
          <w:highlight w:val="none"/>
          <w:lang w:val="zh-CN" w:eastAsia="zh-CN" w:bidi="zh-CN"/>
        </w:rPr>
        <w:t>个，地下水监测点</w:t>
      </w:r>
      <w:r>
        <w:rPr>
          <w:rFonts w:hint="eastAsia" w:ascii="宋体" w:hAnsi="宋体" w:eastAsia="宋体" w:cs="宋体"/>
          <w:color w:val="auto"/>
          <w:spacing w:val="0"/>
          <w:kern w:val="2"/>
          <w:sz w:val="28"/>
          <w:szCs w:val="28"/>
          <w:highlight w:val="none"/>
          <w:lang w:val="en-US" w:eastAsia="zh-CN" w:bidi="zh-CN"/>
        </w:rPr>
        <w:t>2</w:t>
      </w:r>
      <w:r>
        <w:rPr>
          <w:rFonts w:hint="eastAsia" w:ascii="宋体" w:hAnsi="宋体" w:eastAsia="宋体" w:cs="宋体"/>
          <w:color w:val="auto"/>
          <w:spacing w:val="0"/>
          <w:kern w:val="2"/>
          <w:sz w:val="28"/>
          <w:szCs w:val="28"/>
          <w:highlight w:val="none"/>
          <w:lang w:val="zh-CN" w:eastAsia="zh-CN" w:bidi="zh-CN"/>
        </w:rPr>
        <w:t>个。</w:t>
      </w:r>
    </w:p>
    <w:p>
      <w:pPr>
        <w:keepNext/>
        <w:keepLines/>
        <w:widowControl w:val="0"/>
        <w:numPr>
          <w:ilvl w:val="1"/>
          <w:numId w:val="0"/>
        </w:numPr>
        <w:bidi w:val="0"/>
        <w:spacing w:line="360" w:lineRule="auto"/>
        <w:ind w:firstLine="0" w:firstLineChars="0"/>
        <w:jc w:val="left"/>
        <w:outlineLvl w:val="1"/>
        <w:rPr>
          <w:rFonts w:hint="eastAsia" w:ascii="宋体" w:hAnsi="宋体" w:eastAsia="宋体" w:cs="宋体"/>
          <w:b/>
          <w:bCs/>
          <w:kern w:val="2"/>
          <w:sz w:val="28"/>
          <w:szCs w:val="32"/>
          <w:lang w:val="en-US" w:eastAsia="zh-CN" w:bidi="ar-SA"/>
        </w:rPr>
      </w:pPr>
      <w:bookmarkStart w:id="310" w:name="_Toc30933"/>
      <w:r>
        <w:rPr>
          <w:rFonts w:hint="eastAsia" w:ascii="宋体" w:hAnsi="宋体" w:eastAsia="宋体" w:cs="宋体"/>
          <w:b/>
          <w:bCs/>
          <w:kern w:val="2"/>
          <w:sz w:val="28"/>
          <w:szCs w:val="32"/>
          <w:lang w:val="en-US" w:eastAsia="zh-CN" w:bidi="ar-SA"/>
        </w:rPr>
        <w:t>10.2土壤和地下水监测结果分析</w:t>
      </w:r>
      <w:bookmarkEnd w:id="296"/>
      <w:bookmarkEnd w:id="297"/>
      <w:bookmarkEnd w:id="298"/>
      <w:bookmarkEnd w:id="299"/>
      <w:bookmarkEnd w:id="300"/>
      <w:bookmarkEnd w:id="301"/>
      <w:bookmarkEnd w:id="302"/>
      <w:bookmarkEnd w:id="303"/>
      <w:bookmarkEnd w:id="304"/>
      <w:bookmarkEnd w:id="305"/>
      <w:bookmarkEnd w:id="306"/>
      <w:bookmarkEnd w:id="310"/>
    </w:p>
    <w:p>
      <w:pPr>
        <w:pStyle w:val="3"/>
        <w:pageBreakBefore w:val="0"/>
        <w:kinsoku/>
        <w:wordWrap/>
        <w:overflowPunct/>
        <w:topLinePunct w:val="0"/>
        <w:bidi w:val="0"/>
        <w:spacing w:line="360" w:lineRule="auto"/>
        <w:ind w:left="0" w:leftChars="0" w:right="0" w:firstLine="537"/>
        <w:outlineLvl w:val="9"/>
        <w:rPr>
          <w:rFonts w:hint="eastAsia" w:ascii="宋体" w:hAnsi="宋体" w:eastAsia="宋体" w:cs="宋体"/>
          <w:color w:val="auto"/>
          <w:spacing w:val="0"/>
          <w:sz w:val="28"/>
          <w:szCs w:val="28"/>
          <w:highlight w:val="none"/>
        </w:rPr>
      </w:pPr>
      <w:bookmarkStart w:id="311" w:name="_Toc28485"/>
      <w:bookmarkStart w:id="312" w:name="_Toc9609"/>
      <w:r>
        <w:rPr>
          <w:rFonts w:hint="eastAsia" w:ascii="宋体" w:hAnsi="宋体" w:eastAsia="宋体" w:cs="宋体"/>
          <w:color w:val="auto"/>
          <w:spacing w:val="0"/>
          <w:sz w:val="28"/>
          <w:szCs w:val="28"/>
          <w:highlight w:val="none"/>
        </w:rPr>
        <w:t>对所采集的土壤样品监测数据进行汇总、统计、分析，分析结果对比《土壤环境质量建设用地土壤污染风险管控标准》（试行）（GB36600-2018）标准，《土壤环境质量农用地土壤污染风险管控标准》（试行）（GB</w:t>
      </w:r>
      <w:r>
        <w:rPr>
          <w:rFonts w:hint="eastAsia" w:ascii="宋体" w:hAnsi="宋体" w:eastAsia="宋体" w:cs="宋体"/>
          <w:color w:val="auto"/>
          <w:spacing w:val="0"/>
          <w:sz w:val="28"/>
          <w:szCs w:val="28"/>
          <w:highlight w:val="none"/>
          <w:lang w:val="en-US"/>
        </w:rPr>
        <w:t>15618</w:t>
      </w:r>
      <w:r>
        <w:rPr>
          <w:rFonts w:hint="eastAsia" w:ascii="宋体" w:hAnsi="宋体" w:eastAsia="宋体" w:cs="宋体"/>
          <w:color w:val="auto"/>
          <w:spacing w:val="0"/>
          <w:sz w:val="28"/>
          <w:szCs w:val="28"/>
          <w:highlight w:val="none"/>
        </w:rPr>
        <w:t>-2018）标准，</w:t>
      </w:r>
      <w:r>
        <w:rPr>
          <w:rFonts w:hint="eastAsia" w:ascii="宋体" w:hAnsi="宋体" w:eastAsia="宋体" w:cs="宋体"/>
          <w:color w:val="auto"/>
          <w:spacing w:val="0"/>
          <w:sz w:val="28"/>
          <w:szCs w:val="28"/>
          <w:highlight w:val="none"/>
          <w:lang w:eastAsia="zh-CN"/>
        </w:rPr>
        <w:t>以上两项</w:t>
      </w:r>
      <w:r>
        <w:rPr>
          <w:rFonts w:hint="eastAsia" w:ascii="宋体" w:hAnsi="宋体" w:eastAsia="宋体" w:cs="宋体"/>
          <w:color w:val="auto"/>
          <w:spacing w:val="0"/>
          <w:sz w:val="28"/>
          <w:szCs w:val="28"/>
          <w:highlight w:val="none"/>
        </w:rPr>
        <w:t>标准中没有的项目参考《场地土壤环境风险评价筛选值》（北京市地方标准DB11/T811-2011），评价</w:t>
      </w:r>
      <w:r>
        <w:rPr>
          <w:rFonts w:hint="eastAsia" w:cs="宋体"/>
          <w:color w:val="auto"/>
          <w:spacing w:val="0"/>
          <w:sz w:val="28"/>
          <w:szCs w:val="28"/>
          <w:highlight w:val="none"/>
          <w:lang w:eastAsia="zh-CN"/>
        </w:rPr>
        <w:t>三门峡新鑫源科技有限公司</w:t>
      </w:r>
      <w:r>
        <w:rPr>
          <w:rFonts w:hint="eastAsia" w:ascii="宋体" w:hAnsi="宋体" w:eastAsia="宋体" w:cs="宋体"/>
          <w:color w:val="auto"/>
          <w:spacing w:val="0"/>
          <w:sz w:val="28"/>
          <w:szCs w:val="28"/>
          <w:highlight w:val="none"/>
        </w:rPr>
        <w:t>土壤质量情况符合建设用地的筛选值或管制值，或是超管制值。</w:t>
      </w:r>
    </w:p>
    <w:p>
      <w:pPr>
        <w:pageBreakBefore w:val="0"/>
        <w:kinsoku/>
        <w:wordWrap/>
        <w:overflowPunct/>
        <w:topLinePunct w:val="0"/>
        <w:autoSpaceDE/>
        <w:autoSpaceDN/>
        <w:bidi w:val="0"/>
        <w:spacing w:line="360" w:lineRule="auto"/>
        <w:ind w:left="0" w:leftChars="0" w:firstLine="560" w:firstLineChars="200"/>
        <w:jc w:val="both"/>
        <w:textAlignment w:val="auto"/>
        <w:outlineLvl w:val="9"/>
        <w:rPr>
          <w:rFonts w:hint="eastAsia" w:ascii="宋体" w:hAnsi="宋体" w:eastAsia="宋体" w:cs="宋体"/>
          <w:color w:val="auto"/>
          <w:spacing w:val="0"/>
          <w:kern w:val="2"/>
          <w:sz w:val="28"/>
          <w:szCs w:val="28"/>
          <w:highlight w:val="none"/>
          <w:lang w:val="zh-CN" w:eastAsia="zh-CN" w:bidi="zh-CN"/>
        </w:rPr>
      </w:pPr>
      <w:r>
        <w:rPr>
          <w:rFonts w:hint="eastAsia" w:ascii="宋体" w:hAnsi="宋体" w:eastAsia="宋体" w:cs="宋体"/>
          <w:color w:val="auto"/>
          <w:spacing w:val="0"/>
          <w:kern w:val="2"/>
          <w:sz w:val="28"/>
          <w:szCs w:val="28"/>
          <w:highlight w:val="none"/>
          <w:lang w:val="zh-CN" w:eastAsia="zh-CN" w:bidi="zh-CN"/>
        </w:rPr>
        <w:t>对所采集的地下水样品监测数据进行汇总、统计、分析，分析结果对比《地下水质量标准》（</w:t>
      </w:r>
      <w:r>
        <w:rPr>
          <w:rFonts w:hint="eastAsia" w:ascii="宋体" w:hAnsi="宋体" w:eastAsia="宋体" w:cs="宋体"/>
          <w:color w:val="auto"/>
          <w:spacing w:val="0"/>
          <w:kern w:val="2"/>
          <w:sz w:val="28"/>
          <w:szCs w:val="28"/>
          <w:highlight w:val="none"/>
          <w:lang w:val="en-US" w:eastAsia="zh-CN" w:bidi="zh-CN"/>
        </w:rPr>
        <w:t>GB/T14848-2017</w:t>
      </w:r>
      <w:r>
        <w:rPr>
          <w:rFonts w:hint="eastAsia" w:ascii="宋体" w:hAnsi="宋体" w:eastAsia="宋体" w:cs="宋体"/>
          <w:color w:val="auto"/>
          <w:spacing w:val="0"/>
          <w:kern w:val="2"/>
          <w:sz w:val="28"/>
          <w:szCs w:val="28"/>
          <w:highlight w:val="none"/>
          <w:lang w:val="zh-CN" w:eastAsia="zh-CN" w:bidi="zh-CN"/>
        </w:rPr>
        <w:t>），三门峡新鑫源科技有限公司地下水质量情况符合《地下水质量标准》（</w:t>
      </w:r>
      <w:r>
        <w:rPr>
          <w:rFonts w:hint="eastAsia" w:ascii="宋体" w:hAnsi="宋体" w:eastAsia="宋体" w:cs="宋体"/>
          <w:color w:val="auto"/>
          <w:spacing w:val="0"/>
          <w:kern w:val="2"/>
          <w:sz w:val="28"/>
          <w:szCs w:val="28"/>
          <w:highlight w:val="none"/>
          <w:lang w:val="en-US" w:eastAsia="zh-CN" w:bidi="zh-CN"/>
        </w:rPr>
        <w:t>GB/T14848-2017</w:t>
      </w:r>
      <w:r>
        <w:rPr>
          <w:rFonts w:hint="eastAsia" w:ascii="宋体" w:hAnsi="宋体" w:eastAsia="宋体" w:cs="宋体"/>
          <w:color w:val="auto"/>
          <w:spacing w:val="0"/>
          <w:kern w:val="2"/>
          <w:sz w:val="28"/>
          <w:szCs w:val="28"/>
          <w:highlight w:val="none"/>
          <w:lang w:val="zh-CN" w:eastAsia="zh-CN" w:bidi="zh-CN"/>
        </w:rPr>
        <w:t>）</w:t>
      </w:r>
      <w:r>
        <w:rPr>
          <w:rFonts w:hint="eastAsia" w:ascii="宋体" w:hAnsi="宋体" w:eastAsia="宋体" w:cs="宋体"/>
          <w:color w:val="auto"/>
          <w:spacing w:val="0"/>
          <w:kern w:val="2"/>
          <w:sz w:val="28"/>
          <w:szCs w:val="28"/>
          <w:highlight w:val="none"/>
          <w:lang w:val="en-US" w:eastAsia="zh-CN" w:bidi="zh-CN"/>
        </w:rPr>
        <w:t>限值要求</w:t>
      </w:r>
      <w:r>
        <w:rPr>
          <w:rFonts w:hint="eastAsia" w:ascii="宋体" w:hAnsi="宋体" w:eastAsia="宋体" w:cs="宋体"/>
          <w:color w:val="auto"/>
          <w:spacing w:val="0"/>
          <w:kern w:val="2"/>
          <w:sz w:val="28"/>
          <w:szCs w:val="28"/>
          <w:highlight w:val="none"/>
          <w:lang w:val="zh-CN" w:eastAsia="zh-CN" w:bidi="zh-CN"/>
        </w:rPr>
        <w:t>。</w:t>
      </w:r>
    </w:p>
    <w:p>
      <w:pPr>
        <w:keepNext/>
        <w:keepLines/>
        <w:widowControl w:val="0"/>
        <w:numPr>
          <w:ilvl w:val="1"/>
          <w:numId w:val="0"/>
        </w:numPr>
        <w:bidi w:val="0"/>
        <w:spacing w:line="360" w:lineRule="auto"/>
        <w:ind w:firstLine="0" w:firstLineChars="0"/>
        <w:jc w:val="left"/>
        <w:outlineLvl w:val="1"/>
        <w:rPr>
          <w:rFonts w:hint="eastAsia" w:ascii="宋体" w:hAnsi="宋体" w:eastAsia="宋体" w:cs="宋体"/>
          <w:b/>
          <w:bCs/>
          <w:kern w:val="2"/>
          <w:sz w:val="28"/>
          <w:szCs w:val="32"/>
          <w:lang w:val="en-US" w:eastAsia="zh-CN" w:bidi="ar-SA"/>
        </w:rPr>
      </w:pPr>
      <w:bookmarkStart w:id="313" w:name="_Toc1484"/>
      <w:r>
        <w:rPr>
          <w:rFonts w:hint="eastAsia" w:ascii="宋体" w:hAnsi="宋体" w:eastAsia="宋体" w:cs="宋体"/>
          <w:b/>
          <w:bCs/>
          <w:kern w:val="2"/>
          <w:sz w:val="28"/>
          <w:szCs w:val="32"/>
          <w:lang w:val="en-US" w:eastAsia="zh-CN" w:bidi="ar-SA"/>
        </w:rPr>
        <w:t>10.3自行监测结论</w:t>
      </w:r>
      <w:bookmarkEnd w:id="311"/>
      <w:bookmarkEnd w:id="312"/>
      <w:bookmarkEnd w:id="313"/>
    </w:p>
    <w:p>
      <w:pPr>
        <w:pageBreakBefore w:val="0"/>
        <w:kinsoku/>
        <w:wordWrap/>
        <w:overflowPunct/>
        <w:topLinePunct w:val="0"/>
        <w:autoSpaceDE/>
        <w:autoSpaceDN/>
        <w:bidi w:val="0"/>
        <w:spacing w:line="360" w:lineRule="auto"/>
        <w:ind w:left="0" w:leftChars="0" w:firstLine="560" w:firstLineChars="200"/>
        <w:jc w:val="both"/>
        <w:textAlignment w:val="auto"/>
        <w:outlineLvl w:val="9"/>
        <w:rPr>
          <w:rFonts w:hint="eastAsia" w:ascii="宋体" w:hAnsi="宋体" w:eastAsia="宋体" w:cs="宋体"/>
          <w:color w:val="auto"/>
          <w:spacing w:val="0"/>
          <w:kern w:val="2"/>
          <w:sz w:val="28"/>
          <w:szCs w:val="28"/>
          <w:highlight w:val="none"/>
          <w:lang w:val="zh-CN" w:eastAsia="zh-CN" w:bidi="zh-CN"/>
        </w:rPr>
      </w:pPr>
      <w:r>
        <w:rPr>
          <w:rFonts w:hint="eastAsia" w:ascii="宋体" w:hAnsi="宋体" w:eastAsia="宋体" w:cs="宋体"/>
          <w:b w:val="0"/>
          <w:bCs w:val="0"/>
          <w:color w:val="auto"/>
          <w:kern w:val="2"/>
          <w:sz w:val="28"/>
          <w:szCs w:val="24"/>
          <w:highlight w:val="none"/>
          <w:lang w:val="zh-CN" w:eastAsia="zh-CN" w:bidi="ar-SA"/>
        </w:rPr>
        <w:t>三门峡新鑫源科技有限公司土壤各监测点位</w:t>
      </w:r>
      <w:r>
        <w:rPr>
          <w:rFonts w:hint="eastAsia" w:ascii="宋体" w:hAnsi="宋体" w:eastAsia="宋体" w:cs="宋体"/>
          <w:b w:val="0"/>
          <w:bCs w:val="0"/>
          <w:color w:val="auto"/>
          <w:kern w:val="2"/>
          <w:sz w:val="28"/>
          <w:szCs w:val="24"/>
          <w:highlight w:val="none"/>
          <w:lang w:val="en-US" w:eastAsia="zh-CN" w:bidi="ar-SA"/>
        </w:rPr>
        <w:t>符合《土壤环境质量建设用地土壤污染风险管控标准》（试行）（GB36600-2018）、</w:t>
      </w:r>
      <w:r>
        <w:rPr>
          <w:rFonts w:hint="eastAsia" w:ascii="宋体" w:hAnsi="宋体" w:eastAsia="宋体" w:cs="宋体"/>
          <w:b w:val="0"/>
          <w:bCs w:val="0"/>
          <w:color w:val="auto"/>
          <w:kern w:val="2"/>
          <w:sz w:val="28"/>
          <w:szCs w:val="24"/>
          <w:highlight w:val="none"/>
          <w:lang w:val="zh-CN" w:eastAsia="zh-CN" w:bidi="ar-SA"/>
        </w:rPr>
        <w:t>《土壤环境质量农用地土壤污染风险管控标准》（试行）（GB</w:t>
      </w:r>
      <w:r>
        <w:rPr>
          <w:rFonts w:hint="eastAsia" w:ascii="宋体" w:hAnsi="宋体" w:eastAsia="宋体" w:cs="宋体"/>
          <w:b w:val="0"/>
          <w:bCs w:val="0"/>
          <w:color w:val="auto"/>
          <w:kern w:val="2"/>
          <w:sz w:val="28"/>
          <w:szCs w:val="24"/>
          <w:highlight w:val="none"/>
          <w:lang w:val="en-US" w:eastAsia="zh-CN" w:bidi="ar-SA"/>
        </w:rPr>
        <w:t>15618</w:t>
      </w:r>
      <w:r>
        <w:rPr>
          <w:rFonts w:hint="eastAsia" w:ascii="宋体" w:hAnsi="宋体" w:eastAsia="宋体" w:cs="宋体"/>
          <w:b w:val="0"/>
          <w:bCs w:val="0"/>
          <w:color w:val="auto"/>
          <w:kern w:val="2"/>
          <w:sz w:val="28"/>
          <w:szCs w:val="24"/>
          <w:highlight w:val="none"/>
          <w:lang w:val="zh-CN" w:eastAsia="zh-CN" w:bidi="ar-SA"/>
        </w:rPr>
        <w:t>-2018）标准、《场地土壤环境风险评价筛选值》（北京市地方标准DB11/T811-2011</w:t>
      </w:r>
      <w:r>
        <w:rPr>
          <w:rFonts w:hint="eastAsia" w:ascii="宋体" w:hAnsi="宋体" w:eastAsia="宋体" w:cs="宋体"/>
          <w:b w:val="0"/>
          <w:bCs w:val="0"/>
          <w:color w:val="auto"/>
          <w:kern w:val="2"/>
          <w:sz w:val="28"/>
          <w:szCs w:val="24"/>
          <w:highlight w:val="none"/>
          <w:lang w:val="en-US" w:eastAsia="zh-CN" w:bidi="ar-SA"/>
        </w:rPr>
        <w:t>）等各项标准要求。园区和厂区</w:t>
      </w:r>
      <w:r>
        <w:rPr>
          <w:rFonts w:hint="eastAsia" w:ascii="宋体" w:hAnsi="宋体" w:eastAsia="宋体" w:cs="宋体"/>
          <w:color w:val="auto"/>
          <w:spacing w:val="0"/>
          <w:kern w:val="2"/>
          <w:sz w:val="28"/>
          <w:szCs w:val="28"/>
          <w:highlight w:val="none"/>
          <w:lang w:val="zh-CN" w:eastAsia="zh-CN" w:bidi="zh-CN"/>
        </w:rPr>
        <w:t>地下水质量情况符合《地下水质量标准》（</w:t>
      </w:r>
      <w:r>
        <w:rPr>
          <w:rFonts w:hint="eastAsia" w:ascii="宋体" w:hAnsi="宋体" w:eastAsia="宋体" w:cs="宋体"/>
          <w:color w:val="auto"/>
          <w:spacing w:val="0"/>
          <w:kern w:val="2"/>
          <w:sz w:val="28"/>
          <w:szCs w:val="28"/>
          <w:highlight w:val="none"/>
          <w:lang w:val="en-US" w:eastAsia="zh-CN" w:bidi="zh-CN"/>
        </w:rPr>
        <w:t>GB/T14848-2017</w:t>
      </w:r>
      <w:r>
        <w:rPr>
          <w:rFonts w:hint="eastAsia" w:ascii="宋体" w:hAnsi="宋体" w:eastAsia="宋体" w:cs="宋体"/>
          <w:color w:val="auto"/>
          <w:spacing w:val="0"/>
          <w:kern w:val="2"/>
          <w:sz w:val="28"/>
          <w:szCs w:val="28"/>
          <w:highlight w:val="none"/>
          <w:lang w:val="zh-CN" w:eastAsia="zh-CN" w:bidi="zh-CN"/>
        </w:rPr>
        <w:t>）</w:t>
      </w:r>
      <w:r>
        <w:rPr>
          <w:rFonts w:hint="eastAsia" w:ascii="宋体" w:hAnsi="宋体" w:eastAsia="宋体" w:cs="宋体"/>
          <w:color w:val="auto"/>
          <w:spacing w:val="0"/>
          <w:kern w:val="2"/>
          <w:sz w:val="28"/>
          <w:szCs w:val="28"/>
          <w:highlight w:val="none"/>
          <w:lang w:val="en-US" w:eastAsia="zh-CN" w:bidi="zh-CN"/>
        </w:rPr>
        <w:t>限值要求</w:t>
      </w:r>
      <w:r>
        <w:rPr>
          <w:rFonts w:hint="eastAsia" w:ascii="宋体" w:hAnsi="宋体" w:eastAsia="宋体" w:cs="宋体"/>
          <w:color w:val="auto"/>
          <w:spacing w:val="0"/>
          <w:kern w:val="2"/>
          <w:sz w:val="28"/>
          <w:szCs w:val="28"/>
          <w:highlight w:val="none"/>
          <w:lang w:val="zh-CN" w:eastAsia="zh-CN" w:bidi="zh-CN"/>
        </w:rPr>
        <w:t>。</w:t>
      </w:r>
    </w:p>
    <w:p>
      <w:pPr>
        <w:keepNext/>
        <w:keepLines/>
        <w:widowControl w:val="0"/>
        <w:numPr>
          <w:ilvl w:val="1"/>
          <w:numId w:val="1"/>
        </w:numPr>
        <w:bidi w:val="0"/>
        <w:spacing w:line="360" w:lineRule="auto"/>
        <w:ind w:firstLine="0" w:firstLineChars="0"/>
        <w:jc w:val="left"/>
        <w:outlineLvl w:val="1"/>
        <w:rPr>
          <w:rFonts w:hint="eastAsia" w:ascii="宋体" w:hAnsi="宋体" w:eastAsia="宋体" w:cs="宋体"/>
          <w:b/>
          <w:bCs/>
          <w:kern w:val="2"/>
          <w:sz w:val="28"/>
          <w:szCs w:val="32"/>
          <w:lang w:val="en-US" w:eastAsia="zh-CN" w:bidi="ar-SA"/>
        </w:rPr>
      </w:pPr>
      <w:bookmarkStart w:id="314" w:name="_Toc3939"/>
      <w:bookmarkStart w:id="315" w:name="_Toc9584"/>
      <w:bookmarkStart w:id="316" w:name="_Toc30415"/>
      <w:r>
        <w:rPr>
          <w:rFonts w:hint="eastAsia" w:ascii="宋体" w:hAnsi="宋体" w:eastAsia="宋体" w:cs="宋体"/>
          <w:b/>
          <w:bCs/>
          <w:kern w:val="2"/>
          <w:sz w:val="28"/>
          <w:szCs w:val="32"/>
          <w:lang w:val="en-US" w:eastAsia="zh-CN" w:bidi="ar-SA"/>
        </w:rPr>
        <w:t>10.4拟采取的主要措施</w:t>
      </w:r>
      <w:bookmarkEnd w:id="314"/>
      <w:bookmarkEnd w:id="315"/>
      <w:bookmarkEnd w:id="316"/>
    </w:p>
    <w:p>
      <w:pPr>
        <w:pStyle w:val="43"/>
        <w:widowControl w:val="0"/>
        <w:tabs>
          <w:tab w:val="left" w:pos="1486"/>
        </w:tabs>
        <w:spacing w:line="360" w:lineRule="auto"/>
        <w:ind w:left="0" w:firstLine="560" w:firstLineChars="200"/>
        <w:jc w:val="left"/>
        <w:rPr>
          <w:rFonts w:hint="eastAsia" w:ascii="宋体" w:hAnsi="宋体" w:eastAsia="宋体" w:cs="宋体"/>
          <w:color w:val="auto"/>
          <w:kern w:val="2"/>
          <w:sz w:val="28"/>
          <w:szCs w:val="28"/>
        </w:rPr>
      </w:pPr>
      <w:r>
        <w:rPr>
          <w:rFonts w:hint="eastAsia" w:ascii="宋体" w:hAnsi="宋体" w:eastAsia="宋体" w:cs="宋体"/>
          <w:color w:val="auto"/>
          <w:kern w:val="2"/>
          <w:sz w:val="28"/>
          <w:szCs w:val="28"/>
        </w:rPr>
        <w:t>（</w:t>
      </w:r>
      <w:r>
        <w:rPr>
          <w:rFonts w:hint="eastAsia" w:ascii="宋体" w:hAnsi="宋体" w:eastAsia="宋体" w:cs="宋体"/>
          <w:color w:val="auto"/>
          <w:kern w:val="2"/>
          <w:sz w:val="28"/>
          <w:szCs w:val="28"/>
          <w:lang w:val="en-US"/>
        </w:rPr>
        <w:t>1</w:t>
      </w:r>
      <w:r>
        <w:rPr>
          <w:rFonts w:hint="eastAsia" w:ascii="宋体" w:hAnsi="宋体" w:eastAsia="宋体" w:cs="宋体"/>
          <w:color w:val="auto"/>
          <w:kern w:val="2"/>
          <w:sz w:val="28"/>
          <w:szCs w:val="28"/>
        </w:rPr>
        <w:t>）加强日常生产管理，加强各设备、设施的巡检及维护保养，避免跑、冒、滴、漏现象；</w:t>
      </w:r>
    </w:p>
    <w:p>
      <w:pPr>
        <w:pStyle w:val="43"/>
        <w:widowControl w:val="0"/>
        <w:tabs>
          <w:tab w:val="left" w:pos="1486"/>
        </w:tabs>
        <w:spacing w:line="360" w:lineRule="auto"/>
        <w:ind w:left="0" w:firstLine="560" w:firstLineChars="200"/>
        <w:jc w:val="left"/>
        <w:rPr>
          <w:rFonts w:hint="eastAsia" w:ascii="宋体" w:hAnsi="宋体" w:eastAsia="宋体" w:cs="宋体"/>
          <w:color w:val="auto"/>
          <w:kern w:val="2"/>
          <w:sz w:val="28"/>
          <w:szCs w:val="28"/>
        </w:rPr>
      </w:pPr>
      <w:r>
        <w:rPr>
          <w:rFonts w:hint="eastAsia" w:ascii="宋体" w:hAnsi="宋体" w:eastAsia="宋体" w:cs="宋体"/>
          <w:color w:val="auto"/>
          <w:kern w:val="2"/>
          <w:sz w:val="28"/>
          <w:szCs w:val="28"/>
        </w:rPr>
        <w:t>（</w:t>
      </w:r>
      <w:r>
        <w:rPr>
          <w:rFonts w:hint="eastAsia" w:ascii="宋体" w:hAnsi="宋体" w:eastAsia="宋体" w:cs="宋体"/>
          <w:color w:val="auto"/>
          <w:kern w:val="2"/>
          <w:sz w:val="28"/>
          <w:szCs w:val="28"/>
          <w:lang w:val="en-US"/>
        </w:rPr>
        <w:t>2</w:t>
      </w:r>
      <w:r>
        <w:rPr>
          <w:rFonts w:hint="eastAsia" w:ascii="宋体" w:hAnsi="宋体" w:eastAsia="宋体" w:cs="宋体"/>
          <w:color w:val="auto"/>
          <w:kern w:val="2"/>
          <w:sz w:val="28"/>
          <w:szCs w:val="28"/>
        </w:rPr>
        <w:t>）加强环保设施的维护，确保各类污染物长期稳定达标排放，减少大气尘降对厂区土壤的影响；</w:t>
      </w:r>
    </w:p>
    <w:p>
      <w:pPr>
        <w:pStyle w:val="43"/>
        <w:widowControl w:val="0"/>
        <w:tabs>
          <w:tab w:val="left" w:pos="1486"/>
        </w:tabs>
        <w:spacing w:line="360" w:lineRule="auto"/>
        <w:ind w:left="0" w:firstLine="560" w:firstLineChars="200"/>
        <w:jc w:val="left"/>
        <w:rPr>
          <w:rFonts w:hint="eastAsia" w:ascii="宋体" w:hAnsi="宋体" w:eastAsia="宋体" w:cs="宋体"/>
          <w:color w:val="auto"/>
          <w:kern w:val="2"/>
          <w:sz w:val="28"/>
          <w:szCs w:val="28"/>
        </w:rPr>
      </w:pPr>
      <w:r>
        <w:rPr>
          <w:rFonts w:hint="eastAsia" w:ascii="宋体" w:hAnsi="宋体" w:eastAsia="宋体" w:cs="宋体"/>
          <w:color w:val="auto"/>
          <w:kern w:val="2"/>
          <w:sz w:val="28"/>
          <w:szCs w:val="28"/>
        </w:rPr>
        <w:t>（</w:t>
      </w:r>
      <w:r>
        <w:rPr>
          <w:rFonts w:hint="eastAsia" w:ascii="宋体" w:hAnsi="宋体" w:eastAsia="宋体" w:cs="宋体"/>
          <w:color w:val="auto"/>
          <w:kern w:val="2"/>
          <w:sz w:val="28"/>
          <w:szCs w:val="28"/>
          <w:lang w:val="en-US"/>
        </w:rPr>
        <w:t>3</w:t>
      </w:r>
      <w:r>
        <w:rPr>
          <w:rFonts w:hint="eastAsia" w:ascii="宋体" w:hAnsi="宋体" w:eastAsia="宋体" w:cs="宋体"/>
          <w:color w:val="auto"/>
          <w:kern w:val="2"/>
          <w:sz w:val="28"/>
          <w:szCs w:val="28"/>
        </w:rPr>
        <w:t>）各原料堆场封闭运行，加强转运管理，避免转运过程中的扬撒、尘降</w:t>
      </w:r>
      <w:r>
        <w:rPr>
          <w:rFonts w:hint="eastAsia" w:ascii="宋体" w:hAnsi="宋体" w:eastAsia="宋体" w:cs="宋体"/>
          <w:color w:val="auto"/>
          <w:kern w:val="2"/>
          <w:sz w:val="28"/>
          <w:szCs w:val="28"/>
          <w:lang w:eastAsia="zh-CN"/>
        </w:rPr>
        <w:t>，</w:t>
      </w:r>
      <w:r>
        <w:rPr>
          <w:rFonts w:hint="eastAsia" w:ascii="宋体" w:hAnsi="宋体" w:eastAsia="宋体" w:cs="宋体"/>
          <w:color w:val="auto"/>
          <w:kern w:val="2"/>
          <w:sz w:val="28"/>
          <w:szCs w:val="28"/>
        </w:rPr>
        <w:t>发现扬撒，及时清理；</w:t>
      </w:r>
    </w:p>
    <w:p>
      <w:pPr>
        <w:pStyle w:val="43"/>
        <w:widowControl w:val="0"/>
        <w:tabs>
          <w:tab w:val="left" w:pos="1486"/>
        </w:tabs>
        <w:spacing w:line="360" w:lineRule="auto"/>
        <w:ind w:left="0" w:firstLine="560" w:firstLineChars="200"/>
        <w:jc w:val="both"/>
        <w:rPr>
          <w:rFonts w:hint="eastAsia" w:ascii="宋体" w:hAnsi="宋体" w:eastAsia="宋体" w:cs="宋体"/>
          <w:color w:val="auto"/>
          <w:kern w:val="2"/>
          <w:sz w:val="28"/>
          <w:szCs w:val="28"/>
        </w:rPr>
      </w:pPr>
      <w:r>
        <w:rPr>
          <w:rFonts w:hint="eastAsia" w:ascii="宋体" w:hAnsi="宋体" w:eastAsia="宋体" w:cs="宋体"/>
          <w:color w:val="auto"/>
          <w:kern w:val="2"/>
          <w:sz w:val="28"/>
          <w:szCs w:val="28"/>
        </w:rPr>
        <w:t>（</w:t>
      </w:r>
      <w:r>
        <w:rPr>
          <w:rFonts w:hint="eastAsia" w:ascii="宋体" w:hAnsi="宋体" w:eastAsia="宋体" w:cs="宋体"/>
          <w:color w:val="auto"/>
          <w:kern w:val="2"/>
          <w:sz w:val="28"/>
          <w:szCs w:val="28"/>
          <w:lang w:val="en-US"/>
        </w:rPr>
        <w:t>4</w:t>
      </w:r>
      <w:r>
        <w:rPr>
          <w:rFonts w:hint="eastAsia" w:ascii="宋体" w:hAnsi="宋体" w:eastAsia="宋体" w:cs="宋体"/>
          <w:color w:val="auto"/>
          <w:kern w:val="2"/>
          <w:sz w:val="28"/>
          <w:szCs w:val="28"/>
        </w:rPr>
        <w:t>）注意日常土壤污染隐患排查工作，巡检及排查过程中发现问题及时处理，注意厂区硬化及防渗措施的情况，发现裂痕或泄漏及时修补处理。</w:t>
      </w:r>
    </w:p>
    <w:p>
      <w:pPr>
        <w:pStyle w:val="43"/>
        <w:tabs>
          <w:tab w:val="left" w:pos="1486"/>
        </w:tabs>
        <w:spacing w:line="360" w:lineRule="auto"/>
        <w:ind w:left="0" w:firstLine="560" w:firstLineChars="200"/>
        <w:jc w:val="left"/>
        <w:rPr>
          <w:rFonts w:hint="eastAsia" w:ascii="宋体" w:hAnsi="宋体" w:eastAsia="宋体" w:cs="宋体"/>
          <w:color w:val="auto"/>
          <w:kern w:val="2"/>
          <w:sz w:val="28"/>
          <w:szCs w:val="28"/>
        </w:rPr>
      </w:pPr>
      <w:r>
        <w:rPr>
          <w:rFonts w:hint="eastAsia" w:ascii="宋体" w:hAnsi="宋体" w:eastAsia="宋体" w:cs="宋体"/>
          <w:color w:val="auto"/>
          <w:kern w:val="2"/>
          <w:sz w:val="28"/>
          <w:szCs w:val="28"/>
        </w:rPr>
        <w:t>（</w:t>
      </w:r>
      <w:r>
        <w:rPr>
          <w:rFonts w:hint="eastAsia" w:ascii="宋体" w:hAnsi="宋体" w:eastAsia="宋体" w:cs="宋体"/>
          <w:color w:val="auto"/>
          <w:kern w:val="2"/>
          <w:sz w:val="28"/>
          <w:szCs w:val="28"/>
          <w:lang w:val="en-US"/>
        </w:rPr>
        <w:t>5</w:t>
      </w:r>
      <w:r>
        <w:rPr>
          <w:rFonts w:hint="eastAsia" w:ascii="宋体" w:hAnsi="宋体" w:eastAsia="宋体" w:cs="宋体"/>
          <w:color w:val="auto"/>
          <w:kern w:val="2"/>
          <w:sz w:val="28"/>
          <w:szCs w:val="28"/>
        </w:rPr>
        <w:t>）定期依计划进行土壤自行监测工作，分析监测结果及数据趋势，及时根据监测数据制定相应的制度措施。</w:t>
      </w:r>
    </w:p>
    <w:p>
      <w:pPr>
        <w:rPr>
          <w:rFonts w:hint="eastAsia" w:ascii="宋体" w:hAnsi="宋体" w:eastAsia="宋体" w:cs="宋体"/>
          <w:color w:val="auto"/>
          <w:kern w:val="2"/>
          <w:sz w:val="28"/>
          <w:szCs w:val="28"/>
        </w:rPr>
      </w:pPr>
      <w:r>
        <w:rPr>
          <w:rFonts w:hint="eastAsia" w:ascii="宋体" w:hAnsi="宋体" w:eastAsia="宋体" w:cs="宋体"/>
          <w:color w:val="auto"/>
          <w:kern w:val="2"/>
          <w:sz w:val="28"/>
          <w:szCs w:val="28"/>
        </w:rPr>
        <w:br w:type="page"/>
      </w:r>
    </w:p>
    <w:p>
      <w:pPr>
        <w:pageBreakBefore w:val="0"/>
        <w:kinsoku/>
        <w:wordWrap/>
        <w:overflowPunct/>
        <w:topLinePunct w:val="0"/>
        <w:bidi w:val="0"/>
        <w:spacing w:line="240" w:lineRule="auto"/>
        <w:ind w:left="0" w:leftChars="0" w:right="0" w:firstLine="0" w:firstLineChars="0"/>
        <w:jc w:val="both"/>
        <w:outlineLvl w:val="9"/>
        <w:rPr>
          <w:rFonts w:hint="eastAsia" w:ascii="宋体" w:hAnsi="宋体" w:eastAsia="宋体" w:cs="宋体"/>
          <w:color w:val="auto"/>
          <w:kern w:val="2"/>
          <w:sz w:val="28"/>
          <w:szCs w:val="28"/>
        </w:rPr>
        <w:sectPr>
          <w:pgSz w:w="11905" w:h="16838"/>
          <w:pgMar w:top="1701" w:right="1587" w:bottom="1701" w:left="1587" w:header="1077" w:footer="1134" w:gutter="0"/>
          <w:pgBorders>
            <w:top w:val="none" w:sz="0" w:space="0"/>
            <w:left w:val="none" w:sz="0" w:space="0"/>
            <w:bottom w:val="none" w:sz="0" w:space="0"/>
            <w:right w:val="none" w:sz="0" w:space="0"/>
          </w:pgBorders>
          <w:pgNumType w:fmt="decimal"/>
          <w:cols w:space="0" w:num="1"/>
          <w:rtlGutter w:val="0"/>
          <w:docGrid w:type="lines" w:linePitch="407" w:charSpace="0"/>
        </w:sectPr>
      </w:pPr>
    </w:p>
    <w:p>
      <w:pPr>
        <w:pageBreakBefore w:val="0"/>
        <w:kinsoku/>
        <w:wordWrap/>
        <w:overflowPunct/>
        <w:topLinePunct w:val="0"/>
        <w:bidi w:val="0"/>
        <w:spacing w:line="240" w:lineRule="auto"/>
        <w:ind w:left="0" w:leftChars="0" w:right="0" w:firstLine="0" w:firstLineChars="0"/>
        <w:jc w:val="both"/>
        <w:outlineLvl w:val="9"/>
        <w:rPr>
          <w:rFonts w:hint="eastAsia" w:ascii="宋体" w:hAnsi="宋体" w:eastAsia="宋体" w:cs="宋体"/>
          <w:color w:val="auto"/>
          <w:highlight w:val="none"/>
        </w:rPr>
      </w:pPr>
      <w:r>
        <w:rPr>
          <w:rFonts w:hint="eastAsia" w:ascii="宋体" w:hAnsi="宋体" w:eastAsia="宋体" w:cs="宋体"/>
          <w:color w:val="auto"/>
          <w:highlight w:val="none"/>
        </w:rPr>
        <w:drawing>
          <wp:anchor distT="0" distB="0" distL="114300" distR="114300" simplePos="0" relativeHeight="251664384" behindDoc="0" locked="0" layoutInCell="1" allowOverlap="1">
            <wp:simplePos x="0" y="0"/>
            <wp:positionH relativeFrom="column">
              <wp:posOffset>7477760</wp:posOffset>
            </wp:positionH>
            <wp:positionV relativeFrom="paragraph">
              <wp:posOffset>138430</wp:posOffset>
            </wp:positionV>
            <wp:extent cx="790575" cy="676275"/>
            <wp:effectExtent l="0" t="0" r="9525" b="9525"/>
            <wp:wrapNone/>
            <wp:docPr id="19"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72"/>
                    <pic:cNvPicPr>
                      <a:picLocks noChangeAspect="1"/>
                    </pic:cNvPicPr>
                  </pic:nvPicPr>
                  <pic:blipFill>
                    <a:blip r:embed="rId21"/>
                    <a:stretch>
                      <a:fillRect/>
                    </a:stretch>
                  </pic:blipFill>
                  <pic:spPr>
                    <a:xfrm>
                      <a:off x="0" y="0"/>
                      <a:ext cx="790575" cy="676275"/>
                    </a:xfrm>
                    <a:prstGeom prst="rect">
                      <a:avLst/>
                    </a:prstGeom>
                    <a:noFill/>
                    <a:ln>
                      <a:noFill/>
                    </a:ln>
                  </pic:spPr>
                </pic:pic>
              </a:graphicData>
            </a:graphic>
          </wp:anchor>
        </w:drawing>
      </w:r>
      <w:r>
        <w:rPr>
          <w:rFonts w:hint="eastAsia" w:ascii="宋体" w:hAnsi="宋体" w:eastAsia="宋体" w:cs="宋体"/>
          <w:color w:val="auto"/>
          <w:highlight w:val="none"/>
        </w:rPr>
        <w:drawing>
          <wp:anchor distT="0" distB="0" distL="114300" distR="114300" simplePos="0" relativeHeight="251662336" behindDoc="0" locked="0" layoutInCell="1" allowOverlap="1">
            <wp:simplePos x="0" y="0"/>
            <wp:positionH relativeFrom="column">
              <wp:posOffset>-52705</wp:posOffset>
            </wp:positionH>
            <wp:positionV relativeFrom="paragraph">
              <wp:posOffset>66675</wp:posOffset>
            </wp:positionV>
            <wp:extent cx="8758555" cy="4846955"/>
            <wp:effectExtent l="25400" t="25400" r="29845" b="29845"/>
            <wp:wrapNone/>
            <wp:docPr id="20" name="图片 1" descr="C:\Documents and Settings\Administrator\桌面\陕县行政区划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 descr="C:\Documents and Settings\Administrator\桌面\陕县行政区划图.jpg"/>
                    <pic:cNvPicPr>
                      <a:picLocks noChangeAspect="1"/>
                    </pic:cNvPicPr>
                  </pic:nvPicPr>
                  <pic:blipFill>
                    <a:blip r:embed="rId22"/>
                    <a:stretch>
                      <a:fillRect/>
                    </a:stretch>
                  </pic:blipFill>
                  <pic:spPr>
                    <a:xfrm>
                      <a:off x="0" y="0"/>
                      <a:ext cx="8758555" cy="4846955"/>
                    </a:xfrm>
                    <a:prstGeom prst="rect">
                      <a:avLst/>
                    </a:prstGeom>
                    <a:noFill/>
                    <a:ln w="25400" cap="flat" cmpd="sng">
                      <a:solidFill>
                        <a:srgbClr val="000000"/>
                      </a:solidFill>
                      <a:prstDash val="solid"/>
                      <a:miter/>
                      <a:headEnd type="none" w="med" len="med"/>
                      <a:tailEnd type="none" w="med" len="med"/>
                    </a:ln>
                  </pic:spPr>
                </pic:pic>
              </a:graphicData>
            </a:graphic>
          </wp:anchor>
        </w:drawing>
      </w:r>
    </w:p>
    <w:p>
      <w:pPr>
        <w:pageBreakBefore w:val="0"/>
        <w:kinsoku/>
        <w:wordWrap/>
        <w:overflowPunct/>
        <w:topLinePunct w:val="0"/>
        <w:bidi w:val="0"/>
        <w:spacing w:line="240" w:lineRule="auto"/>
        <w:ind w:left="0" w:leftChars="0" w:right="0" w:firstLine="0" w:firstLineChars="0"/>
        <w:jc w:val="both"/>
        <w:outlineLvl w:val="9"/>
        <w:rPr>
          <w:rFonts w:hint="eastAsia" w:ascii="宋体" w:hAnsi="宋体" w:eastAsia="宋体" w:cs="宋体"/>
          <w:color w:val="auto"/>
          <w:highlight w:val="none"/>
        </w:rPr>
      </w:pPr>
    </w:p>
    <w:p>
      <w:pPr>
        <w:pageBreakBefore w:val="0"/>
        <w:kinsoku/>
        <w:wordWrap/>
        <w:overflowPunct/>
        <w:topLinePunct w:val="0"/>
        <w:bidi w:val="0"/>
        <w:spacing w:line="240" w:lineRule="auto"/>
        <w:ind w:left="0" w:leftChars="0" w:right="0" w:firstLine="0" w:firstLineChars="0"/>
        <w:jc w:val="both"/>
        <w:outlineLvl w:val="9"/>
        <w:rPr>
          <w:rFonts w:hint="eastAsia" w:ascii="宋体" w:hAnsi="宋体" w:eastAsia="宋体" w:cs="宋体"/>
          <w:color w:val="auto"/>
          <w:highlight w:val="none"/>
        </w:rPr>
      </w:pPr>
    </w:p>
    <w:p>
      <w:pPr>
        <w:pageBreakBefore w:val="0"/>
        <w:kinsoku/>
        <w:wordWrap/>
        <w:overflowPunct/>
        <w:topLinePunct w:val="0"/>
        <w:bidi w:val="0"/>
        <w:spacing w:line="240" w:lineRule="auto"/>
        <w:ind w:left="0" w:leftChars="0" w:right="0" w:firstLine="0" w:firstLineChars="0"/>
        <w:jc w:val="both"/>
        <w:outlineLvl w:val="9"/>
        <w:rPr>
          <w:rFonts w:hint="eastAsia" w:ascii="宋体" w:hAnsi="宋体" w:eastAsia="宋体" w:cs="宋体"/>
          <w:color w:val="auto"/>
          <w:highlight w:val="none"/>
        </w:rPr>
      </w:pPr>
    </w:p>
    <w:p>
      <w:pPr>
        <w:pageBreakBefore w:val="0"/>
        <w:kinsoku/>
        <w:wordWrap/>
        <w:overflowPunct/>
        <w:topLinePunct w:val="0"/>
        <w:bidi w:val="0"/>
        <w:spacing w:line="240" w:lineRule="auto"/>
        <w:ind w:left="0" w:leftChars="0" w:right="0" w:firstLine="0" w:firstLineChars="0"/>
        <w:jc w:val="both"/>
        <w:outlineLvl w:val="9"/>
        <w:rPr>
          <w:rFonts w:hint="eastAsia" w:ascii="宋体" w:hAnsi="宋体" w:eastAsia="宋体" w:cs="宋体"/>
          <w:color w:val="auto"/>
          <w:highlight w:val="none"/>
        </w:rPr>
      </w:pPr>
    </w:p>
    <w:p>
      <w:pPr>
        <w:pageBreakBefore w:val="0"/>
        <w:kinsoku/>
        <w:wordWrap/>
        <w:overflowPunct/>
        <w:topLinePunct w:val="0"/>
        <w:bidi w:val="0"/>
        <w:spacing w:line="240" w:lineRule="auto"/>
        <w:ind w:left="0" w:leftChars="0" w:right="0" w:firstLine="0" w:firstLineChars="0"/>
        <w:jc w:val="both"/>
        <w:outlineLvl w:val="9"/>
        <w:rPr>
          <w:rFonts w:hint="eastAsia" w:ascii="宋体" w:hAnsi="宋体" w:eastAsia="宋体" w:cs="宋体"/>
          <w:color w:val="auto"/>
          <w:highlight w:val="none"/>
        </w:rPr>
      </w:pPr>
    </w:p>
    <w:p>
      <w:pPr>
        <w:pageBreakBefore w:val="0"/>
        <w:kinsoku/>
        <w:wordWrap/>
        <w:overflowPunct/>
        <w:topLinePunct w:val="0"/>
        <w:bidi w:val="0"/>
        <w:spacing w:line="240" w:lineRule="auto"/>
        <w:ind w:left="0" w:leftChars="0" w:right="0" w:firstLine="0" w:firstLineChars="0"/>
        <w:jc w:val="both"/>
        <w:outlineLvl w:val="9"/>
        <w:rPr>
          <w:rFonts w:hint="eastAsia" w:ascii="宋体" w:hAnsi="宋体" w:eastAsia="宋体" w:cs="宋体"/>
          <w:color w:val="auto"/>
          <w:highlight w:val="none"/>
        </w:rPr>
      </w:pPr>
    </w:p>
    <w:p>
      <w:pPr>
        <w:pageBreakBefore w:val="0"/>
        <w:kinsoku/>
        <w:wordWrap/>
        <w:overflowPunct/>
        <w:topLinePunct w:val="0"/>
        <w:bidi w:val="0"/>
        <w:spacing w:line="240" w:lineRule="auto"/>
        <w:ind w:left="0" w:leftChars="0" w:right="0" w:firstLine="0" w:firstLineChars="0"/>
        <w:jc w:val="both"/>
        <w:outlineLvl w:val="9"/>
        <w:rPr>
          <w:rFonts w:hint="eastAsia" w:ascii="宋体" w:hAnsi="宋体" w:eastAsia="宋体" w:cs="宋体"/>
          <w:color w:val="auto"/>
          <w:highlight w:val="none"/>
        </w:rPr>
      </w:pPr>
    </w:p>
    <w:p>
      <w:pPr>
        <w:pageBreakBefore w:val="0"/>
        <w:kinsoku/>
        <w:wordWrap/>
        <w:overflowPunct/>
        <w:topLinePunct w:val="0"/>
        <w:bidi w:val="0"/>
        <w:spacing w:line="240" w:lineRule="auto"/>
        <w:ind w:left="0" w:leftChars="0" w:right="0" w:firstLine="0" w:firstLineChars="0"/>
        <w:jc w:val="both"/>
        <w:outlineLvl w:val="9"/>
        <w:rPr>
          <w:rFonts w:hint="eastAsia" w:ascii="宋体" w:hAnsi="宋体" w:eastAsia="宋体" w:cs="宋体"/>
          <w:color w:val="auto"/>
          <w:highlight w:val="none"/>
        </w:rPr>
      </w:pPr>
    </w:p>
    <w:p>
      <w:pPr>
        <w:pageBreakBefore w:val="0"/>
        <w:kinsoku/>
        <w:wordWrap/>
        <w:overflowPunct/>
        <w:topLinePunct w:val="0"/>
        <w:bidi w:val="0"/>
        <w:spacing w:line="240" w:lineRule="auto"/>
        <w:ind w:left="0" w:leftChars="0" w:right="0" w:firstLine="0" w:firstLineChars="0"/>
        <w:jc w:val="both"/>
        <w:outlineLvl w:val="9"/>
        <w:rPr>
          <w:rFonts w:hint="eastAsia" w:ascii="宋体" w:hAnsi="宋体" w:eastAsia="宋体" w:cs="宋体"/>
          <w:color w:val="auto"/>
          <w:highlight w:val="none"/>
        </w:rPr>
      </w:pPr>
    </w:p>
    <w:p>
      <w:pPr>
        <w:pageBreakBefore w:val="0"/>
        <w:kinsoku/>
        <w:wordWrap/>
        <w:overflowPunct/>
        <w:topLinePunct w:val="0"/>
        <w:bidi w:val="0"/>
        <w:spacing w:line="240" w:lineRule="auto"/>
        <w:ind w:left="0" w:leftChars="0" w:right="0" w:firstLine="0" w:firstLineChars="0"/>
        <w:jc w:val="both"/>
        <w:outlineLvl w:val="9"/>
        <w:rPr>
          <w:rFonts w:hint="eastAsia" w:ascii="宋体" w:hAnsi="宋体" w:eastAsia="宋体" w:cs="宋体"/>
          <w:color w:val="auto"/>
          <w:highlight w:val="none"/>
        </w:rPr>
      </w:pPr>
    </w:p>
    <w:p>
      <w:pPr>
        <w:pageBreakBefore w:val="0"/>
        <w:kinsoku/>
        <w:wordWrap/>
        <w:overflowPunct/>
        <w:topLinePunct w:val="0"/>
        <w:bidi w:val="0"/>
        <w:spacing w:line="240" w:lineRule="auto"/>
        <w:ind w:left="0" w:leftChars="0" w:right="0" w:firstLine="0" w:firstLineChars="0"/>
        <w:jc w:val="both"/>
        <w:outlineLvl w:val="9"/>
        <w:rPr>
          <w:rFonts w:hint="eastAsia" w:ascii="宋体" w:hAnsi="宋体" w:eastAsia="宋体" w:cs="宋体"/>
          <w:color w:val="auto"/>
          <w:highlight w:val="none"/>
        </w:rPr>
      </w:pPr>
    </w:p>
    <w:p>
      <w:pPr>
        <w:pageBreakBefore w:val="0"/>
        <w:kinsoku/>
        <w:wordWrap/>
        <w:overflowPunct/>
        <w:topLinePunct w:val="0"/>
        <w:bidi w:val="0"/>
        <w:spacing w:line="240" w:lineRule="auto"/>
        <w:ind w:left="0" w:leftChars="0" w:right="0" w:firstLine="0" w:firstLineChars="0"/>
        <w:jc w:val="both"/>
        <w:outlineLvl w:val="9"/>
        <w:rPr>
          <w:rFonts w:hint="eastAsia" w:ascii="宋体" w:hAnsi="宋体" w:eastAsia="宋体" w:cs="宋体"/>
          <w:color w:val="auto"/>
          <w:highlight w:val="none"/>
        </w:rPr>
      </w:pPr>
      <w:r>
        <w:rPr>
          <w:rFonts w:hint="eastAsia" w:ascii="宋体" w:hAnsi="宋体" w:eastAsia="宋体" w:cs="宋体"/>
          <w:color w:val="auto"/>
          <w:highlight w:val="none"/>
        </w:rPr>
        <mc:AlternateContent>
          <mc:Choice Requires="wps">
            <w:drawing>
              <wp:anchor distT="0" distB="0" distL="114300" distR="114300" simplePos="0" relativeHeight="251663360" behindDoc="0" locked="0" layoutInCell="1" allowOverlap="1">
                <wp:simplePos x="0" y="0"/>
                <wp:positionH relativeFrom="column">
                  <wp:posOffset>6997700</wp:posOffset>
                </wp:positionH>
                <wp:positionV relativeFrom="paragraph">
                  <wp:posOffset>6985</wp:posOffset>
                </wp:positionV>
                <wp:extent cx="1211580" cy="556260"/>
                <wp:effectExtent l="796290" t="1075690" r="11430" b="6350"/>
                <wp:wrapNone/>
                <wp:docPr id="21" name="圆角矩形标注 21"/>
                <wp:cNvGraphicFramePr/>
                <a:graphic xmlns:a="http://schemas.openxmlformats.org/drawingml/2006/main">
                  <a:graphicData uri="http://schemas.microsoft.com/office/word/2010/wordprocessingShape">
                    <wps:wsp>
                      <wps:cNvSpPr/>
                      <wps:spPr>
                        <a:xfrm>
                          <a:off x="0" y="0"/>
                          <a:ext cx="1211580" cy="556260"/>
                        </a:xfrm>
                        <a:prstGeom prst="wedgeRoundRectCallout">
                          <a:avLst>
                            <a:gd name="adj1" fmla="val -113292"/>
                            <a:gd name="adj2" fmla="val -238435"/>
                            <a:gd name="adj3" fmla="val 16667"/>
                          </a:avLst>
                        </a:prstGeom>
                        <a:solidFill>
                          <a:srgbClr val="FFFFFF"/>
                        </a:solidFill>
                        <a:ln w="9525" cap="flat" cmpd="sng">
                          <a:solidFill>
                            <a:srgbClr val="FF00FF"/>
                          </a:solidFill>
                          <a:prstDash val="solid"/>
                          <a:miter/>
                          <a:headEnd type="none" w="med" len="med"/>
                          <a:tailEnd type="none" w="med" len="med"/>
                        </a:ln>
                      </wps:spPr>
                      <wps:txbx>
                        <w:txbxContent>
                          <w:p>
                            <w:pPr>
                              <w:ind w:left="0" w:leftChars="0" w:firstLine="0" w:firstLineChars="0"/>
                              <w:rPr>
                                <w:b/>
                                <w:bCs/>
                                <w:color w:val="002060"/>
                              </w:rPr>
                            </w:pPr>
                            <w:r>
                              <w:rPr>
                                <w:rFonts w:hint="eastAsia" w:cs="宋体"/>
                                <w:b/>
                                <w:bCs/>
                                <w:color w:val="002060"/>
                              </w:rPr>
                              <w:t>本项目厂址</w:t>
                            </w:r>
                          </w:p>
                        </w:txbxContent>
                      </wps:txbx>
                      <wps:bodyPr upright="1"/>
                    </wps:wsp>
                  </a:graphicData>
                </a:graphic>
              </wp:anchor>
            </w:drawing>
          </mc:Choice>
          <mc:Fallback>
            <w:pict>
              <v:shape id="_x0000_s1026" o:spid="_x0000_s1026" o:spt="62" type="#_x0000_t62" style="position:absolute;left:0pt;margin-left:551pt;margin-top:0.55pt;height:43.8pt;width:95.4pt;z-index:251663360;mso-width-relative:page;mso-height-relative:page;" fillcolor="#FFFFFF" filled="t" stroked="t" coordsize="21600,21600" o:gfxdata="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DbhChbXAAAACgEA&#10;AA8AAAAAAAAAAQAgAAAAIgAAAGRycy9kb3ducmV2LnhtbFBLAQIUABQAAAAIAIdO4kCerv87VAIA&#10;AMEEAAAOAAAAAAAAAAEAIAAAACYBAABkcnMvZTJvRG9jLnhtbFBLBQYAAAAABgAGAFkBAADsBQAA&#10;AAA=&#10;" adj="-13671,-40702,14400">
                <v:fill on="t" focussize="0,0"/>
                <v:stroke color="#FF00FF" joinstyle="miter"/>
                <v:imagedata o:title=""/>
                <o:lock v:ext="edit" aspectratio="f"/>
                <v:textbox>
                  <w:txbxContent>
                    <w:p>
                      <w:pPr>
                        <w:ind w:left="0" w:leftChars="0" w:firstLine="0" w:firstLineChars="0"/>
                        <w:rPr>
                          <w:b/>
                          <w:bCs/>
                          <w:color w:val="002060"/>
                        </w:rPr>
                      </w:pPr>
                      <w:r>
                        <w:rPr>
                          <w:rFonts w:hint="eastAsia" w:cs="宋体"/>
                          <w:b/>
                          <w:bCs/>
                          <w:color w:val="002060"/>
                        </w:rPr>
                        <w:t>本项目厂址</w:t>
                      </w:r>
                    </w:p>
                  </w:txbxContent>
                </v:textbox>
              </v:shape>
            </w:pict>
          </mc:Fallback>
        </mc:AlternateContent>
      </w:r>
    </w:p>
    <w:p>
      <w:pPr>
        <w:pageBreakBefore w:val="0"/>
        <w:kinsoku/>
        <w:wordWrap/>
        <w:overflowPunct/>
        <w:topLinePunct w:val="0"/>
        <w:bidi w:val="0"/>
        <w:spacing w:line="240" w:lineRule="auto"/>
        <w:ind w:left="0" w:leftChars="0" w:right="0" w:firstLine="0" w:firstLineChars="0"/>
        <w:jc w:val="both"/>
        <w:outlineLvl w:val="9"/>
        <w:rPr>
          <w:rFonts w:hint="eastAsia" w:ascii="宋体" w:hAnsi="宋体" w:eastAsia="宋体" w:cs="宋体"/>
          <w:color w:val="auto"/>
          <w:highlight w:val="none"/>
        </w:rPr>
      </w:pPr>
    </w:p>
    <w:p>
      <w:pPr>
        <w:pageBreakBefore w:val="0"/>
        <w:kinsoku/>
        <w:wordWrap/>
        <w:overflowPunct/>
        <w:topLinePunct w:val="0"/>
        <w:bidi w:val="0"/>
        <w:spacing w:line="240" w:lineRule="auto"/>
        <w:ind w:left="0" w:leftChars="0" w:right="0" w:firstLine="0" w:firstLineChars="0"/>
        <w:jc w:val="both"/>
        <w:outlineLvl w:val="9"/>
        <w:rPr>
          <w:rFonts w:hint="eastAsia" w:ascii="宋体" w:hAnsi="宋体" w:eastAsia="宋体" w:cs="宋体"/>
          <w:color w:val="auto"/>
          <w:highlight w:val="none"/>
        </w:rPr>
      </w:pPr>
    </w:p>
    <w:p>
      <w:pPr>
        <w:pageBreakBefore w:val="0"/>
        <w:kinsoku/>
        <w:wordWrap/>
        <w:overflowPunct/>
        <w:topLinePunct w:val="0"/>
        <w:bidi w:val="0"/>
        <w:spacing w:line="240" w:lineRule="auto"/>
        <w:ind w:left="0" w:leftChars="0" w:right="0" w:firstLine="0" w:firstLineChars="0"/>
        <w:jc w:val="both"/>
        <w:outlineLvl w:val="9"/>
        <w:rPr>
          <w:rFonts w:hint="eastAsia" w:ascii="宋体" w:hAnsi="宋体" w:eastAsia="宋体" w:cs="宋体"/>
          <w:color w:val="auto"/>
          <w:highlight w:val="none"/>
        </w:rPr>
      </w:pPr>
    </w:p>
    <w:p>
      <w:pPr>
        <w:pageBreakBefore w:val="0"/>
        <w:kinsoku/>
        <w:wordWrap/>
        <w:overflowPunct/>
        <w:topLinePunct w:val="0"/>
        <w:bidi w:val="0"/>
        <w:spacing w:line="240" w:lineRule="auto"/>
        <w:ind w:left="0" w:leftChars="0" w:right="0" w:firstLine="0" w:firstLineChars="0"/>
        <w:jc w:val="both"/>
        <w:outlineLvl w:val="9"/>
        <w:rPr>
          <w:rFonts w:hint="eastAsia" w:ascii="宋体" w:hAnsi="宋体" w:eastAsia="宋体" w:cs="宋体"/>
          <w:color w:val="auto"/>
          <w:highlight w:val="none"/>
        </w:rPr>
      </w:pPr>
    </w:p>
    <w:p>
      <w:pPr>
        <w:pageBreakBefore w:val="0"/>
        <w:kinsoku/>
        <w:wordWrap/>
        <w:overflowPunct/>
        <w:topLinePunct w:val="0"/>
        <w:bidi w:val="0"/>
        <w:spacing w:line="240" w:lineRule="auto"/>
        <w:ind w:left="0" w:leftChars="0" w:right="0" w:firstLine="0" w:firstLineChars="0"/>
        <w:jc w:val="both"/>
        <w:outlineLvl w:val="9"/>
        <w:rPr>
          <w:rFonts w:hint="eastAsia" w:ascii="宋体" w:hAnsi="宋体" w:eastAsia="宋体" w:cs="宋体"/>
          <w:color w:val="auto"/>
          <w:highlight w:val="none"/>
        </w:rPr>
      </w:pPr>
    </w:p>
    <w:p>
      <w:pPr>
        <w:pageBreakBefore w:val="0"/>
        <w:kinsoku/>
        <w:wordWrap/>
        <w:overflowPunct/>
        <w:topLinePunct w:val="0"/>
        <w:bidi w:val="0"/>
        <w:spacing w:line="240" w:lineRule="auto"/>
        <w:ind w:left="0" w:leftChars="0" w:right="0" w:firstLine="0" w:firstLineChars="0"/>
        <w:jc w:val="both"/>
        <w:outlineLvl w:val="9"/>
        <w:rPr>
          <w:rFonts w:hint="eastAsia" w:ascii="宋体" w:hAnsi="宋体" w:eastAsia="宋体" w:cs="宋体"/>
          <w:color w:val="auto"/>
          <w:highlight w:val="none"/>
        </w:rPr>
      </w:pPr>
      <w:r>
        <w:rPr>
          <w:rFonts w:hint="eastAsia" w:ascii="宋体" w:hAnsi="宋体" w:eastAsia="宋体" w:cs="宋体"/>
          <w:color w:val="auto"/>
          <w:highlight w:val="none"/>
        </w:rPr>
        <w:drawing>
          <wp:anchor distT="0" distB="0" distL="114300" distR="114300" simplePos="0" relativeHeight="251661312" behindDoc="0" locked="0" layoutInCell="1" allowOverlap="1">
            <wp:simplePos x="0" y="0"/>
            <wp:positionH relativeFrom="column">
              <wp:posOffset>7525385</wp:posOffset>
            </wp:positionH>
            <wp:positionV relativeFrom="paragraph">
              <wp:posOffset>-2945130</wp:posOffset>
            </wp:positionV>
            <wp:extent cx="790575" cy="676275"/>
            <wp:effectExtent l="0" t="0" r="9525" b="9525"/>
            <wp:wrapNone/>
            <wp:docPr id="70"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2"/>
                    <pic:cNvPicPr>
                      <a:picLocks noChangeAspect="1"/>
                    </pic:cNvPicPr>
                  </pic:nvPicPr>
                  <pic:blipFill>
                    <a:blip r:embed="rId21"/>
                    <a:stretch>
                      <a:fillRect/>
                    </a:stretch>
                  </pic:blipFill>
                  <pic:spPr>
                    <a:xfrm>
                      <a:off x="0" y="0"/>
                      <a:ext cx="790575" cy="676275"/>
                    </a:xfrm>
                    <a:prstGeom prst="rect">
                      <a:avLst/>
                    </a:prstGeom>
                    <a:noFill/>
                    <a:ln>
                      <a:noFill/>
                    </a:ln>
                  </pic:spPr>
                </pic:pic>
              </a:graphicData>
            </a:graphic>
          </wp:anchor>
        </w:drawing>
      </w:r>
    </w:p>
    <w:p>
      <w:pPr>
        <w:pageBreakBefore w:val="0"/>
        <w:kinsoku/>
        <w:wordWrap/>
        <w:overflowPunct/>
        <w:topLinePunct w:val="0"/>
        <w:bidi w:val="0"/>
        <w:spacing w:line="240" w:lineRule="auto"/>
        <w:ind w:right="0"/>
        <w:jc w:val="center"/>
        <w:outlineLvl w:val="0"/>
        <w:rPr>
          <w:rFonts w:hint="default" w:ascii="宋体" w:hAnsi="宋体" w:eastAsia="宋体" w:cs="宋体"/>
          <w:b/>
          <w:bCs/>
          <w:color w:val="auto"/>
          <w:sz w:val="24"/>
          <w:szCs w:val="32"/>
          <w:highlight w:val="none"/>
          <w:u w:val="none"/>
          <w:lang w:val="en-US" w:eastAsia="zh-CN"/>
        </w:rPr>
      </w:pPr>
      <w:bookmarkStart w:id="317" w:name="_Toc7680"/>
      <w:bookmarkStart w:id="318" w:name="_Toc29097"/>
      <w:r>
        <w:rPr>
          <w:rFonts w:hint="eastAsia" w:ascii="宋体" w:hAnsi="宋体" w:eastAsia="宋体" w:cs="宋体"/>
          <w:b/>
          <w:bCs/>
          <w:color w:val="auto"/>
          <w:sz w:val="24"/>
          <w:szCs w:val="32"/>
          <w:highlight w:val="none"/>
          <w:lang w:val="en-US" w:eastAsia="zh-CN"/>
        </w:rPr>
        <w:t>附</w:t>
      </w:r>
      <w:r>
        <w:rPr>
          <w:rFonts w:hint="eastAsia" w:ascii="宋体" w:hAnsi="宋体" w:eastAsia="宋体" w:cs="宋体"/>
          <w:b/>
          <w:bCs/>
          <w:color w:val="auto"/>
          <w:sz w:val="24"/>
          <w:szCs w:val="32"/>
          <w:highlight w:val="none"/>
          <w:u w:val="none"/>
          <w:lang w:val="en-US" w:eastAsia="zh-CN"/>
        </w:rPr>
        <w:t>图1 企业地理位置图</w:t>
      </w:r>
      <w:bookmarkEnd w:id="317"/>
    </w:p>
    <w:p>
      <w:pPr>
        <w:pStyle w:val="2"/>
        <w:ind w:left="0" w:leftChars="0" w:firstLine="0" w:firstLineChars="0"/>
        <w:rPr>
          <w:rFonts w:hint="eastAsia"/>
        </w:rPr>
        <w:sectPr>
          <w:pgSz w:w="16838" w:h="11905" w:orient="landscape"/>
          <w:pgMar w:top="1587" w:right="1701" w:bottom="1587" w:left="1701" w:header="1077" w:footer="1134" w:gutter="0"/>
          <w:pgBorders>
            <w:top w:val="none" w:sz="0" w:space="0"/>
            <w:left w:val="none" w:sz="0" w:space="0"/>
            <w:bottom w:val="none" w:sz="0" w:space="0"/>
            <w:right w:val="none" w:sz="0" w:space="0"/>
          </w:pgBorders>
          <w:pgNumType w:fmt="decimal"/>
          <w:cols w:space="0" w:num="1"/>
          <w:rtlGutter w:val="0"/>
          <w:docGrid w:type="lines" w:linePitch="415" w:charSpace="0"/>
        </w:sectPr>
      </w:pPr>
    </w:p>
    <w:p>
      <w:pPr>
        <w:pageBreakBefore w:val="0"/>
        <w:kinsoku/>
        <w:wordWrap/>
        <w:overflowPunct/>
        <w:topLinePunct w:val="0"/>
        <w:bidi w:val="0"/>
        <w:spacing w:line="240" w:lineRule="auto"/>
        <w:ind w:left="0" w:leftChars="0" w:right="0" w:firstLine="0" w:firstLineChars="0"/>
        <w:jc w:val="center"/>
        <w:outlineLvl w:val="9"/>
        <w:rPr>
          <w:rFonts w:hint="eastAsia" w:ascii="宋体" w:hAnsi="宋体" w:eastAsia="宋体" w:cs="宋体"/>
          <w:color w:val="auto"/>
          <w:highlight w:val="none"/>
        </w:rPr>
      </w:pPr>
      <w:r>
        <w:rPr>
          <w:rFonts w:hint="eastAsia" w:ascii="宋体" w:hAnsi="宋体" w:eastAsia="宋体" w:cs="宋体"/>
          <w:color w:val="auto"/>
          <w:highlight w:val="none"/>
        </w:rPr>
        <w:drawing>
          <wp:inline distT="0" distB="0" distL="114300" distR="114300">
            <wp:extent cx="5888990" cy="7982585"/>
            <wp:effectExtent l="0" t="0" r="3810" b="5715"/>
            <wp:docPr id="2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8"/>
                    <pic:cNvPicPr>
                      <a:picLocks noChangeAspect="1"/>
                    </pic:cNvPicPr>
                  </pic:nvPicPr>
                  <pic:blipFill>
                    <a:blip r:embed="rId23"/>
                    <a:stretch>
                      <a:fillRect/>
                    </a:stretch>
                  </pic:blipFill>
                  <pic:spPr>
                    <a:xfrm>
                      <a:off x="0" y="0"/>
                      <a:ext cx="5888990" cy="7982585"/>
                    </a:xfrm>
                    <a:prstGeom prst="rect">
                      <a:avLst/>
                    </a:prstGeom>
                    <a:noFill/>
                    <a:ln>
                      <a:noFill/>
                    </a:ln>
                  </pic:spPr>
                </pic:pic>
              </a:graphicData>
            </a:graphic>
          </wp:inline>
        </w:drawing>
      </w:r>
    </w:p>
    <w:p>
      <w:pPr>
        <w:pageBreakBefore w:val="0"/>
        <w:kinsoku/>
        <w:wordWrap/>
        <w:overflowPunct/>
        <w:topLinePunct w:val="0"/>
        <w:bidi w:val="0"/>
        <w:spacing w:line="240" w:lineRule="auto"/>
        <w:ind w:left="0" w:leftChars="0" w:right="0" w:firstLine="0" w:firstLineChars="0"/>
        <w:jc w:val="center"/>
        <w:outlineLvl w:val="0"/>
        <w:rPr>
          <w:rFonts w:hint="eastAsia" w:ascii="宋体" w:hAnsi="宋体" w:eastAsia="宋体" w:cs="宋体"/>
          <w:b/>
          <w:bCs/>
          <w:color w:val="auto"/>
          <w:sz w:val="24"/>
          <w:szCs w:val="32"/>
          <w:highlight w:val="none"/>
          <w:u w:val="none"/>
          <w:lang w:val="en-US" w:eastAsia="zh-CN"/>
        </w:rPr>
      </w:pPr>
      <w:bookmarkStart w:id="319" w:name="_Toc2949"/>
      <w:bookmarkStart w:id="320" w:name="_Toc2669"/>
      <w:bookmarkStart w:id="321" w:name="_Toc28566"/>
      <w:bookmarkStart w:id="322" w:name="_Toc13299"/>
      <w:r>
        <w:rPr>
          <w:rFonts w:hint="eastAsia" w:ascii="宋体" w:hAnsi="宋体" w:eastAsia="宋体" w:cs="宋体"/>
          <w:b/>
          <w:bCs/>
          <w:color w:val="auto"/>
          <w:sz w:val="24"/>
          <w:szCs w:val="32"/>
          <w:highlight w:val="none"/>
          <w:lang w:val="en-US" w:eastAsia="zh-CN"/>
        </w:rPr>
        <w:t>附</w:t>
      </w:r>
      <w:r>
        <w:rPr>
          <w:rFonts w:hint="eastAsia" w:ascii="宋体" w:hAnsi="宋体" w:eastAsia="宋体" w:cs="宋体"/>
          <w:b/>
          <w:bCs/>
          <w:color w:val="auto"/>
          <w:sz w:val="24"/>
          <w:szCs w:val="32"/>
          <w:highlight w:val="none"/>
          <w:u w:val="none"/>
          <w:lang w:val="en-US" w:eastAsia="zh-CN"/>
        </w:rPr>
        <w:t>图2三门峡市土壤污染类型</w:t>
      </w:r>
      <w:bookmarkEnd w:id="319"/>
      <w:bookmarkEnd w:id="320"/>
      <w:bookmarkEnd w:id="321"/>
      <w:bookmarkEnd w:id="322"/>
    </w:p>
    <w:p>
      <w:pPr>
        <w:rPr>
          <w:rFonts w:hint="eastAsia" w:ascii="宋体" w:hAnsi="宋体" w:eastAsia="宋体" w:cs="宋体"/>
          <w:color w:val="auto"/>
          <w:highlight w:val="none"/>
          <w:u w:val="none"/>
          <w:lang w:eastAsia="zh-CN"/>
        </w:rPr>
      </w:pPr>
      <w:r>
        <w:rPr>
          <w:rFonts w:hint="eastAsia" w:ascii="宋体" w:hAnsi="宋体" w:eastAsia="宋体" w:cs="宋体"/>
          <w:color w:val="auto"/>
          <w:highlight w:val="none"/>
          <w:u w:val="none"/>
          <w:lang w:eastAsia="zh-CN"/>
        </w:rPr>
        <w:br w:type="page"/>
      </w:r>
    </w:p>
    <w:p>
      <w:pPr>
        <w:pageBreakBefore w:val="0"/>
        <w:kinsoku/>
        <w:wordWrap/>
        <w:overflowPunct/>
        <w:topLinePunct w:val="0"/>
        <w:bidi w:val="0"/>
        <w:spacing w:line="240" w:lineRule="auto"/>
        <w:ind w:left="0" w:leftChars="0" w:right="0" w:firstLine="0" w:firstLineChars="0"/>
        <w:jc w:val="center"/>
        <w:outlineLvl w:val="9"/>
        <w:rPr>
          <w:rFonts w:hint="eastAsia" w:ascii="宋体" w:hAnsi="宋体" w:eastAsia="宋体" w:cs="宋体"/>
          <w:b/>
          <w:bCs/>
          <w:color w:val="auto"/>
          <w:highlight w:val="none"/>
          <w:u w:val="none"/>
          <w:lang w:val="en-US" w:eastAsia="zh-CN"/>
        </w:rPr>
        <w:sectPr>
          <w:pgSz w:w="11905" w:h="16838"/>
          <w:pgMar w:top="1644" w:right="1587" w:bottom="1701" w:left="1587" w:header="1077" w:footer="1134" w:gutter="0"/>
          <w:pgBorders>
            <w:top w:val="none" w:sz="0" w:space="0"/>
            <w:left w:val="none" w:sz="0" w:space="0"/>
            <w:bottom w:val="none" w:sz="0" w:space="0"/>
            <w:right w:val="none" w:sz="0" w:space="0"/>
          </w:pgBorders>
          <w:pgNumType w:fmt="decimal"/>
          <w:cols w:space="0" w:num="1"/>
          <w:rtlGutter w:val="0"/>
          <w:docGrid w:type="lines" w:linePitch="415" w:charSpace="0"/>
        </w:sectPr>
      </w:pPr>
      <w:bookmarkStart w:id="323" w:name="_Toc25551"/>
    </w:p>
    <w:p>
      <w:pPr>
        <w:pageBreakBefore w:val="0"/>
        <w:kinsoku/>
        <w:wordWrap/>
        <w:overflowPunct/>
        <w:topLinePunct w:val="0"/>
        <w:bidi w:val="0"/>
        <w:spacing w:line="240" w:lineRule="auto"/>
        <w:ind w:left="0" w:leftChars="0" w:right="0" w:firstLine="0" w:firstLineChars="0"/>
        <w:jc w:val="center"/>
        <w:outlineLvl w:val="9"/>
        <w:rPr>
          <w:rFonts w:hint="eastAsia" w:ascii="宋体" w:hAnsi="宋体" w:eastAsia="宋体" w:cs="宋体"/>
          <w:b/>
          <w:bCs/>
          <w:color w:val="auto"/>
          <w:highlight w:val="none"/>
          <w:u w:val="none"/>
          <w:lang w:val="en-US" w:eastAsia="zh-CN"/>
        </w:rPr>
      </w:pPr>
      <w:r>
        <w:rPr>
          <w:rFonts w:hint="eastAsia" w:ascii="宋体" w:hAnsi="宋体" w:eastAsia="宋体" w:cs="宋体"/>
          <w:color w:val="auto"/>
          <w:highlight w:val="none"/>
          <w:lang w:val="en-US" w:eastAsia="zh-CN"/>
        </w:rPr>
        <w:drawing>
          <wp:inline distT="0" distB="0" distL="114300" distR="114300">
            <wp:extent cx="8879840" cy="5135880"/>
            <wp:effectExtent l="0" t="0" r="10160" b="7620"/>
            <wp:docPr id="28" name="图片 28" descr="平面布置图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平面布置图_01"/>
                    <pic:cNvPicPr>
                      <a:picLocks noChangeAspect="1"/>
                    </pic:cNvPicPr>
                  </pic:nvPicPr>
                  <pic:blipFill>
                    <a:blip r:embed="rId24"/>
                    <a:stretch>
                      <a:fillRect/>
                    </a:stretch>
                  </pic:blipFill>
                  <pic:spPr>
                    <a:xfrm>
                      <a:off x="0" y="0"/>
                      <a:ext cx="8879840" cy="5135880"/>
                    </a:xfrm>
                    <a:prstGeom prst="rect">
                      <a:avLst/>
                    </a:prstGeom>
                  </pic:spPr>
                </pic:pic>
              </a:graphicData>
            </a:graphic>
          </wp:inline>
        </w:drawing>
      </w:r>
    </w:p>
    <w:p>
      <w:pPr>
        <w:pageBreakBefore w:val="0"/>
        <w:kinsoku/>
        <w:wordWrap/>
        <w:overflowPunct/>
        <w:topLinePunct w:val="0"/>
        <w:bidi w:val="0"/>
        <w:spacing w:line="240" w:lineRule="auto"/>
        <w:ind w:left="0" w:leftChars="0" w:right="0" w:firstLine="0" w:firstLineChars="0"/>
        <w:jc w:val="center"/>
        <w:outlineLvl w:val="0"/>
        <w:rPr>
          <w:rFonts w:hint="eastAsia" w:ascii="宋体" w:hAnsi="宋体" w:eastAsia="宋体" w:cs="宋体"/>
          <w:b/>
          <w:bCs/>
          <w:color w:val="auto"/>
          <w:highlight w:val="none"/>
          <w:u w:val="none"/>
          <w:lang w:eastAsia="zh-CN"/>
        </w:rPr>
        <w:sectPr>
          <w:pgSz w:w="16838" w:h="11905" w:orient="landscape"/>
          <w:pgMar w:top="1587" w:right="1701" w:bottom="1587" w:left="1701" w:header="1077" w:footer="1134" w:gutter="0"/>
          <w:pgBorders>
            <w:top w:val="none" w:sz="0" w:space="0"/>
            <w:left w:val="none" w:sz="0" w:space="0"/>
            <w:bottom w:val="none" w:sz="0" w:space="0"/>
            <w:right w:val="none" w:sz="0" w:space="0"/>
          </w:pgBorders>
          <w:pgNumType w:fmt="decimal"/>
          <w:cols w:space="0" w:num="1"/>
          <w:rtlGutter w:val="0"/>
          <w:docGrid w:type="lines" w:linePitch="415" w:charSpace="0"/>
        </w:sectPr>
      </w:pPr>
      <w:bookmarkStart w:id="324" w:name="_Toc16389"/>
      <w:bookmarkStart w:id="325" w:name="_Toc30597"/>
      <w:bookmarkStart w:id="326" w:name="_Toc8439"/>
      <w:r>
        <w:rPr>
          <w:rFonts w:hint="eastAsia" w:ascii="宋体" w:hAnsi="宋体" w:eastAsia="宋体" w:cs="宋体"/>
          <w:b/>
          <w:bCs/>
          <w:color w:val="auto"/>
          <w:sz w:val="24"/>
          <w:szCs w:val="32"/>
          <w:highlight w:val="none"/>
          <w:u w:val="none"/>
          <w:lang w:val="en-US" w:eastAsia="zh-CN"/>
        </w:rPr>
        <w:t>附图3平面布置及监测点位图</w:t>
      </w:r>
      <w:bookmarkEnd w:id="318"/>
      <w:bookmarkEnd w:id="323"/>
      <w:bookmarkEnd w:id="324"/>
      <w:bookmarkEnd w:id="325"/>
      <w:bookmarkEnd w:id="326"/>
    </w:p>
    <w:bookmarkEnd w:id="165"/>
    <w:bookmarkEnd w:id="166"/>
    <w:bookmarkEnd w:id="167"/>
    <w:bookmarkEnd w:id="168"/>
    <w:bookmarkEnd w:id="169"/>
    <w:tbl>
      <w:tblPr>
        <w:tblStyle w:val="2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489"/>
        <w:gridCol w:w="445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982" w:hRule="atLeast"/>
        </w:trPr>
        <w:tc>
          <w:tcPr>
            <w:tcW w:w="4621" w:type="dxa"/>
          </w:tcPr>
          <w:p>
            <w:pPr>
              <w:keepNext w:val="0"/>
              <w:keepLines w:val="0"/>
              <w:widowControl/>
              <w:suppressLineNumbers w:val="0"/>
              <w:adjustRightInd w:val="0"/>
              <w:snapToGrid w:val="0"/>
              <w:spacing w:before="0" w:beforeAutospacing="0" w:after="120" w:afterAutospacing="0" w:line="560" w:lineRule="exact"/>
              <w:ind w:left="0" w:leftChars="0" w:right="0" w:firstLine="0" w:firstLineChars="0"/>
              <w:jc w:val="both"/>
              <w:rPr>
                <w:rFonts w:hint="eastAsia" w:ascii="宋体" w:hAnsi="宋体" w:eastAsia="宋体" w:cs="宋体"/>
                <w:snapToGrid/>
                <w:spacing w:val="6"/>
                <w:kern w:val="0"/>
                <w:sz w:val="28"/>
                <w:szCs w:val="22"/>
                <w:vertAlign w:val="baseline"/>
                <w:lang w:val="en-US" w:eastAsia="zh-CN" w:bidi="ar"/>
              </w:rPr>
            </w:pPr>
            <w:r>
              <w:rPr>
                <w:rFonts w:hint="eastAsia" w:ascii="宋体" w:hAnsi="宋体" w:eastAsia="宋体" w:cs="宋体"/>
                <w:snapToGrid/>
                <w:spacing w:val="6"/>
                <w:kern w:val="0"/>
                <w:sz w:val="28"/>
                <w:szCs w:val="22"/>
                <w:vertAlign w:val="baseline"/>
                <w:lang w:val="en-US" w:eastAsia="zh-CN" w:bidi="ar"/>
              </w:rPr>
              <w:drawing>
                <wp:anchor distT="0" distB="0" distL="114300" distR="114300" simplePos="0" relativeHeight="251718656" behindDoc="0" locked="0" layoutInCell="1" allowOverlap="1">
                  <wp:simplePos x="0" y="0"/>
                  <wp:positionH relativeFrom="column">
                    <wp:posOffset>7620</wp:posOffset>
                  </wp:positionH>
                  <wp:positionV relativeFrom="paragraph">
                    <wp:posOffset>65405</wp:posOffset>
                  </wp:positionV>
                  <wp:extent cx="2748280" cy="3637915"/>
                  <wp:effectExtent l="0" t="0" r="52070" b="38735"/>
                  <wp:wrapSquare wrapText="bothSides"/>
                  <wp:docPr id="16" name="图片 16" descr="微信图片_20231030085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微信图片_20231030085617"/>
                          <pic:cNvPicPr>
                            <a:picLocks noChangeAspect="1"/>
                          </pic:cNvPicPr>
                        </pic:nvPicPr>
                        <pic:blipFill>
                          <a:blip r:embed="rId25"/>
                          <a:stretch>
                            <a:fillRect/>
                          </a:stretch>
                        </pic:blipFill>
                        <pic:spPr>
                          <a:xfrm>
                            <a:off x="0" y="0"/>
                            <a:ext cx="2748280" cy="3637915"/>
                          </a:xfrm>
                          <a:prstGeom prst="rect">
                            <a:avLst/>
                          </a:prstGeom>
                        </pic:spPr>
                      </pic:pic>
                    </a:graphicData>
                  </a:graphic>
                </wp:anchor>
              </w:drawing>
            </w:r>
          </w:p>
        </w:tc>
        <w:tc>
          <w:tcPr>
            <w:tcW w:w="4621" w:type="dxa"/>
          </w:tcPr>
          <w:p>
            <w:pPr>
              <w:keepNext w:val="0"/>
              <w:keepLines w:val="0"/>
              <w:widowControl/>
              <w:suppressLineNumbers w:val="0"/>
              <w:adjustRightInd w:val="0"/>
              <w:snapToGrid w:val="0"/>
              <w:spacing w:before="0" w:beforeAutospacing="0" w:after="120" w:afterAutospacing="0" w:line="560" w:lineRule="exact"/>
              <w:ind w:left="0" w:leftChars="0" w:right="0" w:firstLine="0" w:firstLineChars="0"/>
              <w:jc w:val="both"/>
              <w:rPr>
                <w:rFonts w:hint="eastAsia" w:ascii="宋体" w:hAnsi="宋体" w:eastAsia="宋体" w:cs="宋体"/>
                <w:snapToGrid/>
                <w:spacing w:val="6"/>
                <w:kern w:val="0"/>
                <w:sz w:val="28"/>
                <w:szCs w:val="22"/>
                <w:vertAlign w:val="baseline"/>
                <w:lang w:val="en-US" w:eastAsia="zh-CN" w:bidi="ar"/>
              </w:rPr>
            </w:pPr>
            <w:r>
              <w:rPr>
                <w:rFonts w:hint="eastAsia" w:ascii="宋体" w:hAnsi="宋体" w:eastAsia="宋体" w:cs="宋体"/>
                <w:snapToGrid/>
                <w:spacing w:val="6"/>
                <w:kern w:val="0"/>
                <w:sz w:val="28"/>
                <w:szCs w:val="22"/>
                <w:vertAlign w:val="baseline"/>
                <w:lang w:val="en-US" w:eastAsia="zh-CN" w:bidi="ar"/>
              </w:rPr>
              <w:drawing>
                <wp:anchor distT="0" distB="0" distL="114300" distR="114300" simplePos="0" relativeHeight="251719680" behindDoc="1" locked="0" layoutInCell="1" allowOverlap="1">
                  <wp:simplePos x="0" y="0"/>
                  <wp:positionH relativeFrom="column">
                    <wp:posOffset>-1270</wp:posOffset>
                  </wp:positionH>
                  <wp:positionV relativeFrom="paragraph">
                    <wp:posOffset>72390</wp:posOffset>
                  </wp:positionV>
                  <wp:extent cx="2736215" cy="3622675"/>
                  <wp:effectExtent l="0" t="0" r="0" b="0"/>
                  <wp:wrapTight wrapText="bothSides">
                    <wp:wrapPolygon>
                      <wp:start x="0" y="0"/>
                      <wp:lineTo x="0" y="21467"/>
                      <wp:lineTo x="21505" y="21467"/>
                      <wp:lineTo x="21505" y="0"/>
                      <wp:lineTo x="0" y="0"/>
                    </wp:wrapPolygon>
                  </wp:wrapTight>
                  <wp:docPr id="34" name="图片 34" descr="微信图片_20231030085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微信图片_20231030085620"/>
                          <pic:cNvPicPr>
                            <a:picLocks noChangeAspect="1"/>
                          </pic:cNvPicPr>
                        </pic:nvPicPr>
                        <pic:blipFill>
                          <a:blip r:embed="rId26"/>
                          <a:stretch>
                            <a:fillRect/>
                          </a:stretch>
                        </pic:blipFill>
                        <pic:spPr>
                          <a:xfrm>
                            <a:off x="0" y="0"/>
                            <a:ext cx="2736215" cy="3622675"/>
                          </a:xfrm>
                          <a:prstGeom prst="rect">
                            <a:avLst/>
                          </a:prstGeom>
                        </pic:spPr>
                      </pic:pic>
                    </a:graphicData>
                  </a:graphic>
                </wp:anchor>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32" w:hRule="atLeast"/>
        </w:trPr>
        <w:tc>
          <w:tcPr>
            <w:tcW w:w="4621" w:type="dxa"/>
          </w:tcPr>
          <w:p>
            <w:pPr>
              <w:keepNext w:val="0"/>
              <w:keepLines w:val="0"/>
              <w:widowControl/>
              <w:suppressLineNumbers w:val="0"/>
              <w:adjustRightInd w:val="0"/>
              <w:snapToGrid w:val="0"/>
              <w:spacing w:before="0" w:beforeAutospacing="0" w:after="120" w:afterAutospacing="0" w:line="560" w:lineRule="exact"/>
              <w:ind w:left="420" w:leftChars="200" w:right="0" w:firstLine="584" w:firstLineChars="200"/>
              <w:jc w:val="center"/>
              <w:rPr>
                <w:rFonts w:hint="eastAsia" w:ascii="宋体" w:hAnsi="宋体" w:eastAsia="宋体" w:cs="宋体"/>
                <w:snapToGrid/>
                <w:spacing w:val="6"/>
                <w:kern w:val="0"/>
                <w:sz w:val="28"/>
                <w:szCs w:val="22"/>
                <w:vertAlign w:val="baseline"/>
                <w:lang w:val="en-US" w:eastAsia="zh-CN" w:bidi="ar"/>
              </w:rPr>
            </w:pPr>
            <w:r>
              <w:rPr>
                <w:rFonts w:hint="eastAsia" w:ascii="宋体" w:hAnsi="宋体" w:eastAsia="宋体" w:cs="宋体"/>
                <w:snapToGrid/>
                <w:spacing w:val="6"/>
                <w:kern w:val="0"/>
                <w:sz w:val="28"/>
                <w:szCs w:val="22"/>
                <w:vertAlign w:val="baseline"/>
                <w:lang w:val="en-US" w:eastAsia="zh-CN" w:bidi="ar"/>
              </w:rPr>
              <w:drawing>
                <wp:anchor distT="0" distB="0" distL="114300" distR="114300" simplePos="0" relativeHeight="251720704" behindDoc="1" locked="0" layoutInCell="1" allowOverlap="1">
                  <wp:simplePos x="0" y="0"/>
                  <wp:positionH relativeFrom="column">
                    <wp:posOffset>622300</wp:posOffset>
                  </wp:positionH>
                  <wp:positionV relativeFrom="paragraph">
                    <wp:posOffset>-3296920</wp:posOffset>
                  </wp:positionV>
                  <wp:extent cx="2694305" cy="3566160"/>
                  <wp:effectExtent l="0" t="0" r="10795" b="15240"/>
                  <wp:wrapTight wrapText="bothSides">
                    <wp:wrapPolygon>
                      <wp:start x="0" y="0"/>
                      <wp:lineTo x="0" y="21462"/>
                      <wp:lineTo x="21381" y="21462"/>
                      <wp:lineTo x="21381" y="0"/>
                      <wp:lineTo x="0" y="0"/>
                    </wp:wrapPolygon>
                  </wp:wrapTight>
                  <wp:docPr id="3" name="图片 3" descr="微信图片_20231030085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微信图片_20231030085615"/>
                          <pic:cNvPicPr>
                            <a:picLocks noChangeAspect="1"/>
                          </pic:cNvPicPr>
                        </pic:nvPicPr>
                        <pic:blipFill>
                          <a:blip r:embed="rId27"/>
                          <a:stretch>
                            <a:fillRect/>
                          </a:stretch>
                        </pic:blipFill>
                        <pic:spPr>
                          <a:xfrm>
                            <a:off x="0" y="0"/>
                            <a:ext cx="2694305" cy="3566160"/>
                          </a:xfrm>
                          <a:prstGeom prst="rect">
                            <a:avLst/>
                          </a:prstGeom>
                        </pic:spPr>
                      </pic:pic>
                    </a:graphicData>
                  </a:graphic>
                </wp:anchor>
              </w:drawing>
            </w:r>
          </w:p>
        </w:tc>
        <w:tc>
          <w:tcPr>
            <w:tcW w:w="4621" w:type="dxa"/>
          </w:tcPr>
          <w:p>
            <w:pPr>
              <w:keepNext w:val="0"/>
              <w:keepLines w:val="0"/>
              <w:widowControl/>
              <w:suppressLineNumbers w:val="0"/>
              <w:adjustRightInd w:val="0"/>
              <w:snapToGrid w:val="0"/>
              <w:spacing w:before="0" w:beforeAutospacing="0" w:after="120" w:afterAutospacing="0" w:line="560" w:lineRule="exact"/>
              <w:ind w:left="0" w:leftChars="0" w:right="0" w:firstLine="0" w:firstLineChars="0"/>
              <w:jc w:val="both"/>
              <w:rPr>
                <w:rFonts w:hint="eastAsia" w:ascii="宋体" w:hAnsi="宋体" w:eastAsia="宋体" w:cs="宋体"/>
                <w:snapToGrid/>
                <w:spacing w:val="6"/>
                <w:kern w:val="0"/>
                <w:sz w:val="28"/>
                <w:szCs w:val="22"/>
                <w:vertAlign w:val="baseline"/>
                <w:lang w:val="en-US" w:eastAsia="zh-CN" w:bidi="ar"/>
              </w:rPr>
            </w:pPr>
            <w:r>
              <w:rPr>
                <w:rFonts w:hint="eastAsia" w:ascii="宋体" w:hAnsi="宋体" w:eastAsia="宋体" w:cs="宋体"/>
                <w:snapToGrid/>
                <w:spacing w:val="6"/>
                <w:kern w:val="0"/>
                <w:sz w:val="28"/>
                <w:szCs w:val="22"/>
                <w:vertAlign w:val="baseline"/>
                <w:lang w:val="en-US" w:eastAsia="zh-CN" w:bidi="ar"/>
              </w:rPr>
              <w:drawing>
                <wp:anchor distT="0" distB="0" distL="114300" distR="114300" simplePos="0" relativeHeight="251717632" behindDoc="1" locked="0" layoutInCell="1" allowOverlap="1">
                  <wp:simplePos x="0" y="0"/>
                  <wp:positionH relativeFrom="column">
                    <wp:posOffset>-87630</wp:posOffset>
                  </wp:positionH>
                  <wp:positionV relativeFrom="paragraph">
                    <wp:posOffset>-3296920</wp:posOffset>
                  </wp:positionV>
                  <wp:extent cx="2694305" cy="3566160"/>
                  <wp:effectExtent l="0" t="0" r="10795" b="15240"/>
                  <wp:wrapTight wrapText="bothSides">
                    <wp:wrapPolygon>
                      <wp:start x="0" y="0"/>
                      <wp:lineTo x="0" y="21462"/>
                      <wp:lineTo x="21381" y="21462"/>
                      <wp:lineTo x="21381" y="0"/>
                      <wp:lineTo x="0" y="0"/>
                    </wp:wrapPolygon>
                  </wp:wrapTight>
                  <wp:docPr id="2" name="图片 2" descr="微信图片_20231030085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微信图片_20231030085613"/>
                          <pic:cNvPicPr>
                            <a:picLocks noChangeAspect="1"/>
                          </pic:cNvPicPr>
                        </pic:nvPicPr>
                        <pic:blipFill>
                          <a:blip r:embed="rId28"/>
                          <a:stretch>
                            <a:fillRect/>
                          </a:stretch>
                        </pic:blipFill>
                        <pic:spPr>
                          <a:xfrm>
                            <a:off x="0" y="0"/>
                            <a:ext cx="2694305" cy="3566160"/>
                          </a:xfrm>
                          <a:prstGeom prst="rect">
                            <a:avLst/>
                          </a:prstGeom>
                        </pic:spPr>
                      </pic:pic>
                    </a:graphicData>
                  </a:graphic>
                </wp:anchor>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982" w:hRule="atLeast"/>
        </w:trPr>
        <w:tc>
          <w:tcPr>
            <w:tcW w:w="4621" w:type="dxa"/>
          </w:tcPr>
          <w:p>
            <w:pPr>
              <w:keepNext w:val="0"/>
              <w:keepLines w:val="0"/>
              <w:widowControl/>
              <w:suppressLineNumbers w:val="0"/>
              <w:adjustRightInd w:val="0"/>
              <w:snapToGrid w:val="0"/>
              <w:spacing w:before="0" w:beforeAutospacing="0" w:after="120" w:afterAutospacing="0" w:line="560" w:lineRule="exact"/>
              <w:ind w:left="0" w:leftChars="0" w:right="0" w:firstLine="0" w:firstLineChars="0"/>
              <w:jc w:val="both"/>
              <w:rPr>
                <w:rFonts w:hint="eastAsia" w:ascii="宋体" w:hAnsi="宋体" w:eastAsia="宋体" w:cs="宋体"/>
                <w:snapToGrid/>
                <w:spacing w:val="6"/>
                <w:kern w:val="0"/>
                <w:sz w:val="28"/>
                <w:szCs w:val="22"/>
                <w:vertAlign w:val="baseline"/>
                <w:lang w:val="en-US" w:eastAsia="zh-CN" w:bidi="ar"/>
              </w:rPr>
            </w:pPr>
            <w:r>
              <w:rPr>
                <w:rFonts w:hint="eastAsia" w:ascii="宋体" w:hAnsi="宋体" w:eastAsia="宋体" w:cs="宋体"/>
                <w:snapToGrid/>
                <w:spacing w:val="6"/>
                <w:kern w:val="0"/>
                <w:sz w:val="28"/>
                <w:szCs w:val="22"/>
                <w:vertAlign w:val="baseline"/>
                <w:lang w:val="en-US" w:eastAsia="zh-CN" w:bidi="ar"/>
              </w:rPr>
              <w:drawing>
                <wp:anchor distT="0" distB="0" distL="114300" distR="114300" simplePos="0" relativeHeight="251721728" behindDoc="0" locked="0" layoutInCell="1" allowOverlap="1">
                  <wp:simplePos x="0" y="0"/>
                  <wp:positionH relativeFrom="column">
                    <wp:posOffset>0</wp:posOffset>
                  </wp:positionH>
                  <wp:positionV relativeFrom="paragraph">
                    <wp:posOffset>-3296920</wp:posOffset>
                  </wp:positionV>
                  <wp:extent cx="2705100" cy="3580130"/>
                  <wp:effectExtent l="0" t="0" r="0" b="1270"/>
                  <wp:wrapSquare wrapText="bothSides"/>
                  <wp:docPr id="35" name="图片 35" descr="微信图片_20231030085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微信图片_20231030085621"/>
                          <pic:cNvPicPr>
                            <a:picLocks noChangeAspect="1"/>
                          </pic:cNvPicPr>
                        </pic:nvPicPr>
                        <pic:blipFill>
                          <a:blip r:embed="rId29"/>
                          <a:stretch>
                            <a:fillRect/>
                          </a:stretch>
                        </pic:blipFill>
                        <pic:spPr>
                          <a:xfrm>
                            <a:off x="0" y="0"/>
                            <a:ext cx="2705100" cy="3580130"/>
                          </a:xfrm>
                          <a:prstGeom prst="rect">
                            <a:avLst/>
                          </a:prstGeom>
                        </pic:spPr>
                      </pic:pic>
                    </a:graphicData>
                  </a:graphic>
                </wp:anchor>
              </w:drawing>
            </w:r>
          </w:p>
        </w:tc>
        <w:tc>
          <w:tcPr>
            <w:tcW w:w="4621" w:type="dxa"/>
          </w:tcPr>
          <w:p>
            <w:pPr>
              <w:keepNext w:val="0"/>
              <w:keepLines w:val="0"/>
              <w:widowControl/>
              <w:suppressLineNumbers w:val="0"/>
              <w:adjustRightInd w:val="0"/>
              <w:snapToGrid w:val="0"/>
              <w:spacing w:before="0" w:beforeAutospacing="0" w:after="120" w:afterAutospacing="0" w:line="560" w:lineRule="exact"/>
              <w:ind w:left="0" w:leftChars="0" w:right="0" w:firstLine="0" w:firstLineChars="0"/>
              <w:jc w:val="both"/>
              <w:rPr>
                <w:rFonts w:hint="eastAsia" w:ascii="宋体" w:hAnsi="宋体" w:eastAsia="宋体" w:cs="宋体"/>
                <w:snapToGrid/>
                <w:spacing w:val="6"/>
                <w:kern w:val="0"/>
                <w:sz w:val="28"/>
                <w:szCs w:val="22"/>
                <w:vertAlign w:val="baseline"/>
                <w:lang w:val="en-US" w:eastAsia="zh-CN" w:bidi="ar"/>
              </w:rPr>
            </w:pPr>
            <w:r>
              <w:rPr>
                <w:rFonts w:hint="eastAsia" w:ascii="宋体" w:hAnsi="宋体" w:eastAsia="宋体" w:cs="宋体"/>
                <w:snapToGrid/>
                <w:spacing w:val="6"/>
                <w:kern w:val="0"/>
                <w:sz w:val="28"/>
                <w:szCs w:val="22"/>
                <w:vertAlign w:val="baseline"/>
                <w:lang w:val="en-US" w:eastAsia="zh-CN" w:bidi="ar"/>
              </w:rPr>
              <w:drawing>
                <wp:anchor distT="0" distB="0" distL="114300" distR="114300" simplePos="0" relativeHeight="251722752" behindDoc="0" locked="0" layoutInCell="1" allowOverlap="1">
                  <wp:simplePos x="0" y="0"/>
                  <wp:positionH relativeFrom="column">
                    <wp:posOffset>-94615</wp:posOffset>
                  </wp:positionH>
                  <wp:positionV relativeFrom="paragraph">
                    <wp:posOffset>-3277870</wp:posOffset>
                  </wp:positionV>
                  <wp:extent cx="2684145" cy="3552190"/>
                  <wp:effectExtent l="0" t="0" r="1905" b="10160"/>
                  <wp:wrapSquare wrapText="bothSides"/>
                  <wp:docPr id="36" name="图片 36" descr="微信图片_20231030085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微信图片_20231030085622"/>
                          <pic:cNvPicPr>
                            <a:picLocks noChangeAspect="1"/>
                          </pic:cNvPicPr>
                        </pic:nvPicPr>
                        <pic:blipFill>
                          <a:blip r:embed="rId30"/>
                          <a:stretch>
                            <a:fillRect/>
                          </a:stretch>
                        </pic:blipFill>
                        <pic:spPr>
                          <a:xfrm>
                            <a:off x="0" y="0"/>
                            <a:ext cx="2684145" cy="3552190"/>
                          </a:xfrm>
                          <a:prstGeom prst="rect">
                            <a:avLst/>
                          </a:prstGeom>
                        </pic:spPr>
                      </pic:pic>
                    </a:graphicData>
                  </a:graphic>
                </wp:anchor>
              </w:drawing>
            </w:r>
          </w:p>
        </w:tc>
      </w:tr>
    </w:tbl>
    <w:p>
      <w:pPr>
        <w:pStyle w:val="7"/>
        <w:jc w:val="center"/>
        <w:rPr>
          <w:rFonts w:hint="eastAsia" w:ascii="宋体" w:hAnsi="宋体" w:eastAsia="宋体" w:cs="宋体"/>
          <w:sz w:val="24"/>
          <w:szCs w:val="24"/>
          <w:highlight w:val="none"/>
        </w:rPr>
        <w:sectPr>
          <w:footerReference r:id="rId7" w:type="default"/>
          <w:pgSz w:w="11905" w:h="16838"/>
          <w:pgMar w:top="1701" w:right="1587" w:bottom="1701" w:left="1587" w:header="1077" w:footer="1134" w:gutter="0"/>
          <w:pgBorders>
            <w:top w:val="none" w:sz="0" w:space="0"/>
            <w:left w:val="none" w:sz="0" w:space="0"/>
            <w:bottom w:val="none" w:sz="0" w:space="0"/>
            <w:right w:val="none" w:sz="0" w:space="0"/>
          </w:pgBorders>
          <w:pgNumType w:fmt="decimal"/>
          <w:cols w:space="0" w:num="1"/>
          <w:rtlGutter w:val="0"/>
          <w:docGrid w:type="lines" w:linePitch="415" w:charSpace="0"/>
        </w:sectPr>
      </w:pPr>
      <w:bookmarkStart w:id="327" w:name="_Toc6399"/>
      <w:r>
        <w:rPr>
          <w:rFonts w:hint="eastAsia" w:ascii="宋体" w:hAnsi="宋体" w:eastAsia="宋体" w:cs="宋体"/>
          <w:sz w:val="24"/>
          <w:szCs w:val="24"/>
          <w:highlight w:val="none"/>
          <w:lang w:val="zh-CN" w:eastAsia="zh-CN"/>
        </w:rPr>
        <w:t>附图</w:t>
      </w:r>
      <w:r>
        <w:rPr>
          <w:rFonts w:hint="eastAsia" w:ascii="宋体" w:hAnsi="宋体" w:eastAsia="宋体" w:cs="宋体"/>
          <w:sz w:val="24"/>
          <w:szCs w:val="24"/>
          <w:highlight w:val="none"/>
          <w:lang w:val="en-US" w:eastAsia="zh-CN"/>
        </w:rPr>
        <w:t xml:space="preserve">4  </w:t>
      </w:r>
      <w:r>
        <w:rPr>
          <w:rFonts w:hint="eastAsia" w:ascii="宋体" w:hAnsi="宋体" w:eastAsia="宋体" w:cs="宋体"/>
          <w:sz w:val="24"/>
          <w:szCs w:val="24"/>
          <w:highlight w:val="none"/>
          <w:lang w:val="zh-CN" w:eastAsia="zh-CN"/>
        </w:rPr>
        <w:t>现场采样照片</w:t>
      </w:r>
      <w:bookmarkEnd w:id="327"/>
    </w:p>
    <w:p>
      <w:pPr>
        <w:outlineLvl w:val="0"/>
        <w:rPr>
          <w:rFonts w:hint="default" w:ascii="宋体" w:hAnsi="宋体" w:eastAsia="宋体" w:cs="宋体"/>
          <w:b/>
          <w:bCs/>
          <w:sz w:val="24"/>
          <w:szCs w:val="32"/>
          <w:lang w:val="en-US" w:eastAsia="zh-CN"/>
        </w:rPr>
      </w:pPr>
      <w:bookmarkStart w:id="328" w:name="_Toc20638"/>
      <w:r>
        <w:rPr>
          <w:rFonts w:hint="eastAsia" w:ascii="宋体" w:hAnsi="宋体" w:eastAsia="宋体" w:cs="宋体"/>
          <w:b/>
          <w:bCs/>
          <w:sz w:val="24"/>
          <w:szCs w:val="32"/>
          <w:lang w:val="en-US" w:eastAsia="zh-CN"/>
        </w:rPr>
        <w:t>附件1 检测报告</w:t>
      </w:r>
      <w:bookmarkEnd w:id="328"/>
    </w:p>
    <w:p>
      <w:pPr>
        <w:pStyle w:val="2"/>
        <w:spacing w:line="240" w:lineRule="auto"/>
        <w:ind w:left="0" w:leftChars="0" w:firstLine="0" w:firstLineChars="0"/>
        <w:rPr>
          <w:rFonts w:hint="eastAsia" w:ascii="宋体" w:hAnsi="宋体" w:eastAsia="宋体" w:cs="宋体"/>
          <w:b/>
          <w:bCs/>
          <w:sz w:val="24"/>
          <w:szCs w:val="32"/>
          <w:lang w:val="en-US" w:eastAsia="zh-CN"/>
        </w:rPr>
      </w:pPr>
      <w:r>
        <w:rPr>
          <w:rFonts w:hint="eastAsia" w:ascii="宋体" w:hAnsi="宋体" w:eastAsia="宋体" w:cs="宋体"/>
          <w:b/>
          <w:bCs/>
          <w:color w:val="auto"/>
          <w:spacing w:val="0"/>
          <w:highlight w:val="none"/>
          <w:u w:val="none"/>
          <w:lang w:eastAsia="zh-CN"/>
        </w:rPr>
        <w:drawing>
          <wp:inline distT="0" distB="0" distL="114300" distR="114300">
            <wp:extent cx="5641340" cy="7979410"/>
            <wp:effectExtent l="0" t="0" r="10160" b="8890"/>
            <wp:docPr id="30" name="图片 30" descr="007-06-2023 三门峡新鑫源科技有限公司 土壤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007-06-2023 三门峡新鑫源科技有限公司 土壤_00"/>
                    <pic:cNvPicPr>
                      <a:picLocks noChangeAspect="1"/>
                    </pic:cNvPicPr>
                  </pic:nvPicPr>
                  <pic:blipFill>
                    <a:blip r:embed="rId31"/>
                    <a:stretch>
                      <a:fillRect/>
                    </a:stretch>
                  </pic:blipFill>
                  <pic:spPr>
                    <a:xfrm>
                      <a:off x="0" y="0"/>
                      <a:ext cx="5641340" cy="7979410"/>
                    </a:xfrm>
                    <a:prstGeom prst="rect">
                      <a:avLst/>
                    </a:prstGeom>
                  </pic:spPr>
                </pic:pic>
              </a:graphicData>
            </a:graphic>
          </wp:inline>
        </w:drawing>
      </w:r>
      <w:r>
        <w:rPr>
          <w:rFonts w:hint="eastAsia" w:ascii="宋体" w:hAnsi="宋体" w:eastAsia="宋体" w:cs="宋体"/>
          <w:b/>
          <w:bCs/>
          <w:color w:val="auto"/>
          <w:spacing w:val="0"/>
          <w:highlight w:val="none"/>
          <w:u w:val="none"/>
          <w:lang w:eastAsia="zh-CN"/>
        </w:rPr>
        <w:drawing>
          <wp:inline distT="0" distB="0" distL="114300" distR="114300">
            <wp:extent cx="5792470" cy="8195310"/>
            <wp:effectExtent l="0" t="0" r="11430" b="8890"/>
            <wp:docPr id="31" name="图片 31" descr="007-06-2023 三门峡新鑫源科技有限公司 土壤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007-06-2023 三门峡新鑫源科技有限公司 土壤_01"/>
                    <pic:cNvPicPr>
                      <a:picLocks noChangeAspect="1"/>
                    </pic:cNvPicPr>
                  </pic:nvPicPr>
                  <pic:blipFill>
                    <a:blip r:embed="rId32"/>
                    <a:stretch>
                      <a:fillRect/>
                    </a:stretch>
                  </pic:blipFill>
                  <pic:spPr>
                    <a:xfrm>
                      <a:off x="0" y="0"/>
                      <a:ext cx="5792470" cy="8195310"/>
                    </a:xfrm>
                    <a:prstGeom prst="rect">
                      <a:avLst/>
                    </a:prstGeom>
                  </pic:spPr>
                </pic:pic>
              </a:graphicData>
            </a:graphic>
          </wp:inline>
        </w:drawing>
      </w:r>
      <w:r>
        <w:rPr>
          <w:rFonts w:hint="eastAsia" w:ascii="宋体" w:hAnsi="宋体" w:eastAsia="宋体" w:cs="宋体"/>
          <w:b/>
          <w:bCs/>
          <w:color w:val="auto"/>
          <w:spacing w:val="0"/>
          <w:highlight w:val="none"/>
          <w:u w:val="none"/>
          <w:lang w:eastAsia="zh-CN"/>
        </w:rPr>
        <w:drawing>
          <wp:inline distT="0" distB="0" distL="114300" distR="114300">
            <wp:extent cx="5944235" cy="8408035"/>
            <wp:effectExtent l="0" t="0" r="12065" b="12065"/>
            <wp:docPr id="32" name="图片 32" descr="007-06-2023 三门峡新鑫源科技有限公司 土壤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007-06-2023 三门峡新鑫源科技有限公司 土壤_02"/>
                    <pic:cNvPicPr>
                      <a:picLocks noChangeAspect="1"/>
                    </pic:cNvPicPr>
                  </pic:nvPicPr>
                  <pic:blipFill>
                    <a:blip r:embed="rId33"/>
                    <a:stretch>
                      <a:fillRect/>
                    </a:stretch>
                  </pic:blipFill>
                  <pic:spPr>
                    <a:xfrm>
                      <a:off x="0" y="0"/>
                      <a:ext cx="5944235" cy="8408035"/>
                    </a:xfrm>
                    <a:prstGeom prst="rect">
                      <a:avLst/>
                    </a:prstGeom>
                  </pic:spPr>
                </pic:pic>
              </a:graphicData>
            </a:graphic>
          </wp:inline>
        </w:drawing>
      </w:r>
      <w:r>
        <w:rPr>
          <w:rFonts w:hint="eastAsia" w:ascii="宋体" w:hAnsi="宋体" w:eastAsia="宋体" w:cs="宋体"/>
          <w:b/>
          <w:bCs/>
          <w:color w:val="auto"/>
          <w:spacing w:val="0"/>
          <w:highlight w:val="none"/>
          <w:u w:val="none"/>
          <w:lang w:eastAsia="zh-CN"/>
        </w:rPr>
        <w:drawing>
          <wp:inline distT="0" distB="0" distL="114300" distR="114300">
            <wp:extent cx="5928360" cy="8385175"/>
            <wp:effectExtent l="0" t="0" r="2540" b="9525"/>
            <wp:docPr id="33" name="图片 33" descr="007-06-2023 三门峡新鑫源科技有限公司 土壤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007-06-2023 三门峡新鑫源科技有限公司 土壤_03"/>
                    <pic:cNvPicPr>
                      <a:picLocks noChangeAspect="1"/>
                    </pic:cNvPicPr>
                  </pic:nvPicPr>
                  <pic:blipFill>
                    <a:blip r:embed="rId34"/>
                    <a:stretch>
                      <a:fillRect/>
                    </a:stretch>
                  </pic:blipFill>
                  <pic:spPr>
                    <a:xfrm>
                      <a:off x="0" y="0"/>
                      <a:ext cx="5928360" cy="8385175"/>
                    </a:xfrm>
                    <a:prstGeom prst="rect">
                      <a:avLst/>
                    </a:prstGeom>
                  </pic:spPr>
                </pic:pic>
              </a:graphicData>
            </a:graphic>
          </wp:inline>
        </w:drawing>
      </w:r>
      <w:r>
        <w:rPr>
          <w:rFonts w:hint="eastAsia" w:ascii="宋体" w:hAnsi="宋体" w:eastAsia="宋体" w:cs="宋体"/>
          <w:b/>
          <w:bCs/>
          <w:color w:val="auto"/>
          <w:spacing w:val="0"/>
          <w:highlight w:val="none"/>
          <w:u w:val="none"/>
          <w:lang w:eastAsia="zh-CN"/>
        </w:rPr>
        <w:drawing>
          <wp:inline distT="0" distB="0" distL="114300" distR="114300">
            <wp:extent cx="5876925" cy="8312785"/>
            <wp:effectExtent l="0" t="0" r="3175" b="5715"/>
            <wp:docPr id="96" name="图片 96" descr="007-06-2023 三门峡新鑫源科技有限公司 土壤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007-06-2023 三门峡新鑫源科技有限公司 土壤_04"/>
                    <pic:cNvPicPr>
                      <a:picLocks noChangeAspect="1"/>
                    </pic:cNvPicPr>
                  </pic:nvPicPr>
                  <pic:blipFill>
                    <a:blip r:embed="rId35"/>
                    <a:stretch>
                      <a:fillRect/>
                    </a:stretch>
                  </pic:blipFill>
                  <pic:spPr>
                    <a:xfrm>
                      <a:off x="0" y="0"/>
                      <a:ext cx="5876925" cy="8312785"/>
                    </a:xfrm>
                    <a:prstGeom prst="rect">
                      <a:avLst/>
                    </a:prstGeom>
                  </pic:spPr>
                </pic:pic>
              </a:graphicData>
            </a:graphic>
          </wp:inline>
        </w:drawing>
      </w:r>
      <w:r>
        <w:rPr>
          <w:rFonts w:hint="eastAsia" w:ascii="宋体" w:hAnsi="宋体" w:eastAsia="宋体" w:cs="宋体"/>
          <w:b/>
          <w:bCs/>
          <w:color w:val="auto"/>
          <w:spacing w:val="0"/>
          <w:highlight w:val="none"/>
          <w:u w:val="none"/>
          <w:lang w:eastAsia="zh-CN"/>
        </w:rPr>
        <w:drawing>
          <wp:inline distT="0" distB="0" distL="114300" distR="114300">
            <wp:extent cx="5910580" cy="8360410"/>
            <wp:effectExtent l="0" t="0" r="7620" b="8890"/>
            <wp:docPr id="95" name="图片 95" descr="007-06-2023 三门峡新鑫源科技有限公司 土壤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007-06-2023 三门峡新鑫源科技有限公司 土壤_05"/>
                    <pic:cNvPicPr>
                      <a:picLocks noChangeAspect="1"/>
                    </pic:cNvPicPr>
                  </pic:nvPicPr>
                  <pic:blipFill>
                    <a:blip r:embed="rId36"/>
                    <a:stretch>
                      <a:fillRect/>
                    </a:stretch>
                  </pic:blipFill>
                  <pic:spPr>
                    <a:xfrm>
                      <a:off x="0" y="0"/>
                      <a:ext cx="5910580" cy="8360410"/>
                    </a:xfrm>
                    <a:prstGeom prst="rect">
                      <a:avLst/>
                    </a:prstGeom>
                  </pic:spPr>
                </pic:pic>
              </a:graphicData>
            </a:graphic>
          </wp:inline>
        </w:drawing>
      </w:r>
      <w:r>
        <w:rPr>
          <w:rFonts w:hint="eastAsia" w:ascii="宋体" w:hAnsi="宋体" w:eastAsia="宋体" w:cs="宋体"/>
          <w:b/>
          <w:bCs/>
          <w:color w:val="auto"/>
          <w:spacing w:val="0"/>
          <w:highlight w:val="none"/>
          <w:u w:val="none"/>
          <w:lang w:eastAsia="zh-CN"/>
        </w:rPr>
        <w:drawing>
          <wp:inline distT="0" distB="0" distL="114300" distR="114300">
            <wp:extent cx="5894070" cy="8336915"/>
            <wp:effectExtent l="0" t="0" r="11430" b="6985"/>
            <wp:docPr id="94" name="图片 94" descr="007-06-2023 三门峡新鑫源科技有限公司 土壤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007-06-2023 三门峡新鑫源科技有限公司 土壤_06"/>
                    <pic:cNvPicPr>
                      <a:picLocks noChangeAspect="1"/>
                    </pic:cNvPicPr>
                  </pic:nvPicPr>
                  <pic:blipFill>
                    <a:blip r:embed="rId37"/>
                    <a:stretch>
                      <a:fillRect/>
                    </a:stretch>
                  </pic:blipFill>
                  <pic:spPr>
                    <a:xfrm>
                      <a:off x="0" y="0"/>
                      <a:ext cx="5894070" cy="8336915"/>
                    </a:xfrm>
                    <a:prstGeom prst="rect">
                      <a:avLst/>
                    </a:prstGeom>
                  </pic:spPr>
                </pic:pic>
              </a:graphicData>
            </a:graphic>
          </wp:inline>
        </w:drawing>
      </w:r>
      <w:r>
        <w:rPr>
          <w:rFonts w:hint="eastAsia" w:ascii="宋体" w:hAnsi="宋体" w:eastAsia="宋体" w:cs="宋体"/>
          <w:b/>
          <w:bCs/>
          <w:color w:val="auto"/>
          <w:spacing w:val="0"/>
          <w:highlight w:val="none"/>
          <w:u w:val="none"/>
          <w:lang w:eastAsia="zh-CN"/>
        </w:rPr>
        <w:drawing>
          <wp:inline distT="0" distB="0" distL="114300" distR="114300">
            <wp:extent cx="5910580" cy="8360410"/>
            <wp:effectExtent l="0" t="0" r="7620" b="8890"/>
            <wp:docPr id="93" name="图片 93" descr="007-06-2023 三门峡新鑫源科技有限公司 土壤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007-06-2023 三门峡新鑫源科技有限公司 土壤_07"/>
                    <pic:cNvPicPr>
                      <a:picLocks noChangeAspect="1"/>
                    </pic:cNvPicPr>
                  </pic:nvPicPr>
                  <pic:blipFill>
                    <a:blip r:embed="rId38"/>
                    <a:stretch>
                      <a:fillRect/>
                    </a:stretch>
                  </pic:blipFill>
                  <pic:spPr>
                    <a:xfrm>
                      <a:off x="0" y="0"/>
                      <a:ext cx="5910580" cy="8360410"/>
                    </a:xfrm>
                    <a:prstGeom prst="rect">
                      <a:avLst/>
                    </a:prstGeom>
                  </pic:spPr>
                </pic:pic>
              </a:graphicData>
            </a:graphic>
          </wp:inline>
        </w:drawing>
      </w:r>
      <w:r>
        <w:rPr>
          <w:rFonts w:hint="eastAsia" w:ascii="宋体" w:hAnsi="宋体" w:eastAsia="宋体" w:cs="宋体"/>
          <w:b/>
          <w:bCs/>
          <w:color w:val="auto"/>
          <w:spacing w:val="0"/>
          <w:highlight w:val="none"/>
          <w:u w:val="none"/>
          <w:lang w:eastAsia="zh-CN"/>
        </w:rPr>
        <w:drawing>
          <wp:inline distT="0" distB="0" distL="114300" distR="114300">
            <wp:extent cx="5944235" cy="8408035"/>
            <wp:effectExtent l="0" t="0" r="12065" b="12065"/>
            <wp:docPr id="92" name="图片 92" descr="007-06-2023 三门峡新鑫源科技有限公司 土壤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007-06-2023 三门峡新鑫源科技有限公司 土壤_08"/>
                    <pic:cNvPicPr>
                      <a:picLocks noChangeAspect="1"/>
                    </pic:cNvPicPr>
                  </pic:nvPicPr>
                  <pic:blipFill>
                    <a:blip r:embed="rId39"/>
                    <a:stretch>
                      <a:fillRect/>
                    </a:stretch>
                  </pic:blipFill>
                  <pic:spPr>
                    <a:xfrm>
                      <a:off x="0" y="0"/>
                      <a:ext cx="5944235" cy="8408035"/>
                    </a:xfrm>
                    <a:prstGeom prst="rect">
                      <a:avLst/>
                    </a:prstGeom>
                  </pic:spPr>
                </pic:pic>
              </a:graphicData>
            </a:graphic>
          </wp:inline>
        </w:drawing>
      </w:r>
      <w:r>
        <w:rPr>
          <w:rFonts w:hint="eastAsia" w:ascii="宋体" w:hAnsi="宋体" w:eastAsia="宋体" w:cs="宋体"/>
          <w:b/>
          <w:bCs/>
          <w:color w:val="auto"/>
          <w:spacing w:val="0"/>
          <w:highlight w:val="none"/>
          <w:u w:val="none"/>
          <w:lang w:eastAsia="zh-CN"/>
        </w:rPr>
        <w:drawing>
          <wp:inline distT="0" distB="0" distL="114300" distR="114300">
            <wp:extent cx="5910580" cy="8360410"/>
            <wp:effectExtent l="0" t="0" r="7620" b="8890"/>
            <wp:docPr id="91" name="图片 91" descr="007-06-2023 三门峡新鑫源科技有限公司 土壤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007-06-2023 三门峡新鑫源科技有限公司 土壤_09"/>
                    <pic:cNvPicPr>
                      <a:picLocks noChangeAspect="1"/>
                    </pic:cNvPicPr>
                  </pic:nvPicPr>
                  <pic:blipFill>
                    <a:blip r:embed="rId40"/>
                    <a:stretch>
                      <a:fillRect/>
                    </a:stretch>
                  </pic:blipFill>
                  <pic:spPr>
                    <a:xfrm>
                      <a:off x="0" y="0"/>
                      <a:ext cx="5910580" cy="8360410"/>
                    </a:xfrm>
                    <a:prstGeom prst="rect">
                      <a:avLst/>
                    </a:prstGeom>
                  </pic:spPr>
                </pic:pic>
              </a:graphicData>
            </a:graphic>
          </wp:inline>
        </w:drawing>
      </w:r>
      <w:r>
        <w:rPr>
          <w:rFonts w:hint="eastAsia" w:ascii="宋体" w:hAnsi="宋体" w:eastAsia="宋体" w:cs="宋体"/>
          <w:b/>
          <w:bCs/>
          <w:color w:val="auto"/>
          <w:spacing w:val="0"/>
          <w:highlight w:val="none"/>
          <w:u w:val="none"/>
          <w:lang w:eastAsia="zh-CN"/>
        </w:rPr>
        <w:drawing>
          <wp:inline distT="0" distB="0" distL="114300" distR="114300">
            <wp:extent cx="5944235" cy="8408035"/>
            <wp:effectExtent l="0" t="0" r="12065" b="12065"/>
            <wp:docPr id="90" name="图片 90" descr="007-06-2023 三门峡新鑫源科技有限公司 土壤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007-06-2023 三门峡新鑫源科技有限公司 土壤_10"/>
                    <pic:cNvPicPr>
                      <a:picLocks noChangeAspect="1"/>
                    </pic:cNvPicPr>
                  </pic:nvPicPr>
                  <pic:blipFill>
                    <a:blip r:embed="rId41"/>
                    <a:stretch>
                      <a:fillRect/>
                    </a:stretch>
                  </pic:blipFill>
                  <pic:spPr>
                    <a:xfrm>
                      <a:off x="0" y="0"/>
                      <a:ext cx="5944235" cy="8408035"/>
                    </a:xfrm>
                    <a:prstGeom prst="rect">
                      <a:avLst/>
                    </a:prstGeom>
                  </pic:spPr>
                </pic:pic>
              </a:graphicData>
            </a:graphic>
          </wp:inline>
        </w:drawing>
      </w:r>
      <w:r>
        <w:rPr>
          <w:rFonts w:hint="eastAsia" w:ascii="宋体" w:hAnsi="宋体" w:eastAsia="宋体" w:cs="宋体"/>
          <w:b/>
          <w:bCs/>
          <w:color w:val="auto"/>
          <w:spacing w:val="0"/>
          <w:highlight w:val="none"/>
          <w:u w:val="none"/>
          <w:lang w:eastAsia="zh-CN"/>
        </w:rPr>
        <w:drawing>
          <wp:inline distT="0" distB="0" distL="114300" distR="114300">
            <wp:extent cx="5927725" cy="8384540"/>
            <wp:effectExtent l="0" t="0" r="3175" b="10160"/>
            <wp:docPr id="89" name="图片 89" descr="007-06-2023 三门峡新鑫源科技有限公司 土壤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007-06-2023 三门峡新鑫源科技有限公司 土壤_11"/>
                    <pic:cNvPicPr>
                      <a:picLocks noChangeAspect="1"/>
                    </pic:cNvPicPr>
                  </pic:nvPicPr>
                  <pic:blipFill>
                    <a:blip r:embed="rId42"/>
                    <a:stretch>
                      <a:fillRect/>
                    </a:stretch>
                  </pic:blipFill>
                  <pic:spPr>
                    <a:xfrm>
                      <a:off x="0" y="0"/>
                      <a:ext cx="5927725" cy="8384540"/>
                    </a:xfrm>
                    <a:prstGeom prst="rect">
                      <a:avLst/>
                    </a:prstGeom>
                  </pic:spPr>
                </pic:pic>
              </a:graphicData>
            </a:graphic>
          </wp:inline>
        </w:drawing>
      </w:r>
      <w:r>
        <w:rPr>
          <w:rFonts w:hint="eastAsia" w:ascii="宋体" w:hAnsi="宋体" w:eastAsia="宋体" w:cs="宋体"/>
          <w:b/>
          <w:bCs/>
          <w:color w:val="auto"/>
          <w:spacing w:val="0"/>
          <w:highlight w:val="none"/>
          <w:u w:val="none"/>
          <w:lang w:eastAsia="zh-CN"/>
        </w:rPr>
        <w:drawing>
          <wp:inline distT="0" distB="0" distL="114300" distR="114300">
            <wp:extent cx="5927725" cy="8384540"/>
            <wp:effectExtent l="0" t="0" r="3175" b="10160"/>
            <wp:docPr id="88" name="图片 88" descr="007-06-2023 三门峡新鑫源科技有限公司 土壤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007-06-2023 三门峡新鑫源科技有限公司 土壤_12"/>
                    <pic:cNvPicPr>
                      <a:picLocks noChangeAspect="1"/>
                    </pic:cNvPicPr>
                  </pic:nvPicPr>
                  <pic:blipFill>
                    <a:blip r:embed="rId43"/>
                    <a:stretch>
                      <a:fillRect/>
                    </a:stretch>
                  </pic:blipFill>
                  <pic:spPr>
                    <a:xfrm>
                      <a:off x="0" y="0"/>
                      <a:ext cx="5927725" cy="8384540"/>
                    </a:xfrm>
                    <a:prstGeom prst="rect">
                      <a:avLst/>
                    </a:prstGeom>
                  </pic:spPr>
                </pic:pic>
              </a:graphicData>
            </a:graphic>
          </wp:inline>
        </w:drawing>
      </w:r>
      <w:r>
        <w:rPr>
          <w:rFonts w:hint="eastAsia" w:ascii="宋体" w:hAnsi="宋体" w:eastAsia="宋体" w:cs="宋体"/>
          <w:b/>
          <w:bCs/>
          <w:color w:val="auto"/>
          <w:spacing w:val="0"/>
          <w:highlight w:val="none"/>
          <w:u w:val="none"/>
          <w:lang w:eastAsia="zh-CN"/>
        </w:rPr>
        <w:drawing>
          <wp:inline distT="0" distB="0" distL="114300" distR="114300">
            <wp:extent cx="5910580" cy="8360410"/>
            <wp:effectExtent l="0" t="0" r="7620" b="8890"/>
            <wp:docPr id="87" name="图片 87" descr="007-06-2023 三门峡新鑫源科技有限公司 土壤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007-06-2023 三门峡新鑫源科技有限公司 土壤_13"/>
                    <pic:cNvPicPr>
                      <a:picLocks noChangeAspect="1"/>
                    </pic:cNvPicPr>
                  </pic:nvPicPr>
                  <pic:blipFill>
                    <a:blip r:embed="rId44"/>
                    <a:stretch>
                      <a:fillRect/>
                    </a:stretch>
                  </pic:blipFill>
                  <pic:spPr>
                    <a:xfrm>
                      <a:off x="0" y="0"/>
                      <a:ext cx="5910580" cy="8360410"/>
                    </a:xfrm>
                    <a:prstGeom prst="rect">
                      <a:avLst/>
                    </a:prstGeom>
                  </pic:spPr>
                </pic:pic>
              </a:graphicData>
            </a:graphic>
          </wp:inline>
        </w:drawing>
      </w:r>
      <w:r>
        <w:rPr>
          <w:rFonts w:hint="eastAsia" w:ascii="宋体" w:hAnsi="宋体" w:eastAsia="宋体" w:cs="宋体"/>
          <w:b/>
          <w:bCs/>
          <w:color w:val="auto"/>
          <w:spacing w:val="0"/>
          <w:highlight w:val="none"/>
          <w:u w:val="none"/>
          <w:lang w:eastAsia="zh-CN"/>
        </w:rPr>
        <w:drawing>
          <wp:inline distT="0" distB="0" distL="114300" distR="114300">
            <wp:extent cx="5910580" cy="8360410"/>
            <wp:effectExtent l="0" t="0" r="7620" b="8890"/>
            <wp:docPr id="86" name="图片 86" descr="007-06-2023 三门峡新鑫源科技有限公司 土壤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007-06-2023 三门峡新鑫源科技有限公司 土壤_14"/>
                    <pic:cNvPicPr>
                      <a:picLocks noChangeAspect="1"/>
                    </pic:cNvPicPr>
                  </pic:nvPicPr>
                  <pic:blipFill>
                    <a:blip r:embed="rId45"/>
                    <a:stretch>
                      <a:fillRect/>
                    </a:stretch>
                  </pic:blipFill>
                  <pic:spPr>
                    <a:xfrm>
                      <a:off x="0" y="0"/>
                      <a:ext cx="5910580" cy="8360410"/>
                    </a:xfrm>
                    <a:prstGeom prst="rect">
                      <a:avLst/>
                    </a:prstGeom>
                  </pic:spPr>
                </pic:pic>
              </a:graphicData>
            </a:graphic>
          </wp:inline>
        </w:drawing>
      </w:r>
      <w:r>
        <w:rPr>
          <w:rFonts w:hint="eastAsia" w:ascii="宋体" w:hAnsi="宋体" w:eastAsia="宋体" w:cs="宋体"/>
          <w:b/>
          <w:bCs/>
          <w:color w:val="auto"/>
          <w:spacing w:val="0"/>
          <w:highlight w:val="none"/>
          <w:u w:val="none"/>
          <w:lang w:eastAsia="zh-CN"/>
        </w:rPr>
        <w:drawing>
          <wp:inline distT="0" distB="0" distL="114300" distR="114300">
            <wp:extent cx="5894705" cy="8337550"/>
            <wp:effectExtent l="0" t="0" r="10795" b="6350"/>
            <wp:docPr id="85" name="图片 85" descr="007-06-2023 三门峡新鑫源科技有限公司 土壤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007-06-2023 三门峡新鑫源科技有限公司 土壤_15"/>
                    <pic:cNvPicPr>
                      <a:picLocks noChangeAspect="1"/>
                    </pic:cNvPicPr>
                  </pic:nvPicPr>
                  <pic:blipFill>
                    <a:blip r:embed="rId46"/>
                    <a:stretch>
                      <a:fillRect/>
                    </a:stretch>
                  </pic:blipFill>
                  <pic:spPr>
                    <a:xfrm>
                      <a:off x="0" y="0"/>
                      <a:ext cx="5894705" cy="8337550"/>
                    </a:xfrm>
                    <a:prstGeom prst="rect">
                      <a:avLst/>
                    </a:prstGeom>
                  </pic:spPr>
                </pic:pic>
              </a:graphicData>
            </a:graphic>
          </wp:inline>
        </w:drawing>
      </w:r>
      <w:r>
        <w:rPr>
          <w:rFonts w:hint="eastAsia" w:ascii="宋体" w:hAnsi="宋体" w:eastAsia="宋体" w:cs="宋体"/>
          <w:b/>
          <w:bCs/>
          <w:color w:val="auto"/>
          <w:spacing w:val="0"/>
          <w:highlight w:val="none"/>
          <w:u w:val="none"/>
          <w:lang w:eastAsia="zh-CN"/>
        </w:rPr>
        <w:drawing>
          <wp:inline distT="0" distB="0" distL="114300" distR="114300">
            <wp:extent cx="5928360" cy="8385175"/>
            <wp:effectExtent l="0" t="0" r="2540" b="9525"/>
            <wp:docPr id="84" name="图片 84" descr="007-06-2023 三门峡新鑫源科技有限公司 土壤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007-06-2023 三门峡新鑫源科技有限公司 土壤_16"/>
                    <pic:cNvPicPr>
                      <a:picLocks noChangeAspect="1"/>
                    </pic:cNvPicPr>
                  </pic:nvPicPr>
                  <pic:blipFill>
                    <a:blip r:embed="rId47"/>
                    <a:stretch>
                      <a:fillRect/>
                    </a:stretch>
                  </pic:blipFill>
                  <pic:spPr>
                    <a:xfrm>
                      <a:off x="0" y="0"/>
                      <a:ext cx="5928360" cy="8385175"/>
                    </a:xfrm>
                    <a:prstGeom prst="rect">
                      <a:avLst/>
                    </a:prstGeom>
                  </pic:spPr>
                </pic:pic>
              </a:graphicData>
            </a:graphic>
          </wp:inline>
        </w:drawing>
      </w:r>
      <w:r>
        <w:rPr>
          <w:rFonts w:hint="eastAsia" w:ascii="宋体" w:hAnsi="宋体" w:eastAsia="宋体" w:cs="宋体"/>
          <w:b/>
          <w:bCs/>
          <w:color w:val="auto"/>
          <w:spacing w:val="0"/>
          <w:highlight w:val="none"/>
          <w:u w:val="none"/>
          <w:lang w:eastAsia="zh-CN"/>
        </w:rPr>
        <w:drawing>
          <wp:inline distT="0" distB="0" distL="114300" distR="114300">
            <wp:extent cx="5945505" cy="8409305"/>
            <wp:effectExtent l="0" t="0" r="10795" b="10795"/>
            <wp:docPr id="83" name="图片 83" descr="007-06-2023 三门峡新鑫源科技有限公司 土壤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007-06-2023 三门峡新鑫源科技有限公司 土壤_17"/>
                    <pic:cNvPicPr>
                      <a:picLocks noChangeAspect="1"/>
                    </pic:cNvPicPr>
                  </pic:nvPicPr>
                  <pic:blipFill>
                    <a:blip r:embed="rId48"/>
                    <a:stretch>
                      <a:fillRect/>
                    </a:stretch>
                  </pic:blipFill>
                  <pic:spPr>
                    <a:xfrm>
                      <a:off x="0" y="0"/>
                      <a:ext cx="5945505" cy="8409305"/>
                    </a:xfrm>
                    <a:prstGeom prst="rect">
                      <a:avLst/>
                    </a:prstGeom>
                  </pic:spPr>
                </pic:pic>
              </a:graphicData>
            </a:graphic>
          </wp:inline>
        </w:drawing>
      </w:r>
      <w:r>
        <w:rPr>
          <w:rFonts w:hint="eastAsia" w:ascii="宋体" w:hAnsi="宋体" w:eastAsia="宋体" w:cs="宋体"/>
          <w:b/>
          <w:bCs/>
          <w:color w:val="auto"/>
          <w:spacing w:val="0"/>
          <w:highlight w:val="none"/>
          <w:u w:val="none"/>
          <w:lang w:eastAsia="zh-CN"/>
        </w:rPr>
        <w:drawing>
          <wp:inline distT="0" distB="0" distL="114300" distR="114300">
            <wp:extent cx="5944235" cy="8408035"/>
            <wp:effectExtent l="0" t="0" r="12065" b="12065"/>
            <wp:docPr id="82" name="图片 82" descr="007-06-2023 三门峡新鑫源科技有限公司 土壤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007-06-2023 三门峡新鑫源科技有限公司 土壤_18"/>
                    <pic:cNvPicPr>
                      <a:picLocks noChangeAspect="1"/>
                    </pic:cNvPicPr>
                  </pic:nvPicPr>
                  <pic:blipFill>
                    <a:blip r:embed="rId49"/>
                    <a:stretch>
                      <a:fillRect/>
                    </a:stretch>
                  </pic:blipFill>
                  <pic:spPr>
                    <a:xfrm>
                      <a:off x="0" y="0"/>
                      <a:ext cx="5944235" cy="8408035"/>
                    </a:xfrm>
                    <a:prstGeom prst="rect">
                      <a:avLst/>
                    </a:prstGeom>
                  </pic:spPr>
                </pic:pic>
              </a:graphicData>
            </a:graphic>
          </wp:inline>
        </w:drawing>
      </w:r>
      <w:r>
        <w:rPr>
          <w:rFonts w:hint="eastAsia" w:ascii="宋体" w:hAnsi="宋体" w:eastAsia="宋体" w:cs="宋体"/>
          <w:b/>
          <w:bCs/>
          <w:color w:val="auto"/>
          <w:spacing w:val="0"/>
          <w:highlight w:val="none"/>
          <w:u w:val="none"/>
          <w:lang w:eastAsia="zh-CN"/>
        </w:rPr>
        <w:drawing>
          <wp:inline distT="0" distB="0" distL="114300" distR="114300">
            <wp:extent cx="5973445" cy="8449945"/>
            <wp:effectExtent l="0" t="0" r="8255" b="8255"/>
            <wp:docPr id="80" name="图片 80" descr="007-06-2023 三门峡新鑫源科技有限公司 土壤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007-06-2023 三门峡新鑫源科技有限公司 土壤_19"/>
                    <pic:cNvPicPr>
                      <a:picLocks noChangeAspect="1"/>
                    </pic:cNvPicPr>
                  </pic:nvPicPr>
                  <pic:blipFill>
                    <a:blip r:embed="rId50"/>
                    <a:stretch>
                      <a:fillRect/>
                    </a:stretch>
                  </pic:blipFill>
                  <pic:spPr>
                    <a:xfrm>
                      <a:off x="0" y="0"/>
                      <a:ext cx="5973445" cy="8449945"/>
                    </a:xfrm>
                    <a:prstGeom prst="rect">
                      <a:avLst/>
                    </a:prstGeom>
                  </pic:spPr>
                </pic:pic>
              </a:graphicData>
            </a:graphic>
          </wp:inline>
        </w:drawing>
      </w:r>
      <w:r>
        <w:rPr>
          <w:rFonts w:hint="eastAsia" w:ascii="宋体" w:hAnsi="宋体" w:eastAsia="宋体" w:cs="宋体"/>
          <w:b/>
          <w:bCs/>
          <w:sz w:val="24"/>
          <w:szCs w:val="32"/>
          <w:lang w:val="en-US" w:eastAsia="zh-CN"/>
        </w:rPr>
        <w:br w:type="page"/>
      </w:r>
    </w:p>
    <w:p>
      <w:pPr>
        <w:pStyle w:val="2"/>
        <w:rPr>
          <w:rFonts w:hint="default"/>
          <w:lang w:val="en-US" w:eastAsia="zh-CN"/>
        </w:rPr>
      </w:pPr>
    </w:p>
    <w:p>
      <w:pPr>
        <w:outlineLvl w:val="0"/>
        <w:rPr>
          <w:rFonts w:hint="default" w:ascii="宋体" w:hAnsi="宋体" w:eastAsia="宋体" w:cs="宋体"/>
          <w:b/>
          <w:bCs/>
          <w:sz w:val="24"/>
          <w:szCs w:val="32"/>
          <w:lang w:val="en-US" w:eastAsia="zh-CN"/>
        </w:rPr>
      </w:pPr>
      <w:bookmarkStart w:id="329" w:name="_Toc29640"/>
      <w:r>
        <w:rPr>
          <w:rFonts w:hint="eastAsia" w:ascii="宋体" w:hAnsi="宋体" w:eastAsia="宋体" w:cs="宋体"/>
          <w:b/>
          <w:bCs/>
          <w:sz w:val="24"/>
          <w:szCs w:val="32"/>
          <w:lang w:val="en-US" w:eastAsia="zh-CN"/>
        </w:rPr>
        <w:t>附件2 检测资质证书、附表</w:t>
      </w:r>
      <w:bookmarkEnd w:id="329"/>
    </w:p>
    <w:p>
      <w:pPr>
        <w:rPr>
          <w:rFonts w:hint="eastAsia" w:ascii="宋体" w:hAnsi="宋体" w:eastAsia="宋体" w:cs="宋体"/>
        </w:rPr>
      </w:pPr>
      <w:r>
        <w:rPr>
          <w:rFonts w:hint="eastAsia" w:ascii="宋体" w:hAnsi="宋体" w:eastAsia="宋体" w:cs="宋体"/>
          <w:sz w:val="21"/>
        </w:rPr>
        <w:drawing>
          <wp:inline distT="0" distB="0" distL="114300" distR="114300">
            <wp:extent cx="5758815" cy="7791450"/>
            <wp:effectExtent l="0" t="0" r="6985" b="6350"/>
            <wp:docPr id="55" name="图片 55" descr="资质附表--达峰检测(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资质附表--达峰检测(1)_00"/>
                    <pic:cNvPicPr>
                      <a:picLocks noChangeAspect="1"/>
                    </pic:cNvPicPr>
                  </pic:nvPicPr>
                  <pic:blipFill>
                    <a:blip r:embed="rId51"/>
                    <a:stretch>
                      <a:fillRect/>
                    </a:stretch>
                  </pic:blipFill>
                  <pic:spPr>
                    <a:xfrm>
                      <a:off x="0" y="0"/>
                      <a:ext cx="5758815" cy="7791450"/>
                    </a:xfrm>
                    <a:prstGeom prst="rect">
                      <a:avLst/>
                    </a:prstGeom>
                  </pic:spPr>
                </pic:pic>
              </a:graphicData>
            </a:graphic>
          </wp:inline>
        </w:drawing>
      </w:r>
      <w:r>
        <w:rPr>
          <w:rFonts w:hint="eastAsia" w:ascii="宋体" w:hAnsi="宋体" w:eastAsia="宋体" w:cs="宋体"/>
          <w:sz w:val="21"/>
        </w:rPr>
        <w:drawing>
          <wp:inline distT="0" distB="0" distL="114300" distR="114300">
            <wp:extent cx="5908040" cy="8359140"/>
            <wp:effectExtent l="0" t="0" r="10160" b="10160"/>
            <wp:docPr id="54" name="图片 54" descr="资质附表--达峰检测(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资质附表--达峰检测(1)_01"/>
                    <pic:cNvPicPr>
                      <a:picLocks noChangeAspect="1"/>
                    </pic:cNvPicPr>
                  </pic:nvPicPr>
                  <pic:blipFill>
                    <a:blip r:embed="rId52"/>
                    <a:stretch>
                      <a:fillRect/>
                    </a:stretch>
                  </pic:blipFill>
                  <pic:spPr>
                    <a:xfrm>
                      <a:off x="0" y="0"/>
                      <a:ext cx="5908040" cy="8359140"/>
                    </a:xfrm>
                    <a:prstGeom prst="rect">
                      <a:avLst/>
                    </a:prstGeom>
                  </pic:spPr>
                </pic:pic>
              </a:graphicData>
            </a:graphic>
          </wp:inline>
        </w:drawing>
      </w:r>
      <w:r>
        <w:rPr>
          <w:rFonts w:hint="eastAsia" w:ascii="宋体" w:hAnsi="宋体" w:eastAsia="宋体" w:cs="宋体"/>
          <w:sz w:val="21"/>
        </w:rPr>
        <w:drawing>
          <wp:inline distT="0" distB="0" distL="114300" distR="114300">
            <wp:extent cx="5885815" cy="8327390"/>
            <wp:effectExtent l="0" t="0" r="6985" b="3810"/>
            <wp:docPr id="116" name="图片 116" descr="资质附表--达峰检测(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资质附表--达峰检测(1)_02"/>
                    <pic:cNvPicPr>
                      <a:picLocks noChangeAspect="1"/>
                    </pic:cNvPicPr>
                  </pic:nvPicPr>
                  <pic:blipFill>
                    <a:blip r:embed="rId53"/>
                    <a:stretch>
                      <a:fillRect/>
                    </a:stretch>
                  </pic:blipFill>
                  <pic:spPr>
                    <a:xfrm>
                      <a:off x="0" y="0"/>
                      <a:ext cx="5885815" cy="8327390"/>
                    </a:xfrm>
                    <a:prstGeom prst="rect">
                      <a:avLst/>
                    </a:prstGeom>
                  </pic:spPr>
                </pic:pic>
              </a:graphicData>
            </a:graphic>
          </wp:inline>
        </w:drawing>
      </w:r>
      <w:r>
        <w:rPr>
          <w:rFonts w:hint="eastAsia" w:ascii="宋体" w:hAnsi="宋体" w:eastAsia="宋体" w:cs="宋体"/>
          <w:sz w:val="21"/>
        </w:rPr>
        <w:drawing>
          <wp:inline distT="0" distB="0" distL="114300" distR="114300">
            <wp:extent cx="5841365" cy="8263890"/>
            <wp:effectExtent l="0" t="0" r="635" b="3810"/>
            <wp:docPr id="115" name="图片 115" descr="资质附表--达峰检测(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资质附表--达峰检测(1)_03"/>
                    <pic:cNvPicPr>
                      <a:picLocks noChangeAspect="1"/>
                    </pic:cNvPicPr>
                  </pic:nvPicPr>
                  <pic:blipFill>
                    <a:blip r:embed="rId54"/>
                    <a:stretch>
                      <a:fillRect/>
                    </a:stretch>
                  </pic:blipFill>
                  <pic:spPr>
                    <a:xfrm>
                      <a:off x="0" y="0"/>
                      <a:ext cx="5841365" cy="8263890"/>
                    </a:xfrm>
                    <a:prstGeom prst="rect">
                      <a:avLst/>
                    </a:prstGeom>
                  </pic:spPr>
                </pic:pic>
              </a:graphicData>
            </a:graphic>
          </wp:inline>
        </w:drawing>
      </w:r>
      <w:r>
        <w:rPr>
          <w:rFonts w:hint="eastAsia" w:ascii="宋体" w:hAnsi="宋体" w:eastAsia="宋体" w:cs="宋体"/>
          <w:sz w:val="21"/>
        </w:rPr>
        <w:drawing>
          <wp:inline distT="0" distB="0" distL="114300" distR="114300">
            <wp:extent cx="5807710" cy="8216265"/>
            <wp:effectExtent l="0" t="0" r="8890" b="635"/>
            <wp:docPr id="114" name="图片 114" descr="资质附表--达峰检测(1)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资质附表--达峰检测(1)_04"/>
                    <pic:cNvPicPr>
                      <a:picLocks noChangeAspect="1"/>
                    </pic:cNvPicPr>
                  </pic:nvPicPr>
                  <pic:blipFill>
                    <a:blip r:embed="rId55"/>
                    <a:stretch>
                      <a:fillRect/>
                    </a:stretch>
                  </pic:blipFill>
                  <pic:spPr>
                    <a:xfrm>
                      <a:off x="0" y="0"/>
                      <a:ext cx="5807710" cy="8216265"/>
                    </a:xfrm>
                    <a:prstGeom prst="rect">
                      <a:avLst/>
                    </a:prstGeom>
                  </pic:spPr>
                </pic:pic>
              </a:graphicData>
            </a:graphic>
          </wp:inline>
        </w:drawing>
      </w:r>
      <w:r>
        <w:rPr>
          <w:rFonts w:hint="eastAsia" w:ascii="宋体" w:hAnsi="宋体" w:eastAsia="宋体" w:cs="宋体"/>
          <w:sz w:val="21"/>
        </w:rPr>
        <w:drawing>
          <wp:inline distT="0" distB="0" distL="114300" distR="114300">
            <wp:extent cx="5862955" cy="8295005"/>
            <wp:effectExtent l="0" t="0" r="4445" b="10795"/>
            <wp:docPr id="113" name="图片 113" descr="资质附表--达峰检测(1)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资质附表--达峰检测(1)_05"/>
                    <pic:cNvPicPr>
                      <a:picLocks noChangeAspect="1"/>
                    </pic:cNvPicPr>
                  </pic:nvPicPr>
                  <pic:blipFill>
                    <a:blip r:embed="rId56"/>
                    <a:stretch>
                      <a:fillRect/>
                    </a:stretch>
                  </pic:blipFill>
                  <pic:spPr>
                    <a:xfrm>
                      <a:off x="0" y="0"/>
                      <a:ext cx="5862955" cy="8295005"/>
                    </a:xfrm>
                    <a:prstGeom prst="rect">
                      <a:avLst/>
                    </a:prstGeom>
                  </pic:spPr>
                </pic:pic>
              </a:graphicData>
            </a:graphic>
          </wp:inline>
        </w:drawing>
      </w:r>
      <w:r>
        <w:rPr>
          <w:rFonts w:hint="eastAsia" w:ascii="宋体" w:hAnsi="宋体" w:eastAsia="宋体" w:cs="宋体"/>
          <w:sz w:val="21"/>
        </w:rPr>
        <w:drawing>
          <wp:inline distT="0" distB="0" distL="114300" distR="114300">
            <wp:extent cx="5807710" cy="8216265"/>
            <wp:effectExtent l="0" t="0" r="8890" b="635"/>
            <wp:docPr id="112" name="图片 112" descr="资质附表--达峰检测(1)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资质附表--达峰检测(1)_06"/>
                    <pic:cNvPicPr>
                      <a:picLocks noChangeAspect="1"/>
                    </pic:cNvPicPr>
                  </pic:nvPicPr>
                  <pic:blipFill>
                    <a:blip r:embed="rId57"/>
                    <a:stretch>
                      <a:fillRect/>
                    </a:stretch>
                  </pic:blipFill>
                  <pic:spPr>
                    <a:xfrm>
                      <a:off x="0" y="0"/>
                      <a:ext cx="5807710" cy="8216265"/>
                    </a:xfrm>
                    <a:prstGeom prst="rect">
                      <a:avLst/>
                    </a:prstGeom>
                  </pic:spPr>
                </pic:pic>
              </a:graphicData>
            </a:graphic>
          </wp:inline>
        </w:drawing>
      </w:r>
      <w:r>
        <w:rPr>
          <w:rFonts w:hint="eastAsia" w:ascii="宋体" w:hAnsi="宋体" w:eastAsia="宋体" w:cs="宋体"/>
          <w:sz w:val="21"/>
        </w:rPr>
        <w:drawing>
          <wp:inline distT="0" distB="0" distL="114300" distR="114300">
            <wp:extent cx="5829935" cy="8248015"/>
            <wp:effectExtent l="0" t="0" r="12065" b="6985"/>
            <wp:docPr id="111" name="图片 111" descr="资质附表--达峰检测(1)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资质附表--达峰检测(1)_07"/>
                    <pic:cNvPicPr>
                      <a:picLocks noChangeAspect="1"/>
                    </pic:cNvPicPr>
                  </pic:nvPicPr>
                  <pic:blipFill>
                    <a:blip r:embed="rId58"/>
                    <a:stretch>
                      <a:fillRect/>
                    </a:stretch>
                  </pic:blipFill>
                  <pic:spPr>
                    <a:xfrm>
                      <a:off x="0" y="0"/>
                      <a:ext cx="5829935" cy="8248015"/>
                    </a:xfrm>
                    <a:prstGeom prst="rect">
                      <a:avLst/>
                    </a:prstGeom>
                  </pic:spPr>
                </pic:pic>
              </a:graphicData>
            </a:graphic>
          </wp:inline>
        </w:drawing>
      </w:r>
      <w:r>
        <w:rPr>
          <w:rFonts w:hint="eastAsia" w:ascii="宋体" w:hAnsi="宋体" w:eastAsia="宋体" w:cs="宋体"/>
          <w:sz w:val="21"/>
        </w:rPr>
        <w:drawing>
          <wp:inline distT="0" distB="0" distL="114300" distR="114300">
            <wp:extent cx="5784850" cy="8184515"/>
            <wp:effectExtent l="0" t="0" r="6350" b="6985"/>
            <wp:docPr id="110" name="图片 110" descr="资质附表--达峰检测(1)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资质附表--达峰检测(1)_08"/>
                    <pic:cNvPicPr>
                      <a:picLocks noChangeAspect="1"/>
                    </pic:cNvPicPr>
                  </pic:nvPicPr>
                  <pic:blipFill>
                    <a:blip r:embed="rId59"/>
                    <a:stretch>
                      <a:fillRect/>
                    </a:stretch>
                  </pic:blipFill>
                  <pic:spPr>
                    <a:xfrm>
                      <a:off x="0" y="0"/>
                      <a:ext cx="5784850" cy="8184515"/>
                    </a:xfrm>
                    <a:prstGeom prst="rect">
                      <a:avLst/>
                    </a:prstGeom>
                  </pic:spPr>
                </pic:pic>
              </a:graphicData>
            </a:graphic>
          </wp:inline>
        </w:drawing>
      </w:r>
      <w:r>
        <w:rPr>
          <w:rFonts w:hint="eastAsia" w:ascii="宋体" w:hAnsi="宋体" w:eastAsia="宋体" w:cs="宋体"/>
          <w:sz w:val="21"/>
        </w:rPr>
        <w:drawing>
          <wp:inline distT="0" distB="0" distL="114300" distR="114300">
            <wp:extent cx="5740400" cy="8121015"/>
            <wp:effectExtent l="0" t="0" r="0" b="6985"/>
            <wp:docPr id="109" name="图片 109" descr="资质附表--达峰检测(1)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资质附表--达峰检测(1)_09"/>
                    <pic:cNvPicPr>
                      <a:picLocks noChangeAspect="1"/>
                    </pic:cNvPicPr>
                  </pic:nvPicPr>
                  <pic:blipFill>
                    <a:blip r:embed="rId60"/>
                    <a:stretch>
                      <a:fillRect/>
                    </a:stretch>
                  </pic:blipFill>
                  <pic:spPr>
                    <a:xfrm>
                      <a:off x="0" y="0"/>
                      <a:ext cx="5740400" cy="8121015"/>
                    </a:xfrm>
                    <a:prstGeom prst="rect">
                      <a:avLst/>
                    </a:prstGeom>
                  </pic:spPr>
                </pic:pic>
              </a:graphicData>
            </a:graphic>
          </wp:inline>
        </w:drawing>
      </w:r>
      <w:r>
        <w:rPr>
          <w:rFonts w:hint="eastAsia" w:ascii="宋体" w:hAnsi="宋体" w:eastAsia="宋体" w:cs="宋体"/>
          <w:sz w:val="21"/>
        </w:rPr>
        <w:drawing>
          <wp:inline distT="0" distB="0" distL="114300" distR="114300">
            <wp:extent cx="5784850" cy="8184515"/>
            <wp:effectExtent l="0" t="0" r="6350" b="6985"/>
            <wp:docPr id="108" name="图片 108" descr="资质附表--达峰检测(1)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资质附表--达峰检测(1)_10"/>
                    <pic:cNvPicPr>
                      <a:picLocks noChangeAspect="1"/>
                    </pic:cNvPicPr>
                  </pic:nvPicPr>
                  <pic:blipFill>
                    <a:blip r:embed="rId61"/>
                    <a:stretch>
                      <a:fillRect/>
                    </a:stretch>
                  </pic:blipFill>
                  <pic:spPr>
                    <a:xfrm>
                      <a:off x="0" y="0"/>
                      <a:ext cx="5784850" cy="8184515"/>
                    </a:xfrm>
                    <a:prstGeom prst="rect">
                      <a:avLst/>
                    </a:prstGeom>
                  </pic:spPr>
                </pic:pic>
              </a:graphicData>
            </a:graphic>
          </wp:inline>
        </w:drawing>
      </w:r>
      <w:r>
        <w:rPr>
          <w:rFonts w:hint="eastAsia" w:ascii="宋体" w:hAnsi="宋体" w:eastAsia="宋体" w:cs="宋体"/>
          <w:sz w:val="21"/>
        </w:rPr>
        <w:drawing>
          <wp:inline distT="0" distB="0" distL="114300" distR="114300">
            <wp:extent cx="5762625" cy="8152765"/>
            <wp:effectExtent l="0" t="0" r="3175" b="635"/>
            <wp:docPr id="107" name="图片 107" descr="资质附表--达峰检测(1)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资质附表--达峰检测(1)_11"/>
                    <pic:cNvPicPr>
                      <a:picLocks noChangeAspect="1"/>
                    </pic:cNvPicPr>
                  </pic:nvPicPr>
                  <pic:blipFill>
                    <a:blip r:embed="rId62"/>
                    <a:stretch>
                      <a:fillRect/>
                    </a:stretch>
                  </pic:blipFill>
                  <pic:spPr>
                    <a:xfrm>
                      <a:off x="0" y="0"/>
                      <a:ext cx="5762625" cy="8152765"/>
                    </a:xfrm>
                    <a:prstGeom prst="rect">
                      <a:avLst/>
                    </a:prstGeom>
                  </pic:spPr>
                </pic:pic>
              </a:graphicData>
            </a:graphic>
          </wp:inline>
        </w:drawing>
      </w:r>
      <w:r>
        <w:rPr>
          <w:rFonts w:hint="eastAsia" w:ascii="宋体" w:hAnsi="宋体" w:eastAsia="宋体" w:cs="宋体"/>
          <w:sz w:val="21"/>
        </w:rPr>
        <w:drawing>
          <wp:inline distT="0" distB="0" distL="114300" distR="114300">
            <wp:extent cx="5751195" cy="8136890"/>
            <wp:effectExtent l="0" t="0" r="1905" b="3810"/>
            <wp:docPr id="106" name="图片 106" descr="资质附表--达峰检测(1)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资质附表--达峰检测(1)_12"/>
                    <pic:cNvPicPr>
                      <a:picLocks noChangeAspect="1"/>
                    </pic:cNvPicPr>
                  </pic:nvPicPr>
                  <pic:blipFill>
                    <a:blip r:embed="rId63"/>
                    <a:stretch>
                      <a:fillRect/>
                    </a:stretch>
                  </pic:blipFill>
                  <pic:spPr>
                    <a:xfrm>
                      <a:off x="0" y="0"/>
                      <a:ext cx="5751195" cy="8136890"/>
                    </a:xfrm>
                    <a:prstGeom prst="rect">
                      <a:avLst/>
                    </a:prstGeom>
                  </pic:spPr>
                </pic:pic>
              </a:graphicData>
            </a:graphic>
          </wp:inline>
        </w:drawing>
      </w:r>
      <w:r>
        <w:rPr>
          <w:rFonts w:hint="eastAsia" w:ascii="宋体" w:hAnsi="宋体" w:eastAsia="宋体" w:cs="宋体"/>
          <w:sz w:val="21"/>
        </w:rPr>
        <w:drawing>
          <wp:inline distT="0" distB="0" distL="114300" distR="114300">
            <wp:extent cx="5774055" cy="8168640"/>
            <wp:effectExtent l="0" t="0" r="4445" b="10160"/>
            <wp:docPr id="105" name="图片 105" descr="资质附表--达峰检测(1)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资质附表--达峰检测(1)_13"/>
                    <pic:cNvPicPr>
                      <a:picLocks noChangeAspect="1"/>
                    </pic:cNvPicPr>
                  </pic:nvPicPr>
                  <pic:blipFill>
                    <a:blip r:embed="rId64"/>
                    <a:stretch>
                      <a:fillRect/>
                    </a:stretch>
                  </pic:blipFill>
                  <pic:spPr>
                    <a:xfrm>
                      <a:off x="0" y="0"/>
                      <a:ext cx="5774055" cy="8168640"/>
                    </a:xfrm>
                    <a:prstGeom prst="rect">
                      <a:avLst/>
                    </a:prstGeom>
                  </pic:spPr>
                </pic:pic>
              </a:graphicData>
            </a:graphic>
          </wp:inline>
        </w:drawing>
      </w:r>
      <w:r>
        <w:rPr>
          <w:rFonts w:hint="eastAsia" w:ascii="宋体" w:hAnsi="宋体" w:eastAsia="宋体" w:cs="宋体"/>
          <w:sz w:val="21"/>
        </w:rPr>
        <w:drawing>
          <wp:inline distT="0" distB="0" distL="114300" distR="114300">
            <wp:extent cx="5774055" cy="8168640"/>
            <wp:effectExtent l="0" t="0" r="4445" b="10160"/>
            <wp:docPr id="102" name="图片 102" descr="资质附表--达峰检测(1)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资质附表--达峰检测(1)_14"/>
                    <pic:cNvPicPr>
                      <a:picLocks noChangeAspect="1"/>
                    </pic:cNvPicPr>
                  </pic:nvPicPr>
                  <pic:blipFill>
                    <a:blip r:embed="rId65"/>
                    <a:stretch>
                      <a:fillRect/>
                    </a:stretch>
                  </pic:blipFill>
                  <pic:spPr>
                    <a:xfrm>
                      <a:off x="0" y="0"/>
                      <a:ext cx="5774055" cy="8168640"/>
                    </a:xfrm>
                    <a:prstGeom prst="rect">
                      <a:avLst/>
                    </a:prstGeom>
                  </pic:spPr>
                </pic:pic>
              </a:graphicData>
            </a:graphic>
          </wp:inline>
        </w:drawing>
      </w:r>
      <w:r>
        <w:rPr>
          <w:rFonts w:hint="eastAsia" w:ascii="宋体" w:hAnsi="宋体" w:eastAsia="宋体" w:cs="宋体"/>
          <w:sz w:val="21"/>
        </w:rPr>
        <w:drawing>
          <wp:inline distT="0" distB="0" distL="114300" distR="114300">
            <wp:extent cx="5713095" cy="8082280"/>
            <wp:effectExtent l="0" t="0" r="1905" b="7620"/>
            <wp:docPr id="101" name="图片 101" descr="资质附表--达峰检测(1)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资质附表--达峰检测(1)_15"/>
                    <pic:cNvPicPr>
                      <a:picLocks noChangeAspect="1"/>
                    </pic:cNvPicPr>
                  </pic:nvPicPr>
                  <pic:blipFill>
                    <a:blip r:embed="rId66"/>
                    <a:stretch>
                      <a:fillRect/>
                    </a:stretch>
                  </pic:blipFill>
                  <pic:spPr>
                    <a:xfrm>
                      <a:off x="0" y="0"/>
                      <a:ext cx="5713095" cy="8082280"/>
                    </a:xfrm>
                    <a:prstGeom prst="rect">
                      <a:avLst/>
                    </a:prstGeom>
                  </pic:spPr>
                </pic:pic>
              </a:graphicData>
            </a:graphic>
          </wp:inline>
        </w:drawing>
      </w:r>
      <w:r>
        <w:rPr>
          <w:rFonts w:hint="eastAsia" w:ascii="宋体" w:hAnsi="宋体" w:eastAsia="宋体" w:cs="宋体"/>
          <w:sz w:val="21"/>
        </w:rPr>
        <w:drawing>
          <wp:inline distT="0" distB="0" distL="114300" distR="114300">
            <wp:extent cx="5762625" cy="8152765"/>
            <wp:effectExtent l="0" t="0" r="3175" b="635"/>
            <wp:docPr id="100" name="图片 100" descr="资质附表--达峰检测(1)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资质附表--达峰检测(1)_16"/>
                    <pic:cNvPicPr>
                      <a:picLocks noChangeAspect="1"/>
                    </pic:cNvPicPr>
                  </pic:nvPicPr>
                  <pic:blipFill>
                    <a:blip r:embed="rId67"/>
                    <a:stretch>
                      <a:fillRect/>
                    </a:stretch>
                  </pic:blipFill>
                  <pic:spPr>
                    <a:xfrm>
                      <a:off x="0" y="0"/>
                      <a:ext cx="5762625" cy="8152765"/>
                    </a:xfrm>
                    <a:prstGeom prst="rect">
                      <a:avLst/>
                    </a:prstGeom>
                  </pic:spPr>
                </pic:pic>
              </a:graphicData>
            </a:graphic>
          </wp:inline>
        </w:drawing>
      </w:r>
      <w:r>
        <w:rPr>
          <w:rFonts w:hint="eastAsia" w:ascii="宋体" w:hAnsi="宋体" w:eastAsia="宋体" w:cs="宋体"/>
          <w:sz w:val="21"/>
        </w:rPr>
        <w:drawing>
          <wp:inline distT="0" distB="0" distL="114300" distR="114300">
            <wp:extent cx="5717540" cy="8089265"/>
            <wp:effectExtent l="0" t="0" r="10160" b="635"/>
            <wp:docPr id="99" name="图片 99" descr="资质附表--达峰检测(1)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资质附表--达峰检测(1)_17"/>
                    <pic:cNvPicPr>
                      <a:picLocks noChangeAspect="1"/>
                    </pic:cNvPicPr>
                  </pic:nvPicPr>
                  <pic:blipFill>
                    <a:blip r:embed="rId68"/>
                    <a:stretch>
                      <a:fillRect/>
                    </a:stretch>
                  </pic:blipFill>
                  <pic:spPr>
                    <a:xfrm>
                      <a:off x="0" y="0"/>
                      <a:ext cx="5717540" cy="8089265"/>
                    </a:xfrm>
                    <a:prstGeom prst="rect">
                      <a:avLst/>
                    </a:prstGeom>
                  </pic:spPr>
                </pic:pic>
              </a:graphicData>
            </a:graphic>
          </wp:inline>
        </w:drawing>
      </w:r>
      <w:r>
        <w:rPr>
          <w:rFonts w:hint="eastAsia" w:ascii="宋体" w:hAnsi="宋体" w:eastAsia="宋体" w:cs="宋体"/>
          <w:sz w:val="21"/>
        </w:rPr>
        <w:drawing>
          <wp:inline distT="0" distB="0" distL="114300" distR="114300">
            <wp:extent cx="5706110" cy="8072755"/>
            <wp:effectExtent l="0" t="0" r="8890" b="4445"/>
            <wp:docPr id="98" name="图片 98" descr="资质附表--达峰检测(1)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资质附表--达峰检测(1)_18"/>
                    <pic:cNvPicPr>
                      <a:picLocks noChangeAspect="1"/>
                    </pic:cNvPicPr>
                  </pic:nvPicPr>
                  <pic:blipFill>
                    <a:blip r:embed="rId69"/>
                    <a:stretch>
                      <a:fillRect/>
                    </a:stretch>
                  </pic:blipFill>
                  <pic:spPr>
                    <a:xfrm>
                      <a:off x="0" y="0"/>
                      <a:ext cx="5706110" cy="8072755"/>
                    </a:xfrm>
                    <a:prstGeom prst="rect">
                      <a:avLst/>
                    </a:prstGeom>
                  </pic:spPr>
                </pic:pic>
              </a:graphicData>
            </a:graphic>
          </wp:inline>
        </w:drawing>
      </w:r>
      <w:r>
        <w:rPr>
          <w:rFonts w:hint="eastAsia" w:ascii="宋体" w:hAnsi="宋体" w:eastAsia="宋体" w:cs="宋体"/>
          <w:sz w:val="21"/>
        </w:rPr>
        <w:drawing>
          <wp:inline distT="0" distB="0" distL="114300" distR="114300">
            <wp:extent cx="5762625" cy="8152765"/>
            <wp:effectExtent l="0" t="0" r="3175" b="635"/>
            <wp:docPr id="97" name="图片 97" descr="资质附表--达峰检测(1)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资质附表--达峰检测(1)_19"/>
                    <pic:cNvPicPr>
                      <a:picLocks noChangeAspect="1"/>
                    </pic:cNvPicPr>
                  </pic:nvPicPr>
                  <pic:blipFill>
                    <a:blip r:embed="rId70"/>
                    <a:stretch>
                      <a:fillRect/>
                    </a:stretch>
                  </pic:blipFill>
                  <pic:spPr>
                    <a:xfrm>
                      <a:off x="0" y="0"/>
                      <a:ext cx="5762625" cy="8152765"/>
                    </a:xfrm>
                    <a:prstGeom prst="rect">
                      <a:avLst/>
                    </a:prstGeom>
                  </pic:spPr>
                </pic:pic>
              </a:graphicData>
            </a:graphic>
          </wp:inline>
        </w:drawing>
      </w:r>
      <w:r>
        <w:rPr>
          <w:rFonts w:hint="eastAsia" w:ascii="宋体" w:hAnsi="宋体" w:eastAsia="宋体" w:cs="宋体"/>
          <w:sz w:val="21"/>
        </w:rPr>
        <w:drawing>
          <wp:inline distT="0" distB="0" distL="114300" distR="114300">
            <wp:extent cx="5893435" cy="8338185"/>
            <wp:effectExtent l="0" t="0" r="12065" b="5715"/>
            <wp:docPr id="53" name="图片 53" descr="资质附表--达峰检测(1)_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资质附表--达峰检测(1)_43"/>
                    <pic:cNvPicPr>
                      <a:picLocks noChangeAspect="1"/>
                    </pic:cNvPicPr>
                  </pic:nvPicPr>
                  <pic:blipFill>
                    <a:blip r:embed="rId71"/>
                    <a:stretch>
                      <a:fillRect/>
                    </a:stretch>
                  </pic:blipFill>
                  <pic:spPr>
                    <a:xfrm>
                      <a:off x="0" y="0"/>
                      <a:ext cx="5893435" cy="8338185"/>
                    </a:xfrm>
                    <a:prstGeom prst="rect">
                      <a:avLst/>
                    </a:prstGeom>
                  </pic:spPr>
                </pic:pic>
              </a:graphicData>
            </a:graphic>
          </wp:inline>
        </w:drawing>
      </w:r>
      <w:r>
        <w:rPr>
          <w:rFonts w:hint="eastAsia" w:ascii="宋体" w:hAnsi="宋体" w:eastAsia="宋体" w:cs="宋体"/>
          <w:sz w:val="21"/>
        </w:rPr>
        <w:drawing>
          <wp:inline distT="0" distB="0" distL="114300" distR="114300">
            <wp:extent cx="5893435" cy="8338185"/>
            <wp:effectExtent l="0" t="0" r="12065" b="5715"/>
            <wp:docPr id="52" name="图片 52" descr="资质附表--达峰检测(1)_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资质附表--达峰检测(1)_44"/>
                    <pic:cNvPicPr>
                      <a:picLocks noChangeAspect="1"/>
                    </pic:cNvPicPr>
                  </pic:nvPicPr>
                  <pic:blipFill>
                    <a:blip r:embed="rId72"/>
                    <a:stretch>
                      <a:fillRect/>
                    </a:stretch>
                  </pic:blipFill>
                  <pic:spPr>
                    <a:xfrm>
                      <a:off x="0" y="0"/>
                      <a:ext cx="5893435" cy="8338185"/>
                    </a:xfrm>
                    <a:prstGeom prst="rect">
                      <a:avLst/>
                    </a:prstGeom>
                  </pic:spPr>
                </pic:pic>
              </a:graphicData>
            </a:graphic>
          </wp:inline>
        </w:drawing>
      </w:r>
      <w:r>
        <w:rPr>
          <w:rFonts w:hint="eastAsia" w:ascii="宋体" w:hAnsi="宋体" w:eastAsia="宋体" w:cs="宋体"/>
          <w:sz w:val="21"/>
        </w:rPr>
        <w:drawing>
          <wp:inline distT="0" distB="0" distL="114300" distR="114300">
            <wp:extent cx="5922645" cy="8379460"/>
            <wp:effectExtent l="0" t="0" r="8255" b="2540"/>
            <wp:docPr id="51" name="图片 51" descr="资质附表--达峰检测(1)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资质附表--达峰检测(1)_45"/>
                    <pic:cNvPicPr>
                      <a:picLocks noChangeAspect="1"/>
                    </pic:cNvPicPr>
                  </pic:nvPicPr>
                  <pic:blipFill>
                    <a:blip r:embed="rId73"/>
                    <a:stretch>
                      <a:fillRect/>
                    </a:stretch>
                  </pic:blipFill>
                  <pic:spPr>
                    <a:xfrm>
                      <a:off x="0" y="0"/>
                      <a:ext cx="5922645" cy="8379460"/>
                    </a:xfrm>
                    <a:prstGeom prst="rect">
                      <a:avLst/>
                    </a:prstGeom>
                  </pic:spPr>
                </pic:pic>
              </a:graphicData>
            </a:graphic>
          </wp:inline>
        </w:drawing>
      </w:r>
      <w:r>
        <w:rPr>
          <w:rFonts w:hint="eastAsia" w:ascii="宋体" w:hAnsi="宋体" w:eastAsia="宋体" w:cs="宋体"/>
          <w:sz w:val="21"/>
        </w:rPr>
        <w:drawing>
          <wp:inline distT="0" distB="0" distL="114300" distR="114300">
            <wp:extent cx="5908040" cy="8358505"/>
            <wp:effectExtent l="0" t="0" r="10160" b="10795"/>
            <wp:docPr id="50" name="图片 50" descr="资质附表--达峰检测(1)_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资质附表--达峰检测(1)_46"/>
                    <pic:cNvPicPr>
                      <a:picLocks noChangeAspect="1"/>
                    </pic:cNvPicPr>
                  </pic:nvPicPr>
                  <pic:blipFill>
                    <a:blip r:embed="rId74"/>
                    <a:stretch>
                      <a:fillRect/>
                    </a:stretch>
                  </pic:blipFill>
                  <pic:spPr>
                    <a:xfrm>
                      <a:off x="0" y="0"/>
                      <a:ext cx="5908040" cy="8358505"/>
                    </a:xfrm>
                    <a:prstGeom prst="rect">
                      <a:avLst/>
                    </a:prstGeom>
                  </pic:spPr>
                </pic:pic>
              </a:graphicData>
            </a:graphic>
          </wp:inline>
        </w:drawing>
      </w:r>
      <w:r>
        <w:rPr>
          <w:rFonts w:hint="eastAsia" w:ascii="宋体" w:hAnsi="宋体" w:eastAsia="宋体" w:cs="宋体"/>
          <w:sz w:val="21"/>
        </w:rPr>
        <w:drawing>
          <wp:inline distT="0" distB="0" distL="114300" distR="114300">
            <wp:extent cx="5892800" cy="8337550"/>
            <wp:effectExtent l="0" t="0" r="0" b="6350"/>
            <wp:docPr id="49" name="图片 49" descr="资质附表--达峰检测(1)_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资质附表--达峰检测(1)_47"/>
                    <pic:cNvPicPr>
                      <a:picLocks noChangeAspect="1"/>
                    </pic:cNvPicPr>
                  </pic:nvPicPr>
                  <pic:blipFill>
                    <a:blip r:embed="rId75"/>
                    <a:stretch>
                      <a:fillRect/>
                    </a:stretch>
                  </pic:blipFill>
                  <pic:spPr>
                    <a:xfrm>
                      <a:off x="0" y="0"/>
                      <a:ext cx="5892800" cy="8337550"/>
                    </a:xfrm>
                    <a:prstGeom prst="rect">
                      <a:avLst/>
                    </a:prstGeom>
                  </pic:spPr>
                </pic:pic>
              </a:graphicData>
            </a:graphic>
          </wp:inline>
        </w:drawing>
      </w:r>
      <w:r>
        <w:rPr>
          <w:rFonts w:hint="eastAsia" w:ascii="宋体" w:hAnsi="宋体" w:eastAsia="宋体" w:cs="宋体"/>
          <w:sz w:val="21"/>
        </w:rPr>
        <w:drawing>
          <wp:inline distT="0" distB="0" distL="114300" distR="114300">
            <wp:extent cx="5728970" cy="8105140"/>
            <wp:effectExtent l="0" t="0" r="11430" b="10160"/>
            <wp:docPr id="48" name="图片 48" descr="资质附表--达峰检测(1)_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资质附表--达峰检测(1)_48"/>
                    <pic:cNvPicPr>
                      <a:picLocks noChangeAspect="1"/>
                    </pic:cNvPicPr>
                  </pic:nvPicPr>
                  <pic:blipFill>
                    <a:blip r:embed="rId76"/>
                    <a:stretch>
                      <a:fillRect/>
                    </a:stretch>
                  </pic:blipFill>
                  <pic:spPr>
                    <a:xfrm>
                      <a:off x="0" y="0"/>
                      <a:ext cx="5728970" cy="8105140"/>
                    </a:xfrm>
                    <a:prstGeom prst="rect">
                      <a:avLst/>
                    </a:prstGeom>
                  </pic:spPr>
                </pic:pic>
              </a:graphicData>
            </a:graphic>
          </wp:inline>
        </w:drawing>
      </w:r>
      <w:r>
        <w:rPr>
          <w:rFonts w:hint="eastAsia" w:ascii="宋体" w:hAnsi="宋体" w:eastAsia="宋体" w:cs="宋体"/>
          <w:sz w:val="21"/>
        </w:rPr>
        <w:drawing>
          <wp:inline distT="0" distB="0" distL="114300" distR="114300">
            <wp:extent cx="5818505" cy="8232140"/>
            <wp:effectExtent l="0" t="0" r="10795" b="10160"/>
            <wp:docPr id="47" name="图片 47" descr="资质附表--达峰检测(1)_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资质附表--达峰检测(1)_49"/>
                    <pic:cNvPicPr>
                      <a:picLocks noChangeAspect="1"/>
                    </pic:cNvPicPr>
                  </pic:nvPicPr>
                  <pic:blipFill>
                    <a:blip r:embed="rId77"/>
                    <a:stretch>
                      <a:fillRect/>
                    </a:stretch>
                  </pic:blipFill>
                  <pic:spPr>
                    <a:xfrm>
                      <a:off x="0" y="0"/>
                      <a:ext cx="5818505" cy="8232140"/>
                    </a:xfrm>
                    <a:prstGeom prst="rect">
                      <a:avLst/>
                    </a:prstGeom>
                  </pic:spPr>
                </pic:pic>
              </a:graphicData>
            </a:graphic>
          </wp:inline>
        </w:drawing>
      </w:r>
      <w:r>
        <w:rPr>
          <w:rFonts w:hint="eastAsia" w:ascii="宋体" w:hAnsi="宋体" w:eastAsia="宋体" w:cs="宋体"/>
          <w:sz w:val="21"/>
        </w:rPr>
        <w:drawing>
          <wp:inline distT="0" distB="0" distL="114300" distR="114300">
            <wp:extent cx="5862955" cy="8295005"/>
            <wp:effectExtent l="0" t="0" r="4445" b="10795"/>
            <wp:docPr id="46" name="图片 46" descr="资质附表--达峰检测(1)_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资质附表--达峰检测(1)_50"/>
                    <pic:cNvPicPr>
                      <a:picLocks noChangeAspect="1"/>
                    </pic:cNvPicPr>
                  </pic:nvPicPr>
                  <pic:blipFill>
                    <a:blip r:embed="rId78"/>
                    <a:stretch>
                      <a:fillRect/>
                    </a:stretch>
                  </pic:blipFill>
                  <pic:spPr>
                    <a:xfrm>
                      <a:off x="0" y="0"/>
                      <a:ext cx="5862955" cy="8295005"/>
                    </a:xfrm>
                    <a:prstGeom prst="rect">
                      <a:avLst/>
                    </a:prstGeom>
                  </pic:spPr>
                </pic:pic>
              </a:graphicData>
            </a:graphic>
          </wp:inline>
        </w:drawing>
      </w:r>
      <w:r>
        <w:rPr>
          <w:rFonts w:hint="eastAsia" w:ascii="宋体" w:hAnsi="宋体" w:eastAsia="宋体" w:cs="宋体"/>
          <w:sz w:val="21"/>
        </w:rPr>
        <w:drawing>
          <wp:inline distT="0" distB="0" distL="114300" distR="114300">
            <wp:extent cx="5878195" cy="8316595"/>
            <wp:effectExtent l="0" t="0" r="1905" b="1905"/>
            <wp:docPr id="45" name="图片 45" descr="资质附表--达峰检测(1)_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资质附表--达峰检测(1)_51"/>
                    <pic:cNvPicPr>
                      <a:picLocks noChangeAspect="1"/>
                    </pic:cNvPicPr>
                  </pic:nvPicPr>
                  <pic:blipFill>
                    <a:blip r:embed="rId79"/>
                    <a:stretch>
                      <a:fillRect/>
                    </a:stretch>
                  </pic:blipFill>
                  <pic:spPr>
                    <a:xfrm>
                      <a:off x="0" y="0"/>
                      <a:ext cx="5878195" cy="8316595"/>
                    </a:xfrm>
                    <a:prstGeom prst="rect">
                      <a:avLst/>
                    </a:prstGeom>
                  </pic:spPr>
                </pic:pic>
              </a:graphicData>
            </a:graphic>
          </wp:inline>
        </w:drawing>
      </w:r>
      <w:r>
        <w:rPr>
          <w:rFonts w:hint="eastAsia" w:ascii="宋体" w:hAnsi="宋体" w:eastAsia="宋体" w:cs="宋体"/>
          <w:sz w:val="21"/>
        </w:rPr>
        <w:drawing>
          <wp:inline distT="0" distB="0" distL="114300" distR="114300">
            <wp:extent cx="5818505" cy="8232140"/>
            <wp:effectExtent l="0" t="0" r="10795" b="10160"/>
            <wp:docPr id="44" name="图片 44" descr="资质附表--达峰检测(1)_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资质附表--达峰检测(1)_52"/>
                    <pic:cNvPicPr>
                      <a:picLocks noChangeAspect="1"/>
                    </pic:cNvPicPr>
                  </pic:nvPicPr>
                  <pic:blipFill>
                    <a:blip r:embed="rId80"/>
                    <a:stretch>
                      <a:fillRect/>
                    </a:stretch>
                  </pic:blipFill>
                  <pic:spPr>
                    <a:xfrm>
                      <a:off x="0" y="0"/>
                      <a:ext cx="5818505" cy="8232140"/>
                    </a:xfrm>
                    <a:prstGeom prst="rect">
                      <a:avLst/>
                    </a:prstGeom>
                  </pic:spPr>
                </pic:pic>
              </a:graphicData>
            </a:graphic>
          </wp:inline>
        </w:drawing>
      </w:r>
      <w:r>
        <w:rPr>
          <w:rFonts w:hint="eastAsia" w:ascii="宋体" w:hAnsi="宋体" w:eastAsia="宋体" w:cs="宋体"/>
          <w:sz w:val="21"/>
        </w:rPr>
        <w:drawing>
          <wp:inline distT="0" distB="0" distL="114300" distR="114300">
            <wp:extent cx="5862955" cy="8295005"/>
            <wp:effectExtent l="0" t="0" r="4445" b="10795"/>
            <wp:docPr id="43" name="图片 43" descr="资质附表--达峰检测(1)_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资质附表--达峰检测(1)_53"/>
                    <pic:cNvPicPr>
                      <a:picLocks noChangeAspect="1"/>
                    </pic:cNvPicPr>
                  </pic:nvPicPr>
                  <pic:blipFill>
                    <a:blip r:embed="rId81"/>
                    <a:stretch>
                      <a:fillRect/>
                    </a:stretch>
                  </pic:blipFill>
                  <pic:spPr>
                    <a:xfrm>
                      <a:off x="0" y="0"/>
                      <a:ext cx="5862955" cy="8295005"/>
                    </a:xfrm>
                    <a:prstGeom prst="rect">
                      <a:avLst/>
                    </a:prstGeom>
                  </pic:spPr>
                </pic:pic>
              </a:graphicData>
            </a:graphic>
          </wp:inline>
        </w:drawing>
      </w:r>
      <w:r>
        <w:rPr>
          <w:rFonts w:hint="eastAsia" w:ascii="宋体" w:hAnsi="宋体" w:eastAsia="宋体" w:cs="宋体"/>
          <w:sz w:val="21"/>
        </w:rPr>
        <w:drawing>
          <wp:inline distT="0" distB="0" distL="114300" distR="114300">
            <wp:extent cx="5908040" cy="8358505"/>
            <wp:effectExtent l="0" t="0" r="10160" b="10795"/>
            <wp:docPr id="42" name="图片 42" descr="资质附表--达峰检测(1)_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资质附表--达峰检测(1)_54"/>
                    <pic:cNvPicPr>
                      <a:picLocks noChangeAspect="1"/>
                    </pic:cNvPicPr>
                  </pic:nvPicPr>
                  <pic:blipFill>
                    <a:blip r:embed="rId82"/>
                    <a:stretch>
                      <a:fillRect/>
                    </a:stretch>
                  </pic:blipFill>
                  <pic:spPr>
                    <a:xfrm>
                      <a:off x="0" y="0"/>
                      <a:ext cx="5908040" cy="8358505"/>
                    </a:xfrm>
                    <a:prstGeom prst="rect">
                      <a:avLst/>
                    </a:prstGeom>
                  </pic:spPr>
                </pic:pic>
              </a:graphicData>
            </a:graphic>
          </wp:inline>
        </w:drawing>
      </w:r>
      <w:r>
        <w:rPr>
          <w:rFonts w:hint="eastAsia" w:ascii="宋体" w:hAnsi="宋体" w:eastAsia="宋体" w:cs="宋体"/>
          <w:sz w:val="21"/>
        </w:rPr>
        <w:drawing>
          <wp:inline distT="0" distB="0" distL="114300" distR="114300">
            <wp:extent cx="5953125" cy="8422640"/>
            <wp:effectExtent l="0" t="0" r="3175" b="10160"/>
            <wp:docPr id="41" name="图片 41" descr="资质附表--达峰检测(1)_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资质附表--达峰检测(1)_55"/>
                    <pic:cNvPicPr>
                      <a:picLocks noChangeAspect="1"/>
                    </pic:cNvPicPr>
                  </pic:nvPicPr>
                  <pic:blipFill>
                    <a:blip r:embed="rId83"/>
                    <a:stretch>
                      <a:fillRect/>
                    </a:stretch>
                  </pic:blipFill>
                  <pic:spPr>
                    <a:xfrm>
                      <a:off x="0" y="0"/>
                      <a:ext cx="5953125" cy="8422640"/>
                    </a:xfrm>
                    <a:prstGeom prst="rect">
                      <a:avLst/>
                    </a:prstGeom>
                  </pic:spPr>
                </pic:pic>
              </a:graphicData>
            </a:graphic>
          </wp:inline>
        </w:drawing>
      </w:r>
      <w:r>
        <w:rPr>
          <w:rFonts w:hint="eastAsia" w:ascii="宋体" w:hAnsi="宋体" w:eastAsia="宋体" w:cs="宋体"/>
          <w:sz w:val="21"/>
        </w:rPr>
        <w:drawing>
          <wp:inline distT="0" distB="0" distL="114300" distR="114300">
            <wp:extent cx="6012815" cy="8507095"/>
            <wp:effectExtent l="0" t="0" r="6985" b="1905"/>
            <wp:docPr id="40" name="图片 40" descr="资质附表--达峰检测(1)_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资质附表--达峰检测(1)_56"/>
                    <pic:cNvPicPr>
                      <a:picLocks noChangeAspect="1"/>
                    </pic:cNvPicPr>
                  </pic:nvPicPr>
                  <pic:blipFill>
                    <a:blip r:embed="rId84"/>
                    <a:stretch>
                      <a:fillRect/>
                    </a:stretch>
                  </pic:blipFill>
                  <pic:spPr>
                    <a:xfrm>
                      <a:off x="0" y="0"/>
                      <a:ext cx="6012815" cy="8507095"/>
                    </a:xfrm>
                    <a:prstGeom prst="rect">
                      <a:avLst/>
                    </a:prstGeom>
                  </pic:spPr>
                </pic:pic>
              </a:graphicData>
            </a:graphic>
          </wp:inline>
        </w:drawing>
      </w:r>
    </w:p>
    <w:sectPr>
      <w:footerReference r:id="rId8" w:type="default"/>
      <w:pgSz w:w="11905" w:h="16838"/>
      <w:pgMar w:top="1701" w:right="1587" w:bottom="1701" w:left="1587" w:header="1077" w:footer="1134" w:gutter="0"/>
      <w:pgBorders>
        <w:top w:val="none" w:sz="0" w:space="0"/>
        <w:left w:val="none" w:sz="0" w:space="0"/>
        <w:bottom w:val="none" w:sz="0" w:space="0"/>
        <w:right w:val="none" w:sz="0" w:space="0"/>
      </w:pgBorders>
      <w:pgNumType w:fmt="decimal"/>
      <w:cols w:space="0" w:num="1"/>
      <w:rtlGutter w:val="0"/>
      <w:docGrid w:type="lines" w:linePitch="415"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仿宋_GB2312">
    <w:altName w:val="仿宋"/>
    <w:panose1 w:val="02010609030101010101"/>
    <w:charset w:val="86"/>
    <w:family w:val="auto"/>
    <w:pitch w:val="default"/>
    <w:sig w:usb0="00000000" w:usb1="00000000" w:usb2="00000000" w:usb3="00000000" w:csb0="00040000" w:csb1="00000000"/>
  </w:font>
  <w:font w:name="楷体_GB2312">
    <w:altName w:val="楷体"/>
    <w:panose1 w:val="00000000000000000000"/>
    <w:charset w:val="00"/>
    <w:family w:val="auto"/>
    <w:pitch w:val="default"/>
    <w:sig w:usb0="00000000" w:usb1="00000000" w:usb2="00000000" w:usb3="00000000" w:csb0="00000000" w:csb1="00000000"/>
  </w:font>
  <w:font w:name="等线 Light">
    <w:altName w:val="宋体"/>
    <w:panose1 w:val="02010600030101010101"/>
    <w:charset w:val="86"/>
    <w:family w:val="auto"/>
    <w:pitch w:val="default"/>
    <w:sig w:usb0="00000000" w:usb1="00000000" w:usb2="00000016" w:usb3="00000000" w:csb0="0004000F" w:csb1="00000000"/>
  </w:font>
  <w:font w:name="华文中宋">
    <w:panose1 w:val="02010600040101010101"/>
    <w:charset w:val="86"/>
    <w:family w:val="auto"/>
    <w:pitch w:val="default"/>
    <w:sig w:usb0="00000287" w:usb1="080F0000" w:usb2="00000000" w:usb3="00000000" w:csb0="0004009F" w:csb1="DFD70000"/>
  </w:font>
  <w:font w:name="隶书">
    <w:panose1 w:val="02010509060101010101"/>
    <w:charset w:val="86"/>
    <w:family w:val="modern"/>
    <w:pitch w:val="default"/>
    <w:sig w:usb0="00000001" w:usb1="080E0000" w:usb2="00000000" w:usb3="00000000" w:csb0="00040000" w:csb1="00000000"/>
  </w:font>
  <w:font w:name="Gulim">
    <w:panose1 w:val="020B0600000101010101"/>
    <w:charset w:val="81"/>
    <w:family w:val="auto"/>
    <w:pitch w:val="default"/>
    <w:sig w:usb0="B00002AF" w:usb1="69D77CFB" w:usb2="00000030" w:usb3="00000000" w:csb0="4008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rPr>
        <w:rFonts w:ascii="Times New Roman" w:hAnsi="Times New Roman"/>
        <w:sz w:val="21"/>
        <w:szCs w:val="21"/>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tabs>
        <w:tab w:val="center" w:pos="4595"/>
        <w:tab w:val="right" w:pos="9070"/>
      </w:tabs>
    </w:pPr>
    <w:r>
      <w:rPr>
        <w:sz w:val="1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59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GthHIzAgAAY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Wgg3X1vuouoPMs&#10;C1v9YHlME4X0dnUIEDNpHAXqVOl1Q++lKvVzEpv7z32Kevo3LB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GthHIzAgAAYwQAAA4AAAAAAAAAAQAgAAAAHwEAAGRycy9lMm9Eb2MueG1sUEsF&#10;BgAAAAAGAAYAWQEAAMQFA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59</w:t>
                    </w:r>
                    <w:r>
                      <w:fldChar w:fldCharType="end"/>
                    </w:r>
                  </w:p>
                </w:txbxContent>
              </v:textbox>
            </v:shape>
          </w:pict>
        </mc:Fallback>
      </mc:AlternateContent>
    </w:r>
    <w:r>
      <w:rPr>
        <w:rFonts w:hint="eastAsia"/>
      </w:rPr>
      <w:tab/>
    </w:r>
    <w:r>
      <w:rPr>
        <w:rFonts w:hint="eastAsia"/>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widowControl w:val="0"/>
      <w:rPr>
        <w:rFonts w:ascii="Times New Roman" w:hAnsi="Times New Roman" w:eastAsia="Calibri" w:cs="Times New Roman"/>
        <w:kern w:val="2"/>
        <w:sz w:val="21"/>
        <w:szCs w:val="21"/>
        <w:lang w:val="en-US" w:eastAsia="zh-CN" w:bidi="ar-SA"/>
      </w:rPr>
    </w:pPr>
    <w:r>
      <w:rPr>
        <w:sz w:val="21"/>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66" name="文本框 6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60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haH+cyAgAAYw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CFof5zICAABjBAAADgAAAAAAAAABACAAAAAfAQAAZHJzL2Uyb0RvYy54bWxQSwUG&#10;AAAAAAYABgBZAQAAwwU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60</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rPr>
        <w:rFonts w:ascii="Times New Roman" w:hAnsi="Times New Roman"/>
      </w:rP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67" name="文本框 6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62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ryiAgzAgAAYw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ryiAgzAgAAYwQAAA4AAAAAAAAAAQAgAAAAHwEAAGRycy9lMm9Eb2MueG1sUEsF&#10;BgAAAAAGAAYAWQEAAMQFA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62</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widowControl w:val="0"/>
      <w:autoSpaceDE w:val="0"/>
      <w:autoSpaceDN w:val="0"/>
      <w:spacing w:before="0" w:after="0" w:line="14" w:lineRule="auto"/>
      <w:ind w:left="0" w:right="0"/>
      <w:jc w:val="left"/>
      <w:rPr>
        <w:rFonts w:ascii="宋体" w:hAnsi="宋体" w:eastAsia="宋体" w:cs="宋体"/>
        <w:sz w:val="20"/>
        <w:szCs w:val="28"/>
        <w:lang w:val="zh-CN" w:eastAsia="zh-CN" w:bidi="zh-CN"/>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Bdr>
        <w:bottom w:val="none" w:color="auto" w:sz="0" w:space="1"/>
      </w:pBdr>
      <w:ind w:left="0" w:leftChars="0" w:firstLine="0" w:firstLineChars="0"/>
      <w:jc w:val="center"/>
      <w:rPr>
        <w:rFonts w:hint="default" w:ascii="隶书" w:eastAsia="隶书"/>
        <w:lang w:val="en-U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577428A"/>
    <w:multiLevelType w:val="singleLevel"/>
    <w:tmpl w:val="9577428A"/>
    <w:lvl w:ilvl="0" w:tentative="0">
      <w:start w:val="1"/>
      <w:numFmt w:val="decimal"/>
      <w:suff w:val="nothing"/>
      <w:lvlText w:val="（%1）"/>
      <w:lvlJc w:val="left"/>
    </w:lvl>
  </w:abstractNum>
  <w:abstractNum w:abstractNumId="1">
    <w:nsid w:val="9B61FE74"/>
    <w:multiLevelType w:val="multilevel"/>
    <w:tmpl w:val="9B61FE74"/>
    <w:lvl w:ilvl="0" w:tentative="0">
      <w:start w:val="1"/>
      <w:numFmt w:val="chineseCountingThousand"/>
      <w:suff w:val="nothing"/>
      <w:lvlText w:val="第%1章"/>
      <w:lvlJc w:val="left"/>
      <w:pPr>
        <w:ind w:left="0" w:firstLine="0"/>
      </w:pPr>
      <w:rPr>
        <w:rFonts w:hint="eastAsia" w:ascii="黑体" w:hAnsi="黑体" w:eastAsia="黑体"/>
        <w:sz w:val="36"/>
        <w:szCs w:val="36"/>
      </w:rPr>
    </w:lvl>
    <w:lvl w:ilvl="1" w:tentative="0">
      <w:start w:val="1"/>
      <w:numFmt w:val="none"/>
      <w:pStyle w:val="8"/>
      <w:suff w:val="nothing"/>
      <w:lvlText w:val=""/>
      <w:lvlJc w:val="left"/>
      <w:pPr>
        <w:ind w:left="0" w:firstLine="0"/>
      </w:pPr>
      <w:rPr>
        <w:rFonts w:hint="eastAsia"/>
      </w:rPr>
    </w:lvl>
    <w:lvl w:ilvl="2" w:tentative="0">
      <w:start w:val="1"/>
      <w:numFmt w:val="none"/>
      <w:pStyle w:val="9"/>
      <w:suff w:val="nothing"/>
      <w:lvlText w:val=""/>
      <w:lvlJc w:val="left"/>
      <w:pPr>
        <w:ind w:left="0" w:firstLine="0"/>
      </w:pPr>
      <w:rPr>
        <w:rFonts w:hint="eastAsia"/>
      </w:rPr>
    </w:lvl>
    <w:lvl w:ilvl="3" w:tentative="0">
      <w:start w:val="1"/>
      <w:numFmt w:val="none"/>
      <w:suff w:val="nothing"/>
      <w:lvlText w:val=""/>
      <w:lvlJc w:val="left"/>
      <w:pPr>
        <w:ind w:left="0" w:firstLine="0"/>
      </w:pPr>
      <w:rPr>
        <w:rFonts w:hint="eastAsia"/>
      </w:rPr>
    </w:lvl>
    <w:lvl w:ilvl="4" w:tentative="0">
      <w:start w:val="1"/>
      <w:numFmt w:val="none"/>
      <w:suff w:val="nothing"/>
      <w:lvlText w:val=""/>
      <w:lvlJc w:val="left"/>
      <w:pPr>
        <w:ind w:left="0" w:firstLine="0"/>
      </w:pPr>
      <w:rPr>
        <w:rFonts w:hint="eastAsia"/>
      </w:rPr>
    </w:lvl>
    <w:lvl w:ilvl="5" w:tentative="0">
      <w:start w:val="1"/>
      <w:numFmt w:val="none"/>
      <w:suff w:val="nothing"/>
      <w:lvlText w:val=""/>
      <w:lvlJc w:val="left"/>
      <w:pPr>
        <w:ind w:left="0" w:firstLine="0"/>
      </w:pPr>
      <w:rPr>
        <w:rFonts w:hint="eastAsia"/>
      </w:rPr>
    </w:lvl>
    <w:lvl w:ilvl="6" w:tentative="0">
      <w:start w:val="1"/>
      <w:numFmt w:val="none"/>
      <w:suff w:val="nothing"/>
      <w:lvlText w:val=""/>
      <w:lvlJc w:val="left"/>
      <w:pPr>
        <w:ind w:left="0" w:firstLine="0"/>
      </w:pPr>
      <w:rPr>
        <w:rFonts w:hint="eastAsia"/>
      </w:rPr>
    </w:lvl>
    <w:lvl w:ilvl="7" w:tentative="0">
      <w:start w:val="1"/>
      <w:numFmt w:val="none"/>
      <w:suff w:val="nothing"/>
      <w:lvlText w:val=""/>
      <w:lvlJc w:val="left"/>
      <w:pPr>
        <w:ind w:left="0" w:firstLine="0"/>
      </w:pPr>
      <w:rPr>
        <w:rFonts w:hint="eastAsia"/>
      </w:rPr>
    </w:lvl>
    <w:lvl w:ilvl="8" w:tentative="0">
      <w:start w:val="1"/>
      <w:numFmt w:val="none"/>
      <w:suff w:val="nothing"/>
      <w:lvlText w:val=""/>
      <w:lvlJc w:val="left"/>
      <w:pPr>
        <w:ind w:left="0" w:firstLine="0"/>
      </w:pPr>
      <w:rPr>
        <w:rFonts w:hint="eastAsia"/>
      </w:rPr>
    </w:lvl>
  </w:abstractNum>
  <w:abstractNum w:abstractNumId="2">
    <w:nsid w:val="C643824B"/>
    <w:multiLevelType w:val="singleLevel"/>
    <w:tmpl w:val="C643824B"/>
    <w:lvl w:ilvl="0" w:tentative="0">
      <w:start w:val="1"/>
      <w:numFmt w:val="decimal"/>
      <w:suff w:val="nothing"/>
      <w:lvlText w:val="%1）"/>
      <w:lvlJc w:val="left"/>
    </w:lvl>
  </w:abstractNum>
  <w:abstractNum w:abstractNumId="3">
    <w:nsid w:val="3EFA4AC1"/>
    <w:multiLevelType w:val="singleLevel"/>
    <w:tmpl w:val="3EFA4AC1"/>
    <w:lvl w:ilvl="0" w:tentative="0">
      <w:start w:val="1"/>
      <w:numFmt w:val="bullet"/>
      <w:pStyle w:val="14"/>
      <w:lvlText w:val=""/>
      <w:lvlJc w:val="left"/>
      <w:pPr>
        <w:tabs>
          <w:tab w:val="left" w:pos="2040"/>
        </w:tabs>
        <w:ind w:left="2040" w:hanging="360"/>
      </w:pPr>
      <w:rPr>
        <w:rFonts w:hint="default" w:ascii="Wingdings" w:hAnsi="Wingdings"/>
      </w:rPr>
    </w:lvl>
  </w:abstractNum>
  <w:abstractNum w:abstractNumId="4">
    <w:nsid w:val="78FDED9E"/>
    <w:multiLevelType w:val="singleLevel"/>
    <w:tmpl w:val="78FDED9E"/>
    <w:lvl w:ilvl="0" w:tentative="0">
      <w:start w:val="1"/>
      <w:numFmt w:val="decimal"/>
      <w:suff w:val="nothing"/>
      <w:lvlText w:val="%1）"/>
      <w:lvlJc w:val="left"/>
    </w:lvl>
  </w:abstractNum>
  <w:num w:numId="1">
    <w:abstractNumId w:val="1"/>
  </w:num>
  <w:num w:numId="2">
    <w:abstractNumId w:val="3"/>
  </w:num>
  <w:num w:numId="3">
    <w:abstractNumId w:val="0"/>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6"/>
  <w:embedSystemFonts/>
  <w:bordersDoNotSurroundHeader w:val="1"/>
  <w:bordersDoNotSurroundFooter w:val="1"/>
  <w:documentProtection w:enforcement="0"/>
  <w:defaultTabStop w:val="420"/>
  <w:drawingGridVerticalSpacing w:val="208"/>
  <w:displayHorizontalDrawingGridEvery w:val="1"/>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UzMmUwMzk4MWQ5MGEwNDk5NjRiOGY3OWZiMDkyMTMifQ=="/>
  </w:docVars>
  <w:rsids>
    <w:rsidRoot w:val="2CBF0C24"/>
    <w:rsid w:val="00863FB4"/>
    <w:rsid w:val="02263013"/>
    <w:rsid w:val="02EE1B4C"/>
    <w:rsid w:val="043203F2"/>
    <w:rsid w:val="054641E6"/>
    <w:rsid w:val="067F3540"/>
    <w:rsid w:val="08EF265B"/>
    <w:rsid w:val="0B047C33"/>
    <w:rsid w:val="0B475D31"/>
    <w:rsid w:val="0C796AFD"/>
    <w:rsid w:val="0CC361A9"/>
    <w:rsid w:val="0D2F05BB"/>
    <w:rsid w:val="0DD40CB7"/>
    <w:rsid w:val="0DD63540"/>
    <w:rsid w:val="0DE501A0"/>
    <w:rsid w:val="0E94470F"/>
    <w:rsid w:val="105E23FD"/>
    <w:rsid w:val="11B83D8F"/>
    <w:rsid w:val="14020E14"/>
    <w:rsid w:val="176B4B8E"/>
    <w:rsid w:val="178C579A"/>
    <w:rsid w:val="18785865"/>
    <w:rsid w:val="19D62C82"/>
    <w:rsid w:val="1AD556B8"/>
    <w:rsid w:val="1AE45BF4"/>
    <w:rsid w:val="1CFC5477"/>
    <w:rsid w:val="1DE77208"/>
    <w:rsid w:val="1EF94D20"/>
    <w:rsid w:val="20ED700A"/>
    <w:rsid w:val="23871813"/>
    <w:rsid w:val="249D274B"/>
    <w:rsid w:val="24D450C9"/>
    <w:rsid w:val="27C052F3"/>
    <w:rsid w:val="28885E11"/>
    <w:rsid w:val="28B15B83"/>
    <w:rsid w:val="29A70519"/>
    <w:rsid w:val="29B4553A"/>
    <w:rsid w:val="2A247DBB"/>
    <w:rsid w:val="2AFB4D84"/>
    <w:rsid w:val="2CBF0C24"/>
    <w:rsid w:val="2D2B6D65"/>
    <w:rsid w:val="2D2C52EE"/>
    <w:rsid w:val="2E016F7C"/>
    <w:rsid w:val="2E255A7A"/>
    <w:rsid w:val="308C0468"/>
    <w:rsid w:val="31540C38"/>
    <w:rsid w:val="31BC6B2B"/>
    <w:rsid w:val="31EB5E95"/>
    <w:rsid w:val="32676ECE"/>
    <w:rsid w:val="33BE302F"/>
    <w:rsid w:val="350C3522"/>
    <w:rsid w:val="35C12BCC"/>
    <w:rsid w:val="35FB1E8C"/>
    <w:rsid w:val="364F191D"/>
    <w:rsid w:val="37220968"/>
    <w:rsid w:val="376C38F1"/>
    <w:rsid w:val="37A8278D"/>
    <w:rsid w:val="386D2C9A"/>
    <w:rsid w:val="39B25EC8"/>
    <w:rsid w:val="3D1E1916"/>
    <w:rsid w:val="3F2B68FF"/>
    <w:rsid w:val="3F4F77DE"/>
    <w:rsid w:val="407A129B"/>
    <w:rsid w:val="41FA01FE"/>
    <w:rsid w:val="42295B17"/>
    <w:rsid w:val="423D6402"/>
    <w:rsid w:val="42EE4A55"/>
    <w:rsid w:val="44875CEC"/>
    <w:rsid w:val="44D4074E"/>
    <w:rsid w:val="45883452"/>
    <w:rsid w:val="45D43AD7"/>
    <w:rsid w:val="45F656FE"/>
    <w:rsid w:val="46241A50"/>
    <w:rsid w:val="46542C1A"/>
    <w:rsid w:val="4B42108B"/>
    <w:rsid w:val="4BC43B9E"/>
    <w:rsid w:val="4C697705"/>
    <w:rsid w:val="4CC8759D"/>
    <w:rsid w:val="4D2E0048"/>
    <w:rsid w:val="4E853D63"/>
    <w:rsid w:val="4ED626AB"/>
    <w:rsid w:val="4F057870"/>
    <w:rsid w:val="4F6E5099"/>
    <w:rsid w:val="50C36A0F"/>
    <w:rsid w:val="521E7F3D"/>
    <w:rsid w:val="55BF2AC6"/>
    <w:rsid w:val="566C770C"/>
    <w:rsid w:val="593F1BE0"/>
    <w:rsid w:val="59EB5B49"/>
    <w:rsid w:val="5A7E40BB"/>
    <w:rsid w:val="5D945425"/>
    <w:rsid w:val="5E560CAC"/>
    <w:rsid w:val="5E710E3C"/>
    <w:rsid w:val="60BE3BB6"/>
    <w:rsid w:val="60ED2AF8"/>
    <w:rsid w:val="617E43D3"/>
    <w:rsid w:val="646075D6"/>
    <w:rsid w:val="651B43F2"/>
    <w:rsid w:val="6600417D"/>
    <w:rsid w:val="66214BD4"/>
    <w:rsid w:val="66700828"/>
    <w:rsid w:val="66F3616A"/>
    <w:rsid w:val="69937E32"/>
    <w:rsid w:val="69AC291F"/>
    <w:rsid w:val="6A620361"/>
    <w:rsid w:val="6B621F16"/>
    <w:rsid w:val="6C200D29"/>
    <w:rsid w:val="6C863FAD"/>
    <w:rsid w:val="6CDA3111"/>
    <w:rsid w:val="6CFF4B44"/>
    <w:rsid w:val="6E6B2079"/>
    <w:rsid w:val="701470BA"/>
    <w:rsid w:val="70835662"/>
    <w:rsid w:val="71005531"/>
    <w:rsid w:val="713605AF"/>
    <w:rsid w:val="71BE3BAD"/>
    <w:rsid w:val="71EA37B8"/>
    <w:rsid w:val="72021D5D"/>
    <w:rsid w:val="722B6ABD"/>
    <w:rsid w:val="72522BEE"/>
    <w:rsid w:val="732727A1"/>
    <w:rsid w:val="748A60ED"/>
    <w:rsid w:val="75EE09DC"/>
    <w:rsid w:val="766A5DFC"/>
    <w:rsid w:val="76C8649A"/>
    <w:rsid w:val="779D426C"/>
    <w:rsid w:val="77C40C19"/>
    <w:rsid w:val="77E422F8"/>
    <w:rsid w:val="7A6604C4"/>
    <w:rsid w:val="7AD46261"/>
    <w:rsid w:val="7BE642B7"/>
    <w:rsid w:val="7C117321"/>
    <w:rsid w:val="7C120DEF"/>
    <w:rsid w:val="7C2C6987"/>
    <w:rsid w:val="7D071DF2"/>
    <w:rsid w:val="7D6733BC"/>
    <w:rsid w:val="7DFA221D"/>
    <w:rsid w:val="7E093127"/>
    <w:rsid w:val="7E694F12"/>
    <w:rsid w:val="7F6E29C8"/>
    <w:rsid w:val="7FF5229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99" w:semiHidden="0" w:name="annotation text"/>
    <w:lsdException w:qFormat="1" w:uiPriority="99"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1" w:semiHidden="0" w:name="Body Text"/>
    <w:lsdException w:qFormat="1"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iPriority="99"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qFormat="1"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Calibri" w:cs="Times New Roman"/>
      <w:kern w:val="2"/>
      <w:sz w:val="21"/>
      <w:szCs w:val="24"/>
      <w:lang w:val="en-US" w:eastAsia="zh-CN" w:bidi="ar-SA"/>
    </w:rPr>
  </w:style>
  <w:style w:type="paragraph" w:styleId="7">
    <w:name w:val="heading 1"/>
    <w:basedOn w:val="1"/>
    <w:next w:val="1"/>
    <w:qFormat/>
    <w:uiPriority w:val="0"/>
    <w:pPr>
      <w:spacing w:line="520" w:lineRule="exact"/>
      <w:ind w:left="0" w:firstLine="0"/>
      <w:outlineLvl w:val="0"/>
    </w:pPr>
    <w:rPr>
      <w:rFonts w:ascii="宋体" w:hAnsi="宋体" w:eastAsia="宋体" w:cs="宋体"/>
      <w:b/>
      <w:bCs/>
      <w:sz w:val="32"/>
      <w:szCs w:val="32"/>
      <w:lang w:val="zh-CN" w:bidi="zh-CN"/>
    </w:rPr>
  </w:style>
  <w:style w:type="paragraph" w:styleId="8">
    <w:name w:val="heading 2"/>
    <w:basedOn w:val="1"/>
    <w:next w:val="1"/>
    <w:link w:val="44"/>
    <w:unhideWhenUsed/>
    <w:qFormat/>
    <w:uiPriority w:val="0"/>
    <w:pPr>
      <w:keepNext/>
      <w:keepLines/>
      <w:numPr>
        <w:ilvl w:val="1"/>
        <w:numId w:val="1"/>
      </w:numPr>
      <w:spacing w:before="120" w:after="120" w:line="520" w:lineRule="exact"/>
      <w:outlineLvl w:val="1"/>
    </w:pPr>
    <w:rPr>
      <w:rFonts w:ascii="Cambria" w:hAnsi="Cambria" w:eastAsiaTheme="minorEastAsia"/>
      <w:b/>
      <w:bCs/>
      <w:sz w:val="28"/>
      <w:szCs w:val="32"/>
    </w:rPr>
  </w:style>
  <w:style w:type="paragraph" w:styleId="9">
    <w:name w:val="heading 3"/>
    <w:basedOn w:val="1"/>
    <w:next w:val="10"/>
    <w:semiHidden/>
    <w:unhideWhenUsed/>
    <w:qFormat/>
    <w:uiPriority w:val="0"/>
    <w:pPr>
      <w:keepNext/>
      <w:keepLines/>
      <w:numPr>
        <w:ilvl w:val="2"/>
        <w:numId w:val="1"/>
      </w:numPr>
      <w:spacing w:before="260" w:beforeLines="0" w:beforeAutospacing="0" w:after="260" w:afterLines="0" w:afterAutospacing="0" w:line="413" w:lineRule="auto"/>
      <w:outlineLvl w:val="2"/>
    </w:pPr>
    <w:rPr>
      <w:b/>
      <w:sz w:val="32"/>
    </w:rPr>
  </w:style>
  <w:style w:type="character" w:default="1" w:styleId="23">
    <w:name w:val="Default Paragraph Font"/>
    <w:semiHidden/>
    <w:qFormat/>
    <w:uiPriority w:val="0"/>
  </w:style>
  <w:style w:type="table" w:default="1" w:styleId="21">
    <w:name w:val="Normal Table"/>
    <w:semiHidden/>
    <w:qFormat/>
    <w:uiPriority w:val="0"/>
    <w:tblPr>
      <w:tblCellMar>
        <w:top w:w="0" w:type="dxa"/>
        <w:left w:w="108" w:type="dxa"/>
        <w:bottom w:w="0" w:type="dxa"/>
        <w:right w:w="108" w:type="dxa"/>
      </w:tblCellMar>
    </w:tblPr>
  </w:style>
  <w:style w:type="paragraph" w:styleId="2">
    <w:name w:val="Body Text First Indent"/>
    <w:basedOn w:val="3"/>
    <w:next w:val="5"/>
    <w:qFormat/>
    <w:uiPriority w:val="0"/>
    <w:pPr>
      <w:spacing w:after="0"/>
      <w:ind w:firstLine="420" w:firstLineChars="100"/>
    </w:pPr>
    <w:rPr>
      <w:rFonts w:eastAsia="仿宋_GB2312" w:cs="Times New Roman"/>
      <w:kern w:val="0"/>
      <w:sz w:val="32"/>
      <w:szCs w:val="24"/>
    </w:rPr>
  </w:style>
  <w:style w:type="paragraph" w:styleId="3">
    <w:name w:val="Body Text"/>
    <w:basedOn w:val="1"/>
    <w:next w:val="4"/>
    <w:qFormat/>
    <w:uiPriority w:val="1"/>
    <w:rPr>
      <w:rFonts w:ascii="宋体" w:hAnsi="宋体" w:eastAsia="宋体" w:cs="宋体"/>
      <w:sz w:val="28"/>
      <w:szCs w:val="28"/>
      <w:lang w:val="zh-CN" w:eastAsia="zh-CN" w:bidi="zh-CN"/>
    </w:rPr>
  </w:style>
  <w:style w:type="paragraph" w:styleId="4">
    <w:name w:val="Body Text 2"/>
    <w:basedOn w:val="1"/>
    <w:unhideWhenUsed/>
    <w:qFormat/>
    <w:uiPriority w:val="99"/>
    <w:pPr>
      <w:widowControl w:val="0"/>
      <w:spacing w:line="360" w:lineRule="auto"/>
      <w:ind w:firstLine="200" w:firstLineChars="200"/>
      <w:jc w:val="both"/>
    </w:pPr>
    <w:rPr>
      <w:rFonts w:ascii="Calibri" w:hAnsi="Calibri" w:eastAsia="楷体_GB2312" w:cs="Times New Roman"/>
      <w:kern w:val="2"/>
      <w:sz w:val="32"/>
      <w:szCs w:val="24"/>
      <w:lang w:val="en-US" w:eastAsia="zh-CN" w:bidi="ar-SA"/>
    </w:rPr>
  </w:style>
  <w:style w:type="paragraph" w:styleId="5">
    <w:name w:val="Body Text First Indent 2"/>
    <w:basedOn w:val="6"/>
    <w:next w:val="1"/>
    <w:qFormat/>
    <w:uiPriority w:val="0"/>
    <w:pPr>
      <w:ind w:firstLine="420"/>
    </w:pPr>
  </w:style>
  <w:style w:type="paragraph" w:styleId="6">
    <w:name w:val="Body Text Indent"/>
    <w:basedOn w:val="1"/>
    <w:unhideWhenUsed/>
    <w:qFormat/>
    <w:uiPriority w:val="99"/>
    <w:pPr>
      <w:spacing w:after="120"/>
      <w:ind w:left="420" w:leftChars="200"/>
    </w:pPr>
  </w:style>
  <w:style w:type="paragraph" w:styleId="10">
    <w:name w:val="Normal Indent"/>
    <w:basedOn w:val="1"/>
    <w:qFormat/>
    <w:uiPriority w:val="0"/>
  </w:style>
  <w:style w:type="paragraph" w:styleId="11">
    <w:name w:val="annotation text"/>
    <w:basedOn w:val="1"/>
    <w:qFormat/>
    <w:uiPriority w:val="99"/>
    <w:pPr>
      <w:jc w:val="left"/>
    </w:pPr>
  </w:style>
  <w:style w:type="paragraph" w:styleId="12">
    <w:name w:val="Block Text"/>
    <w:basedOn w:val="1"/>
    <w:next w:val="1"/>
    <w:qFormat/>
    <w:uiPriority w:val="0"/>
    <w:pPr>
      <w:snapToGrid w:val="0"/>
      <w:spacing w:line="408" w:lineRule="auto"/>
      <w:ind w:left="-113" w:right="-510" w:firstLine="510"/>
    </w:pPr>
    <w:rPr>
      <w:sz w:val="24"/>
      <w:szCs w:val="20"/>
    </w:rPr>
  </w:style>
  <w:style w:type="paragraph" w:styleId="13">
    <w:name w:val="Plain Text"/>
    <w:basedOn w:val="1"/>
    <w:qFormat/>
    <w:uiPriority w:val="0"/>
    <w:rPr>
      <w:rFonts w:ascii="宋体" w:hAnsi="Courier New"/>
    </w:rPr>
  </w:style>
  <w:style w:type="paragraph" w:styleId="14">
    <w:name w:val="List Bullet 5"/>
    <w:basedOn w:val="1"/>
    <w:qFormat/>
    <w:uiPriority w:val="0"/>
    <w:pPr>
      <w:numPr>
        <w:ilvl w:val="0"/>
        <w:numId w:val="2"/>
      </w:numPr>
    </w:pPr>
  </w:style>
  <w:style w:type="paragraph" w:styleId="15">
    <w:name w:val="footer"/>
    <w:basedOn w:val="1"/>
    <w:qFormat/>
    <w:uiPriority w:val="99"/>
    <w:pPr>
      <w:tabs>
        <w:tab w:val="center" w:pos="4153"/>
        <w:tab w:val="right" w:pos="8306"/>
      </w:tabs>
      <w:snapToGrid w:val="0"/>
      <w:jc w:val="left"/>
    </w:pPr>
    <w:rPr>
      <w:sz w:val="18"/>
    </w:rPr>
  </w:style>
  <w:style w:type="paragraph" w:styleId="16">
    <w:name w:val="header"/>
    <w:basedOn w:val="1"/>
    <w:unhideWhenUsed/>
    <w:qFormat/>
    <w:uiPriority w:val="99"/>
    <w:pPr>
      <w:pBdr>
        <w:bottom w:val="single" w:color="auto" w:sz="6" w:space="1"/>
      </w:pBdr>
      <w:tabs>
        <w:tab w:val="center" w:pos="4153"/>
        <w:tab w:val="right" w:pos="8306"/>
      </w:tabs>
      <w:spacing w:line="240" w:lineRule="atLeast"/>
      <w:jc w:val="center"/>
    </w:pPr>
    <w:rPr>
      <w:sz w:val="18"/>
      <w:szCs w:val="18"/>
    </w:rPr>
  </w:style>
  <w:style w:type="paragraph" w:styleId="17">
    <w:name w:val="toc 1"/>
    <w:basedOn w:val="1"/>
    <w:next w:val="1"/>
    <w:qFormat/>
    <w:uiPriority w:val="0"/>
  </w:style>
  <w:style w:type="paragraph" w:styleId="18">
    <w:name w:val="toc 2"/>
    <w:basedOn w:val="1"/>
    <w:next w:val="1"/>
    <w:qFormat/>
    <w:uiPriority w:val="0"/>
    <w:pPr>
      <w:ind w:left="420" w:leftChars="200"/>
    </w:pPr>
  </w:style>
  <w:style w:type="paragraph" w:styleId="19">
    <w:name w:val="Normal (Web)"/>
    <w:basedOn w:val="1"/>
    <w:qFormat/>
    <w:uiPriority w:val="0"/>
    <w:rPr>
      <w:sz w:val="24"/>
    </w:rPr>
  </w:style>
  <w:style w:type="paragraph" w:styleId="20">
    <w:name w:val="Title"/>
    <w:basedOn w:val="1"/>
    <w:next w:val="1"/>
    <w:qFormat/>
    <w:uiPriority w:val="0"/>
    <w:pPr>
      <w:spacing w:before="240" w:after="60"/>
      <w:jc w:val="center"/>
      <w:outlineLvl w:val="0"/>
    </w:pPr>
    <w:rPr>
      <w:rFonts w:ascii="等线 Light" w:hAnsi="等线 Light" w:cs="Times New Roman"/>
      <w:b/>
      <w:bCs/>
      <w:sz w:val="32"/>
      <w:szCs w:val="32"/>
    </w:rPr>
  </w:style>
  <w:style w:type="table" w:styleId="22">
    <w:name w:val="Table Grid"/>
    <w:basedOn w:val="21"/>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page number"/>
    <w:basedOn w:val="23"/>
    <w:qFormat/>
    <w:uiPriority w:val="0"/>
  </w:style>
  <w:style w:type="character" w:styleId="25">
    <w:name w:val="annotation reference"/>
    <w:qFormat/>
    <w:uiPriority w:val="0"/>
    <w:rPr>
      <w:sz w:val="21"/>
      <w:szCs w:val="21"/>
    </w:rPr>
  </w:style>
  <w:style w:type="paragraph" w:customStyle="1" w:styleId="26">
    <w:name w:val="WPSOffice手动目录 1"/>
    <w:qFormat/>
    <w:uiPriority w:val="0"/>
    <w:rPr>
      <w:rFonts w:ascii="Calibri" w:hAnsi="Calibri" w:eastAsia="Calibri" w:cs="Times New Roman"/>
      <w:lang w:val="en-US" w:eastAsia="zh-CN" w:bidi="ar-SA"/>
    </w:rPr>
  </w:style>
  <w:style w:type="paragraph" w:customStyle="1" w:styleId="27">
    <w:name w:val="WPSOffice手动目录 2"/>
    <w:qFormat/>
    <w:uiPriority w:val="0"/>
    <w:pPr>
      <w:ind w:leftChars="200"/>
    </w:pPr>
    <w:rPr>
      <w:rFonts w:asciiTheme="minorHAnsi" w:hAnsiTheme="minorHAnsi" w:eastAsiaTheme="minorEastAsia" w:cstheme="minorBidi"/>
      <w:sz w:val="20"/>
      <w:szCs w:val="20"/>
    </w:rPr>
  </w:style>
  <w:style w:type="paragraph" w:customStyle="1" w:styleId="28">
    <w:name w:val="brdrw15brsp20 tqctx4153t"/>
    <w:qFormat/>
    <w:uiPriority w:val="0"/>
    <w:pPr>
      <w:widowControl w:val="0"/>
      <w:pBdr>
        <w:bottom w:val="single" w:color="auto" w:sz="6" w:space="0"/>
      </w:pBdr>
      <w:adjustRightInd w:val="0"/>
      <w:spacing w:line="312" w:lineRule="atLeast"/>
      <w:jc w:val="center"/>
      <w:textAlignment w:val="baseline"/>
    </w:pPr>
    <w:rPr>
      <w:rFonts w:ascii="Times New Roman" w:hAnsi="Times New Roman" w:eastAsia="宋体" w:cs="Times New Roman"/>
      <w:sz w:val="21"/>
      <w:lang w:val="en-US" w:eastAsia="zh-CN" w:bidi="ar-SA"/>
    </w:rPr>
  </w:style>
  <w:style w:type="paragraph" w:customStyle="1" w:styleId="29">
    <w:name w:val="正文缩进1"/>
    <w:basedOn w:val="1"/>
    <w:qFormat/>
    <w:uiPriority w:val="0"/>
    <w:pPr>
      <w:widowControl/>
      <w:adjustRightInd w:val="0"/>
      <w:snapToGrid w:val="0"/>
      <w:spacing w:line="520" w:lineRule="exact"/>
      <w:ind w:firstLine="200" w:firstLineChars="200"/>
      <w:jc w:val="left"/>
    </w:pPr>
    <w:rPr>
      <w:rFonts w:ascii="Times New Roman" w:hAnsi="Times New Roman"/>
      <w:kern w:val="0"/>
      <w:sz w:val="28"/>
      <w:szCs w:val="22"/>
    </w:rPr>
  </w:style>
  <w:style w:type="table" w:customStyle="1" w:styleId="30">
    <w:name w:val="网格型3"/>
    <w:unhideWhenUsed/>
    <w:qFormat/>
    <w:uiPriority w:val="99"/>
    <w:pPr>
      <w:widowControl w:val="0"/>
      <w:jc w:val="both"/>
    </w:pPr>
    <w:rPr>
      <w:rFonts w:ascii="Times New Roman" w:hAnsi="Times New Roman" w:eastAsia="Times New Roman"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
    <w:name w:val="网格型4"/>
    <w:unhideWhenUsed/>
    <w:qFormat/>
    <w:uiPriority w:val="99"/>
    <w:pPr>
      <w:widowControl w:val="0"/>
      <w:jc w:val="both"/>
    </w:pPr>
    <w:rPr>
      <w:rFonts w:ascii="Times New Roman" w:hAnsi="Times New Roman" w:eastAsia="Times New Roman"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32">
    <w:name w:val="Table Paragraph"/>
    <w:basedOn w:val="1"/>
    <w:qFormat/>
    <w:uiPriority w:val="1"/>
    <w:pPr>
      <w:jc w:val="center"/>
    </w:pPr>
    <w:rPr>
      <w:rFonts w:ascii="宋体" w:hAnsi="宋体" w:eastAsia="宋体" w:cs="宋体"/>
      <w:lang w:val="zh-CN" w:eastAsia="zh-CN" w:bidi="zh-CN"/>
    </w:rPr>
  </w:style>
  <w:style w:type="paragraph" w:customStyle="1" w:styleId="33">
    <w:name w:val="TableStyle10.5"/>
    <w:basedOn w:val="1"/>
    <w:qFormat/>
    <w:uiPriority w:val="0"/>
    <w:pPr>
      <w:jc w:val="center"/>
    </w:pPr>
    <w:rPr>
      <w:sz w:val="21"/>
    </w:rPr>
  </w:style>
  <w:style w:type="character" w:customStyle="1" w:styleId="34">
    <w:name w:val="font61"/>
    <w:basedOn w:val="23"/>
    <w:qFormat/>
    <w:uiPriority w:val="0"/>
    <w:rPr>
      <w:rFonts w:hint="default" w:ascii="Cambria" w:hAnsi="Cambria" w:eastAsia="Cambria" w:cs="Cambria"/>
      <w:color w:val="000000"/>
      <w:sz w:val="20"/>
      <w:szCs w:val="20"/>
      <w:u w:val="none"/>
    </w:rPr>
  </w:style>
  <w:style w:type="character" w:customStyle="1" w:styleId="35">
    <w:name w:val="font12"/>
    <w:basedOn w:val="23"/>
    <w:qFormat/>
    <w:uiPriority w:val="0"/>
    <w:rPr>
      <w:rFonts w:hint="eastAsia" w:ascii="宋体" w:hAnsi="宋体" w:eastAsia="宋体" w:cs="宋体"/>
      <w:color w:val="000000"/>
      <w:sz w:val="18"/>
      <w:szCs w:val="18"/>
      <w:u w:val="none"/>
    </w:rPr>
  </w:style>
  <w:style w:type="character" w:customStyle="1" w:styleId="36">
    <w:name w:val="font91"/>
    <w:basedOn w:val="23"/>
    <w:qFormat/>
    <w:uiPriority w:val="0"/>
    <w:rPr>
      <w:rFonts w:hint="default" w:ascii="Times New Roman" w:hAnsi="Times New Roman" w:cs="Times New Roman"/>
      <w:color w:val="000000"/>
      <w:sz w:val="22"/>
      <w:szCs w:val="22"/>
      <w:u w:val="none"/>
    </w:rPr>
  </w:style>
  <w:style w:type="paragraph" w:customStyle="1" w:styleId="37">
    <w:name w:val="表格"/>
    <w:basedOn w:val="1"/>
    <w:qFormat/>
    <w:uiPriority w:val="0"/>
    <w:pPr>
      <w:keepNext/>
      <w:widowControl w:val="0"/>
      <w:adjustRightInd w:val="0"/>
      <w:spacing w:line="312" w:lineRule="atLeast"/>
      <w:jc w:val="center"/>
      <w:textAlignment w:val="baseline"/>
    </w:pPr>
    <w:rPr>
      <w:sz w:val="21"/>
    </w:rPr>
  </w:style>
  <w:style w:type="character" w:customStyle="1" w:styleId="38">
    <w:name w:val="font51"/>
    <w:basedOn w:val="23"/>
    <w:qFormat/>
    <w:uiPriority w:val="0"/>
    <w:rPr>
      <w:rFonts w:hint="eastAsia" w:ascii="宋体" w:hAnsi="宋体" w:eastAsia="宋体" w:cs="宋体"/>
      <w:color w:val="000000"/>
      <w:sz w:val="20"/>
      <w:szCs w:val="20"/>
      <w:u w:val="none"/>
    </w:rPr>
  </w:style>
  <w:style w:type="character" w:customStyle="1" w:styleId="39">
    <w:name w:val="font41"/>
    <w:qFormat/>
    <w:uiPriority w:val="0"/>
    <w:rPr>
      <w:rFonts w:hint="default" w:ascii="Times New Roman" w:hAnsi="Times New Roman" w:cs="Times New Roman"/>
      <w:color w:val="000000"/>
      <w:sz w:val="22"/>
      <w:szCs w:val="22"/>
      <w:u w:val="none"/>
    </w:rPr>
  </w:style>
  <w:style w:type="character" w:customStyle="1" w:styleId="40">
    <w:name w:val="font21"/>
    <w:basedOn w:val="23"/>
    <w:qFormat/>
    <w:uiPriority w:val="0"/>
    <w:rPr>
      <w:rFonts w:hint="default" w:ascii="Times New Roman" w:hAnsi="Times New Roman" w:cs="Times New Roman"/>
      <w:color w:val="000000"/>
      <w:sz w:val="22"/>
      <w:szCs w:val="22"/>
      <w:u w:val="none"/>
      <w:vertAlign w:val="superscript"/>
    </w:rPr>
  </w:style>
  <w:style w:type="character" w:customStyle="1" w:styleId="41">
    <w:name w:val="font111"/>
    <w:basedOn w:val="23"/>
    <w:qFormat/>
    <w:uiPriority w:val="0"/>
    <w:rPr>
      <w:rFonts w:hint="default" w:ascii="Times New Roman" w:hAnsi="Times New Roman" w:cs="Times New Roman"/>
      <w:color w:val="000000"/>
      <w:sz w:val="22"/>
      <w:szCs w:val="22"/>
      <w:u w:val="none"/>
      <w:vertAlign w:val="subscript"/>
    </w:rPr>
  </w:style>
  <w:style w:type="character" w:customStyle="1" w:styleId="42">
    <w:name w:val="font101"/>
    <w:qFormat/>
    <w:uiPriority w:val="0"/>
    <w:rPr>
      <w:rFonts w:hint="default" w:ascii="Cambria" w:hAnsi="Cambria" w:eastAsia="Cambria" w:cs="Cambria"/>
      <w:color w:val="000000"/>
      <w:sz w:val="20"/>
      <w:szCs w:val="20"/>
      <w:u w:val="none"/>
      <w:vertAlign w:val="superscript"/>
    </w:rPr>
  </w:style>
  <w:style w:type="paragraph" w:styleId="43">
    <w:name w:val="List Paragraph"/>
    <w:basedOn w:val="1"/>
    <w:qFormat/>
    <w:uiPriority w:val="1"/>
    <w:pPr>
      <w:ind w:left="222" w:firstLine="561"/>
    </w:pPr>
    <w:rPr>
      <w:rFonts w:ascii="宋体" w:hAnsi="宋体" w:eastAsia="宋体" w:cs="宋体"/>
      <w:lang w:val="zh-CN" w:eastAsia="zh-CN" w:bidi="zh-CN"/>
    </w:rPr>
  </w:style>
  <w:style w:type="character" w:customStyle="1" w:styleId="44">
    <w:name w:val=" Char Char12"/>
    <w:basedOn w:val="23"/>
    <w:link w:val="8"/>
    <w:qFormat/>
    <w:uiPriority w:val="9"/>
    <w:rPr>
      <w:rFonts w:ascii="Cambria" w:hAnsi="Cambria" w:eastAsiaTheme="minorEastAsia"/>
      <w:b/>
      <w:bCs/>
      <w:sz w:val="28"/>
      <w:szCs w:val="32"/>
    </w:rPr>
  </w:style>
  <w:style w:type="paragraph" w:customStyle="1" w:styleId="45">
    <w:name w:val="Default"/>
    <w:qFormat/>
    <w:uiPriority w:val="0"/>
    <w:pPr>
      <w:widowControl w:val="0"/>
      <w:autoSpaceDE w:val="0"/>
      <w:autoSpaceDN w:val="0"/>
      <w:adjustRightInd w:val="0"/>
    </w:pPr>
    <w:rPr>
      <w:rFonts w:ascii="宋体" w:cs="宋体" w:hAnsiTheme="minorHAnsi" w:eastAsiaTheme="minorEastAsia"/>
      <w:color w:val="000000"/>
      <w:sz w:val="24"/>
      <w:szCs w:val="24"/>
      <w:lang w:val="en-US" w:eastAsia="zh-CN" w:bidi="ar-SA"/>
    </w:rPr>
  </w:style>
  <w:style w:type="table" w:customStyle="1" w:styleId="46">
    <w:name w:val="Table Normal"/>
    <w:unhideWhenUsed/>
    <w:qFormat/>
    <w:uiPriority w:val="0"/>
    <w:tblPr>
      <w:tblCellMar>
        <w:top w:w="0" w:type="dxa"/>
        <w:left w:w="0" w:type="dxa"/>
        <w:bottom w:w="0" w:type="dxa"/>
        <w:right w:w="0" w:type="dxa"/>
      </w:tblCellMar>
    </w:tblPr>
  </w:style>
  <w:style w:type="paragraph" w:customStyle="1" w:styleId="47">
    <w:name w:val="Table Text"/>
    <w:basedOn w:val="1"/>
    <w:semiHidden/>
    <w:qFormat/>
    <w:uiPriority w:val="0"/>
    <w:rPr>
      <w:rFonts w:ascii="宋体" w:hAnsi="宋体" w:eastAsia="宋体" w:cs="宋体"/>
      <w:sz w:val="24"/>
      <w:szCs w:val="24"/>
      <w:lang w:val="en-US" w:eastAsia="en-US" w:bidi="ar-SA"/>
    </w:rPr>
  </w:style>
  <w:style w:type="paragraph" w:customStyle="1" w:styleId="48">
    <w:name w:val="_Style 1"/>
    <w:basedOn w:val="1"/>
    <w:qFormat/>
    <w:uiPriority w:val="99"/>
    <w:pPr>
      <w:spacing w:line="481" w:lineRule="atLeast"/>
      <w:ind w:firstLine="623"/>
      <w:textAlignment w:val="baseline"/>
    </w:pPr>
    <w:rPr>
      <w:rFonts w:ascii="Times New Roman" w:eastAsia="仿宋_GB2312"/>
      <w:color w:val="000000"/>
      <w:sz w:val="31"/>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7" Type="http://schemas.openxmlformats.org/officeDocument/2006/relationships/fontTable" Target="fontTable.xml"/><Relationship Id="rId86" Type="http://schemas.openxmlformats.org/officeDocument/2006/relationships/numbering" Target="numbering.xml"/><Relationship Id="rId85" Type="http://schemas.openxmlformats.org/officeDocument/2006/relationships/customXml" Target="../customXml/item1.xml"/><Relationship Id="rId84" Type="http://schemas.openxmlformats.org/officeDocument/2006/relationships/image" Target="media/image75.jpeg"/><Relationship Id="rId83" Type="http://schemas.openxmlformats.org/officeDocument/2006/relationships/image" Target="media/image74.jpeg"/><Relationship Id="rId82" Type="http://schemas.openxmlformats.org/officeDocument/2006/relationships/image" Target="media/image73.jpeg"/><Relationship Id="rId81" Type="http://schemas.openxmlformats.org/officeDocument/2006/relationships/image" Target="media/image72.jpeg"/><Relationship Id="rId80" Type="http://schemas.openxmlformats.org/officeDocument/2006/relationships/image" Target="media/image71.jpeg"/><Relationship Id="rId8" Type="http://schemas.openxmlformats.org/officeDocument/2006/relationships/footer" Target="footer4.xml"/><Relationship Id="rId79" Type="http://schemas.openxmlformats.org/officeDocument/2006/relationships/image" Target="media/image70.jpeg"/><Relationship Id="rId78" Type="http://schemas.openxmlformats.org/officeDocument/2006/relationships/image" Target="media/image69.jpeg"/><Relationship Id="rId77" Type="http://schemas.openxmlformats.org/officeDocument/2006/relationships/image" Target="media/image68.jpeg"/><Relationship Id="rId76" Type="http://schemas.openxmlformats.org/officeDocument/2006/relationships/image" Target="media/image67.jpeg"/><Relationship Id="rId75" Type="http://schemas.openxmlformats.org/officeDocument/2006/relationships/image" Target="media/image66.jpeg"/><Relationship Id="rId74" Type="http://schemas.openxmlformats.org/officeDocument/2006/relationships/image" Target="media/image65.jpeg"/><Relationship Id="rId73" Type="http://schemas.openxmlformats.org/officeDocument/2006/relationships/image" Target="media/image64.jpeg"/><Relationship Id="rId72" Type="http://schemas.openxmlformats.org/officeDocument/2006/relationships/image" Target="media/image63.jpeg"/><Relationship Id="rId71" Type="http://schemas.openxmlformats.org/officeDocument/2006/relationships/image" Target="media/image62.jpeg"/><Relationship Id="rId70" Type="http://schemas.openxmlformats.org/officeDocument/2006/relationships/image" Target="media/image61.jpeg"/><Relationship Id="rId7" Type="http://schemas.openxmlformats.org/officeDocument/2006/relationships/footer" Target="footer3.xml"/><Relationship Id="rId69" Type="http://schemas.openxmlformats.org/officeDocument/2006/relationships/image" Target="media/image60.jpeg"/><Relationship Id="rId68" Type="http://schemas.openxmlformats.org/officeDocument/2006/relationships/image" Target="media/image59.jpeg"/><Relationship Id="rId67" Type="http://schemas.openxmlformats.org/officeDocument/2006/relationships/image" Target="media/image58.jpeg"/><Relationship Id="rId66" Type="http://schemas.openxmlformats.org/officeDocument/2006/relationships/image" Target="media/image57.jpeg"/><Relationship Id="rId65" Type="http://schemas.openxmlformats.org/officeDocument/2006/relationships/image" Target="media/image56.jpeg"/><Relationship Id="rId64" Type="http://schemas.openxmlformats.org/officeDocument/2006/relationships/image" Target="media/image55.jpeg"/><Relationship Id="rId63" Type="http://schemas.openxmlformats.org/officeDocument/2006/relationships/image" Target="media/image54.jpeg"/><Relationship Id="rId62" Type="http://schemas.openxmlformats.org/officeDocument/2006/relationships/image" Target="media/image53.jpeg"/><Relationship Id="rId61" Type="http://schemas.openxmlformats.org/officeDocument/2006/relationships/image" Target="media/image52.jpeg"/><Relationship Id="rId60" Type="http://schemas.openxmlformats.org/officeDocument/2006/relationships/image" Target="media/image51.jpeg"/><Relationship Id="rId6" Type="http://schemas.openxmlformats.org/officeDocument/2006/relationships/footer" Target="footer2.xml"/><Relationship Id="rId59" Type="http://schemas.openxmlformats.org/officeDocument/2006/relationships/image" Target="media/image50.jpeg"/><Relationship Id="rId58" Type="http://schemas.openxmlformats.org/officeDocument/2006/relationships/image" Target="media/image49.jpeg"/><Relationship Id="rId57" Type="http://schemas.openxmlformats.org/officeDocument/2006/relationships/image" Target="media/image48.jpeg"/><Relationship Id="rId56" Type="http://schemas.openxmlformats.org/officeDocument/2006/relationships/image" Target="media/image47.jpeg"/><Relationship Id="rId55" Type="http://schemas.openxmlformats.org/officeDocument/2006/relationships/image" Target="media/image46.jpeg"/><Relationship Id="rId54" Type="http://schemas.openxmlformats.org/officeDocument/2006/relationships/image" Target="media/image45.jpeg"/><Relationship Id="rId53" Type="http://schemas.openxmlformats.org/officeDocument/2006/relationships/image" Target="media/image44.jpeg"/><Relationship Id="rId52" Type="http://schemas.openxmlformats.org/officeDocument/2006/relationships/image" Target="media/image43.jpeg"/><Relationship Id="rId51" Type="http://schemas.openxmlformats.org/officeDocument/2006/relationships/image" Target="media/image42.jpeg"/><Relationship Id="rId50" Type="http://schemas.openxmlformats.org/officeDocument/2006/relationships/image" Target="media/image41.jpeg"/><Relationship Id="rId5" Type="http://schemas.openxmlformats.org/officeDocument/2006/relationships/header" Target="header2.xml"/><Relationship Id="rId49" Type="http://schemas.openxmlformats.org/officeDocument/2006/relationships/image" Target="media/image40.jpeg"/><Relationship Id="rId48" Type="http://schemas.openxmlformats.org/officeDocument/2006/relationships/image" Target="media/image39.jpeg"/><Relationship Id="rId47" Type="http://schemas.openxmlformats.org/officeDocument/2006/relationships/image" Target="media/image38.jpeg"/><Relationship Id="rId46" Type="http://schemas.openxmlformats.org/officeDocument/2006/relationships/image" Target="media/image37.jpeg"/><Relationship Id="rId45" Type="http://schemas.openxmlformats.org/officeDocument/2006/relationships/image" Target="media/image36.jpeg"/><Relationship Id="rId44" Type="http://schemas.openxmlformats.org/officeDocument/2006/relationships/image" Target="media/image35.jpeg"/><Relationship Id="rId43" Type="http://schemas.openxmlformats.org/officeDocument/2006/relationships/image" Target="media/image34.jpeg"/><Relationship Id="rId42" Type="http://schemas.openxmlformats.org/officeDocument/2006/relationships/image" Target="media/image33.jpeg"/><Relationship Id="rId41" Type="http://schemas.openxmlformats.org/officeDocument/2006/relationships/image" Target="media/image32.jpeg"/><Relationship Id="rId40" Type="http://schemas.openxmlformats.org/officeDocument/2006/relationships/image" Target="media/image31.jpeg"/><Relationship Id="rId4" Type="http://schemas.openxmlformats.org/officeDocument/2006/relationships/footer" Target="footer1.xml"/><Relationship Id="rId39" Type="http://schemas.openxmlformats.org/officeDocument/2006/relationships/image" Target="media/image30.jpeg"/><Relationship Id="rId38" Type="http://schemas.openxmlformats.org/officeDocument/2006/relationships/image" Target="media/image29.jpeg"/><Relationship Id="rId37" Type="http://schemas.openxmlformats.org/officeDocument/2006/relationships/image" Target="media/image28.jpeg"/><Relationship Id="rId36" Type="http://schemas.openxmlformats.org/officeDocument/2006/relationships/image" Target="media/image27.jpeg"/><Relationship Id="rId35" Type="http://schemas.openxmlformats.org/officeDocument/2006/relationships/image" Target="media/image26.jpeg"/><Relationship Id="rId34" Type="http://schemas.openxmlformats.org/officeDocument/2006/relationships/image" Target="media/image25.jpeg"/><Relationship Id="rId33" Type="http://schemas.openxmlformats.org/officeDocument/2006/relationships/image" Target="media/image24.jpeg"/><Relationship Id="rId32" Type="http://schemas.openxmlformats.org/officeDocument/2006/relationships/image" Target="media/image23.jpeg"/><Relationship Id="rId31" Type="http://schemas.openxmlformats.org/officeDocument/2006/relationships/image" Target="media/image22.jpeg"/><Relationship Id="rId30" Type="http://schemas.openxmlformats.org/officeDocument/2006/relationships/image" Target="media/image21.jpeg"/><Relationship Id="rId3" Type="http://schemas.openxmlformats.org/officeDocument/2006/relationships/header" Target="header1.xml"/><Relationship Id="rId29" Type="http://schemas.openxmlformats.org/officeDocument/2006/relationships/image" Target="media/image20.jpeg"/><Relationship Id="rId28" Type="http://schemas.openxmlformats.org/officeDocument/2006/relationships/image" Target="media/image19.jpeg"/><Relationship Id="rId27" Type="http://schemas.openxmlformats.org/officeDocument/2006/relationships/image" Target="media/image18.jpeg"/><Relationship Id="rId26" Type="http://schemas.openxmlformats.org/officeDocument/2006/relationships/image" Target="media/image17.jpeg"/><Relationship Id="rId25" Type="http://schemas.openxmlformats.org/officeDocument/2006/relationships/image" Target="media/image16.jpeg"/><Relationship Id="rId24" Type="http://schemas.openxmlformats.org/officeDocument/2006/relationships/image" Target="media/image15.png"/><Relationship Id="rId23" Type="http://schemas.openxmlformats.org/officeDocument/2006/relationships/image" Target="media/image14.png"/><Relationship Id="rId22" Type="http://schemas.openxmlformats.org/officeDocument/2006/relationships/image" Target="media/image13.jpeg"/><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png"/><Relationship Id="rId11" Type="http://schemas.openxmlformats.org/officeDocument/2006/relationships/image" Target="media/image2.pn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0</TotalTime>
  <ScaleCrop>false</ScaleCrop>
  <LinksUpToDate>false</LinksUpToDate>
  <CharactersWithSpaces>0</CharactersWithSpaces>
  <Application>WPS Office_12.1.0.15712_F1E327BC-269C-435d-A152-05C5408002CA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2023-10-28T10:22:00Z</dcterms:created>
  <dc:creator>宁静致远</dc:creator>
  <cp:lastModifiedBy>西瓜</cp:lastModifiedBy>
  <dcterms:modified xsi:type="dcterms:W3CDTF">2023-10-30T08:57:11Z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2052-12.1.0.15712</vt:lpwstr>
  </property>
  <property fmtid="{D5CDD505-2E9C-101B-9397-08002B2CF9AE}" pid="3" name="ICV">
    <vt:lpwstr>6384CDBF31FB42C2A4A0130B0BE655A9_11</vt:lpwstr>
  </property>
</Properties>
</file>