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firstLine="1960" w:firstLineChars="700"/>
        <w:jc w:val="left"/>
        <w:rPr>
          <w:rFonts w:hint="eastAsia" w:ascii="宋体" w:hAnsi="宋体" w:eastAsia="宋体" w:cs="宋体"/>
          <w:color w:val="auto"/>
          <w:kern w:val="0"/>
          <w:sz w:val="28"/>
          <w:szCs w:val="28"/>
          <w:highlight w:val="none"/>
          <w:lang w:bidi="ar"/>
        </w:rPr>
      </w:pPr>
    </w:p>
    <w:p>
      <w:pPr>
        <w:pStyle w:val="2"/>
        <w:outlineLvl w:val="9"/>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p>
    <w:p>
      <w:pPr>
        <w:outlineLvl w:val="9"/>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eastAsia" w:ascii="华文中宋" w:hAnsi="华文中宋" w:eastAsia="华文中宋" w:cs="华文中宋"/>
          <w:b/>
          <w:bCs/>
          <w:color w:val="auto"/>
          <w:kern w:val="0"/>
          <w:sz w:val="56"/>
          <w:szCs w:val="56"/>
          <w:highlight w:val="none"/>
          <w:lang w:eastAsia="zh-CN" w:bidi="ar"/>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华文中宋" w:hAnsi="华文中宋" w:eastAsia="华文中宋" w:cs="华文中宋"/>
          <w:b/>
          <w:bCs/>
          <w:color w:val="auto"/>
          <w:kern w:val="0"/>
          <w:sz w:val="56"/>
          <w:szCs w:val="56"/>
          <w:highlight w:val="none"/>
          <w:lang w:eastAsia="zh-CN" w:bidi="ar"/>
        </w:rPr>
      </w:pPr>
      <w:r>
        <w:rPr>
          <w:rFonts w:hint="eastAsia" w:ascii="华文中宋" w:hAnsi="华文中宋" w:eastAsia="华文中宋" w:cs="华文中宋"/>
          <w:b/>
          <w:bCs/>
          <w:color w:val="auto"/>
          <w:kern w:val="0"/>
          <w:sz w:val="56"/>
          <w:szCs w:val="56"/>
          <w:highlight w:val="none"/>
          <w:lang w:eastAsia="zh-CN" w:bidi="ar"/>
        </w:rPr>
        <w:t>河南省中威春雨植物营养</w:t>
      </w:r>
    </w:p>
    <w:p>
      <w:pPr>
        <w:keepNext w:val="0"/>
        <w:keepLines w:val="0"/>
        <w:pageBreakBefore w:val="0"/>
        <w:widowControl/>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color w:val="auto"/>
          <w:sz w:val="56"/>
          <w:szCs w:val="56"/>
          <w:highlight w:val="none"/>
        </w:rPr>
      </w:pPr>
      <w:r>
        <w:rPr>
          <w:rFonts w:hint="eastAsia" w:ascii="华文中宋" w:hAnsi="华文中宋" w:eastAsia="华文中宋" w:cs="华文中宋"/>
          <w:b/>
          <w:bCs/>
          <w:color w:val="auto"/>
          <w:kern w:val="0"/>
          <w:sz w:val="56"/>
          <w:szCs w:val="56"/>
          <w:highlight w:val="none"/>
          <w:lang w:eastAsia="zh-CN" w:bidi="ar"/>
        </w:rPr>
        <w:t>有限公司</w:t>
      </w:r>
      <w:bookmarkStart w:id="0" w:name="_Toc30336"/>
      <w:bookmarkStart w:id="1" w:name="_Toc31105"/>
      <w:bookmarkStart w:id="2" w:name="_Toc2657"/>
      <w:r>
        <w:rPr>
          <w:rFonts w:hint="eastAsia" w:ascii="华文中宋" w:hAnsi="华文中宋" w:eastAsia="华文中宋" w:cs="华文中宋"/>
          <w:b/>
          <w:color w:val="auto"/>
          <w:kern w:val="0"/>
          <w:sz w:val="56"/>
          <w:szCs w:val="56"/>
          <w:highlight w:val="none"/>
        </w:rPr>
        <w:t>土壤自行监测报告</w:t>
      </w:r>
      <w:bookmarkEnd w:id="0"/>
      <w:bookmarkEnd w:id="1"/>
      <w:bookmarkEnd w:id="2"/>
    </w:p>
    <w:p>
      <w:pPr>
        <w:jc w:val="center"/>
        <w:outlineLvl w:val="9"/>
        <w:rPr>
          <w:rFonts w:hint="eastAsia" w:ascii="宋体" w:hAnsi="宋体" w:eastAsia="宋体" w:cs="宋体"/>
          <w:b/>
          <w:bCs/>
          <w:color w:val="auto"/>
          <w:sz w:val="44"/>
          <w:szCs w:val="44"/>
          <w:highlight w:val="none"/>
        </w:rPr>
      </w:pPr>
    </w:p>
    <w:p>
      <w:pPr>
        <w:jc w:val="center"/>
        <w:outlineLvl w:val="9"/>
        <w:rPr>
          <w:rFonts w:hint="eastAsia" w:ascii="宋体" w:hAnsi="宋体" w:eastAsia="宋体" w:cs="宋体"/>
          <w:b/>
          <w:bCs/>
          <w:color w:val="auto"/>
          <w:sz w:val="44"/>
          <w:szCs w:val="44"/>
          <w:highlight w:val="none"/>
        </w:rPr>
      </w:pPr>
    </w:p>
    <w:p>
      <w:pPr>
        <w:jc w:val="center"/>
        <w:outlineLvl w:val="9"/>
        <w:rPr>
          <w:rFonts w:hint="eastAsia" w:ascii="宋体" w:hAnsi="宋体" w:eastAsia="宋体" w:cs="宋体"/>
          <w:b/>
          <w:bCs/>
          <w:color w:val="auto"/>
          <w:sz w:val="44"/>
          <w:szCs w:val="44"/>
          <w:highlight w:val="none"/>
        </w:rPr>
      </w:pPr>
    </w:p>
    <w:p>
      <w:pPr>
        <w:outlineLvl w:val="9"/>
        <w:rPr>
          <w:rFonts w:hint="eastAsia" w:ascii="宋体" w:hAnsi="宋体" w:eastAsia="宋体" w:cs="宋体"/>
          <w:highlight w:val="none"/>
        </w:rPr>
      </w:pPr>
    </w:p>
    <w:p>
      <w:pPr>
        <w:jc w:val="center"/>
        <w:outlineLvl w:val="9"/>
        <w:rPr>
          <w:rFonts w:hint="eastAsia" w:ascii="宋体" w:hAnsi="宋体" w:eastAsia="宋体" w:cs="宋体"/>
          <w:b/>
          <w:bCs/>
          <w:color w:val="auto"/>
          <w:sz w:val="44"/>
          <w:szCs w:val="44"/>
          <w:highlight w:val="none"/>
        </w:rPr>
      </w:pPr>
    </w:p>
    <w:p>
      <w:pPr>
        <w:jc w:val="center"/>
        <w:outlineLvl w:val="9"/>
        <w:rPr>
          <w:rFonts w:hint="eastAsia" w:ascii="宋体" w:hAnsi="宋体" w:eastAsia="宋体" w:cs="宋体"/>
          <w:b/>
          <w:bCs/>
          <w:color w:val="auto"/>
          <w:sz w:val="44"/>
          <w:szCs w:val="44"/>
          <w:highlight w:val="none"/>
        </w:rPr>
      </w:pPr>
    </w:p>
    <w:p>
      <w:pPr>
        <w:outlineLvl w:val="9"/>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p>
    <w:p>
      <w:pPr>
        <w:jc w:val="center"/>
        <w:outlineLvl w:val="9"/>
        <w:rPr>
          <w:rFonts w:hint="eastAsia" w:ascii="宋体" w:hAnsi="宋体" w:eastAsia="宋体" w:cs="宋体"/>
          <w:b/>
          <w:bCs/>
          <w:color w:val="auto"/>
          <w:sz w:val="44"/>
          <w:szCs w:val="44"/>
          <w:highlight w:val="none"/>
        </w:rPr>
      </w:pPr>
    </w:p>
    <w:p>
      <w:pPr>
        <w:pStyle w:val="18"/>
        <w:outlineLvl w:val="9"/>
        <w:rPr>
          <w:rFonts w:hint="eastAsia" w:ascii="宋体" w:hAnsi="宋体" w:eastAsia="宋体" w:cs="宋体"/>
          <w:b/>
          <w:bCs/>
          <w:color w:val="auto"/>
          <w:sz w:val="44"/>
          <w:szCs w:val="44"/>
          <w:highlight w:val="none"/>
        </w:rPr>
      </w:pPr>
    </w:p>
    <w:p>
      <w:pPr>
        <w:outlineLvl w:val="9"/>
        <w:rPr>
          <w:rFonts w:hint="eastAsia" w:ascii="宋体" w:hAnsi="宋体" w:eastAsia="宋体" w:cs="宋体"/>
        </w:rPr>
      </w:pPr>
    </w:p>
    <w:p>
      <w:pPr>
        <w:ind w:firstLine="964" w:firstLineChars="300"/>
        <w:outlineLvl w:val="9"/>
        <w:rPr>
          <w:rFonts w:hint="eastAsia" w:ascii="宋体" w:hAnsi="宋体" w:eastAsia="宋体" w:cs="宋体"/>
          <w:b/>
          <w:bCs/>
          <w:color w:val="auto"/>
          <w:sz w:val="32"/>
          <w:szCs w:val="32"/>
          <w:highlight w:val="none"/>
          <w:lang w:eastAsia="zh-CN"/>
        </w:rPr>
      </w:pPr>
    </w:p>
    <w:p>
      <w:pPr>
        <w:spacing w:line="360" w:lineRule="auto"/>
        <w:ind w:firstLine="964" w:firstLineChars="300"/>
        <w:outlineLvl w:val="9"/>
        <w:rPr>
          <w:rFonts w:hint="eastAsia" w:ascii="宋体" w:hAnsi="宋体" w:eastAsia="宋体" w:cs="宋体"/>
          <w:b/>
          <w:bCs/>
          <w:color w:val="auto"/>
          <w:sz w:val="32"/>
          <w:szCs w:val="32"/>
          <w:highlight w:val="none"/>
          <w:u w:val="single"/>
          <w:lang w:val="en-US" w:eastAsia="zh-CN"/>
        </w:rPr>
      </w:pPr>
      <w:r>
        <w:rPr>
          <w:rFonts w:hint="eastAsia" w:ascii="宋体" w:hAnsi="宋体" w:eastAsia="宋体" w:cs="宋体"/>
          <w:b/>
          <w:bCs/>
          <w:color w:val="auto"/>
          <w:sz w:val="32"/>
          <w:szCs w:val="32"/>
          <w:highlight w:val="none"/>
        </w:rPr>
        <w:t>呈报单位：</w:t>
      </w:r>
      <w:r>
        <w:rPr>
          <w:rFonts w:hint="eastAsia" w:ascii="宋体" w:hAnsi="宋体" w:eastAsia="宋体" w:cs="宋体"/>
          <w:b/>
          <w:bCs/>
          <w:color w:val="auto"/>
          <w:sz w:val="32"/>
          <w:szCs w:val="32"/>
          <w:highlight w:val="none"/>
          <w:u w:val="single"/>
          <w:lang w:eastAsia="zh-CN"/>
        </w:rPr>
        <w:t>河南省中威春雨植物营养有限公司</w:t>
      </w:r>
      <w:r>
        <w:rPr>
          <w:rFonts w:hint="eastAsia" w:ascii="宋体" w:hAnsi="宋体" w:eastAsia="宋体" w:cs="宋体"/>
          <w:b/>
          <w:bCs/>
          <w:color w:val="auto"/>
          <w:sz w:val="32"/>
          <w:szCs w:val="32"/>
          <w:highlight w:val="none"/>
          <w:u w:val="single"/>
          <w:lang w:val="en-US" w:eastAsia="zh-CN"/>
        </w:rPr>
        <w:t xml:space="preserve"> </w:t>
      </w:r>
    </w:p>
    <w:p>
      <w:pPr>
        <w:spacing w:line="360" w:lineRule="auto"/>
        <w:ind w:firstLine="964" w:firstLineChars="300"/>
        <w:outlineLvl w:val="9"/>
        <w:rPr>
          <w:rFonts w:hint="eastAsia" w:ascii="宋体" w:hAnsi="宋体" w:eastAsia="宋体" w:cs="宋体"/>
          <w:b/>
          <w:bCs/>
          <w:color w:val="auto"/>
          <w:sz w:val="32"/>
          <w:szCs w:val="32"/>
          <w:highlight w:val="none"/>
          <w:u w:val="single"/>
          <w:lang w:val="en-US" w:eastAsia="zh-CN"/>
        </w:rPr>
      </w:pPr>
      <w:bookmarkStart w:id="3" w:name="_Toc19383"/>
      <w:bookmarkStart w:id="4" w:name="_Toc3483"/>
      <w:bookmarkStart w:id="5" w:name="_Toc30912"/>
      <w:r>
        <w:rPr>
          <w:rFonts w:hint="eastAsia" w:ascii="宋体" w:hAnsi="宋体" w:eastAsia="宋体" w:cs="宋体"/>
          <w:b/>
          <w:bCs/>
          <w:color w:val="auto"/>
          <w:sz w:val="32"/>
          <w:szCs w:val="32"/>
          <w:highlight w:val="none"/>
        </w:rPr>
        <w:t>编制单位：</w:t>
      </w:r>
      <w:bookmarkEnd w:id="3"/>
      <w:bookmarkEnd w:id="4"/>
      <w:bookmarkEnd w:id="5"/>
      <w:r>
        <w:rPr>
          <w:rFonts w:hint="eastAsia" w:ascii="宋体" w:hAnsi="宋体" w:eastAsia="宋体" w:cs="宋体"/>
          <w:b/>
          <w:bCs/>
          <w:color w:val="auto"/>
          <w:sz w:val="32"/>
          <w:szCs w:val="32"/>
          <w:highlight w:val="none"/>
          <w:u w:val="single"/>
          <w:lang w:eastAsia="zh-CN"/>
        </w:rPr>
        <w:t>河南省中威春雨植物营养有限公司</w:t>
      </w:r>
      <w:r>
        <w:rPr>
          <w:rFonts w:hint="eastAsia" w:ascii="宋体" w:hAnsi="宋体" w:eastAsia="宋体" w:cs="宋体"/>
          <w:b/>
          <w:bCs/>
          <w:color w:val="auto"/>
          <w:sz w:val="32"/>
          <w:szCs w:val="32"/>
          <w:highlight w:val="none"/>
          <w:u w:val="single"/>
          <w:lang w:val="en-US" w:eastAsia="zh-CN"/>
        </w:rPr>
        <w:t xml:space="preserve"> </w:t>
      </w:r>
    </w:p>
    <w:p>
      <w:pPr>
        <w:spacing w:line="360" w:lineRule="auto"/>
        <w:ind w:firstLine="964" w:firstLineChars="300"/>
        <w:outlineLvl w:val="9"/>
        <w:rPr>
          <w:rFonts w:hint="eastAsia" w:ascii="宋体" w:hAnsi="宋体" w:eastAsia="宋体" w:cs="宋体"/>
          <w:b/>
          <w:bCs/>
          <w:color w:val="auto"/>
          <w:sz w:val="32"/>
          <w:szCs w:val="32"/>
          <w:highlight w:val="none"/>
          <w:u w:val="single"/>
          <w:lang w:val="en-US" w:eastAsia="zh-CN"/>
        </w:rPr>
      </w:pPr>
      <w:r>
        <w:rPr>
          <w:rFonts w:hint="eastAsia" w:ascii="宋体" w:hAnsi="宋体" w:eastAsia="宋体" w:cs="宋体"/>
          <w:b/>
          <w:bCs/>
          <w:color w:val="auto"/>
          <w:sz w:val="32"/>
          <w:szCs w:val="32"/>
          <w:highlight w:val="none"/>
        </w:rPr>
        <w:t>编制日期：</w:t>
      </w:r>
      <w:r>
        <w:rPr>
          <w:rFonts w:hint="eastAsia" w:ascii="宋体" w:hAnsi="宋体" w:eastAsia="宋体" w:cs="宋体"/>
          <w:b/>
          <w:bCs/>
          <w:color w:val="auto"/>
          <w:sz w:val="32"/>
          <w:szCs w:val="32"/>
          <w:highlight w:val="none"/>
          <w:u w:val="single"/>
          <w:lang w:val="en-US" w:eastAsia="zh-CN"/>
        </w:rPr>
        <w:t xml:space="preserve">       </w:t>
      </w:r>
      <w:r>
        <w:rPr>
          <w:rFonts w:hint="eastAsia" w:ascii="宋体" w:hAnsi="宋体" w:eastAsia="宋体" w:cs="宋体"/>
          <w:b/>
          <w:bCs/>
          <w:color w:val="auto"/>
          <w:sz w:val="32"/>
          <w:szCs w:val="32"/>
          <w:highlight w:val="none"/>
          <w:u w:val="single"/>
        </w:rPr>
        <w:t>二零二</w:t>
      </w:r>
      <w:r>
        <w:rPr>
          <w:rFonts w:hint="eastAsia" w:ascii="宋体" w:hAnsi="宋体" w:eastAsia="宋体" w:cs="宋体"/>
          <w:b/>
          <w:bCs/>
          <w:color w:val="auto"/>
          <w:sz w:val="32"/>
          <w:szCs w:val="32"/>
          <w:highlight w:val="none"/>
          <w:u w:val="single"/>
          <w:lang w:val="en-US" w:eastAsia="zh-CN"/>
        </w:rPr>
        <w:t>三</w:t>
      </w:r>
      <w:r>
        <w:rPr>
          <w:rFonts w:hint="eastAsia" w:ascii="宋体" w:hAnsi="宋体" w:eastAsia="宋体" w:cs="宋体"/>
          <w:b/>
          <w:bCs/>
          <w:color w:val="auto"/>
          <w:sz w:val="32"/>
          <w:szCs w:val="32"/>
          <w:highlight w:val="none"/>
          <w:u w:val="single"/>
        </w:rPr>
        <w:t>年</w:t>
      </w:r>
      <w:r>
        <w:rPr>
          <w:rFonts w:hint="eastAsia" w:ascii="宋体" w:hAnsi="宋体" w:eastAsia="宋体" w:cs="宋体"/>
          <w:b/>
          <w:bCs/>
          <w:color w:val="auto"/>
          <w:sz w:val="32"/>
          <w:szCs w:val="32"/>
          <w:highlight w:val="none"/>
          <w:u w:val="single"/>
          <w:lang w:val="en-US" w:eastAsia="zh-CN"/>
        </w:rPr>
        <w:t>八</w:t>
      </w:r>
      <w:r>
        <w:rPr>
          <w:rFonts w:hint="eastAsia" w:ascii="宋体" w:hAnsi="宋体" w:eastAsia="宋体" w:cs="宋体"/>
          <w:b/>
          <w:bCs/>
          <w:color w:val="auto"/>
          <w:sz w:val="32"/>
          <w:szCs w:val="32"/>
          <w:highlight w:val="none"/>
          <w:u w:val="single"/>
        </w:rPr>
        <w:t>月</w:t>
      </w:r>
      <w:r>
        <w:rPr>
          <w:rFonts w:hint="eastAsia" w:ascii="宋体" w:hAnsi="宋体" w:eastAsia="宋体" w:cs="宋体"/>
          <w:b/>
          <w:bCs/>
          <w:color w:val="auto"/>
          <w:sz w:val="32"/>
          <w:szCs w:val="32"/>
          <w:highlight w:val="none"/>
          <w:u w:val="single"/>
          <w:lang w:val="en-US" w:eastAsia="zh-CN"/>
        </w:rPr>
        <w:t xml:space="preserve">        </w:t>
      </w:r>
    </w:p>
    <w:p>
      <w:pPr>
        <w:ind w:firstLine="964" w:firstLineChars="300"/>
        <w:rPr>
          <w:rFonts w:hint="eastAsia" w:ascii="宋体" w:hAnsi="宋体" w:eastAsia="宋体" w:cs="宋体"/>
          <w:b/>
          <w:bCs/>
          <w:color w:val="auto"/>
          <w:sz w:val="32"/>
          <w:szCs w:val="32"/>
          <w:highlight w:val="none"/>
          <w:u w:val="single"/>
        </w:rPr>
      </w:pPr>
      <w:bookmarkStart w:id="323" w:name="_GoBack"/>
      <w:bookmarkEnd w:id="323"/>
    </w:p>
    <w:p>
      <w:pPr>
        <w:rPr>
          <w:rFonts w:hint="eastAsia"/>
        </w:rPr>
        <w:sectPr>
          <w:headerReference r:id="rId3" w:type="default"/>
          <w:type w:val="continuous"/>
          <w:pgSz w:w="11906" w:h="16838"/>
          <w:pgMar w:top="1440" w:right="1800" w:bottom="1440" w:left="1800" w:header="851" w:footer="992" w:gutter="0"/>
          <w:pgNumType w:fmt="decimal"/>
          <w:cols w:space="720" w:num="1"/>
          <w:docGrid w:type="lines" w:linePitch="312" w:charSpace="0"/>
        </w:sectPr>
      </w:pPr>
      <w:r>
        <w:rPr>
          <w:rFonts w:hint="eastAsia"/>
        </w:rPr>
        <w:br w:type="textWrapping"/>
      </w:r>
    </w:p>
    <w:sdt>
      <w:sdtPr>
        <w:rPr>
          <w:rFonts w:ascii="宋体" w:hAnsi="宋体" w:eastAsia="宋体" w:cs="Times New Roman"/>
          <w:kern w:val="2"/>
          <w:sz w:val="21"/>
          <w:szCs w:val="24"/>
          <w:lang w:val="en-US" w:eastAsia="zh-CN" w:bidi="ar-SA"/>
        </w:rPr>
        <w:id w:val="147451507"/>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3"/>
            <w:tabs>
              <w:tab w:val="right" w:leader="dot" w:pos="8306"/>
            </w:tabs>
          </w:pPr>
          <w:r>
            <w:fldChar w:fldCharType="begin"/>
          </w:r>
          <w:r>
            <w:instrText xml:space="preserve">TOC \o "1-2" \h \u </w:instrText>
          </w:r>
          <w:r>
            <w:fldChar w:fldCharType="separate"/>
          </w:r>
          <w:r>
            <w:fldChar w:fldCharType="begin"/>
          </w:r>
          <w:r>
            <w:instrText xml:space="preserve"> HYPERLINK \l _Toc11396 </w:instrText>
          </w:r>
          <w:r>
            <w:fldChar w:fldCharType="separate"/>
          </w:r>
          <w:r>
            <w:rPr>
              <w:rFonts w:hint="eastAsia" w:ascii="宋体" w:hAnsi="宋体" w:eastAsia="宋体" w:cs="宋体"/>
              <w:bCs/>
              <w:kern w:val="2"/>
              <w:szCs w:val="32"/>
              <w:highlight w:val="none"/>
              <w:lang w:val="en-US" w:eastAsia="zh-CN" w:bidi="zh-CN"/>
            </w:rPr>
            <w:t>1.工作背景</w:t>
          </w:r>
          <w:r>
            <w:tab/>
          </w:r>
          <w:r>
            <w:fldChar w:fldCharType="begin"/>
          </w:r>
          <w:r>
            <w:instrText xml:space="preserve"> PAGEREF _Toc11396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_Toc27502 </w:instrText>
          </w:r>
          <w:r>
            <w:fldChar w:fldCharType="separate"/>
          </w:r>
          <w:r>
            <w:rPr>
              <w:rFonts w:hint="eastAsia" w:ascii="宋体" w:hAnsi="宋体" w:eastAsia="宋体" w:cs="宋体"/>
              <w:highlight w:val="none"/>
            </w:rPr>
            <w:t>1.1编制背景</w:t>
          </w:r>
          <w:r>
            <w:tab/>
          </w:r>
          <w:r>
            <w:fldChar w:fldCharType="begin"/>
          </w:r>
          <w:r>
            <w:instrText xml:space="preserve"> PAGEREF _Toc27502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_Toc4303 </w:instrText>
          </w:r>
          <w:r>
            <w:fldChar w:fldCharType="separate"/>
          </w:r>
          <w:r>
            <w:rPr>
              <w:rFonts w:hint="eastAsia" w:ascii="宋体" w:hAnsi="宋体" w:eastAsia="宋体" w:cs="宋体"/>
              <w:highlight w:val="none"/>
            </w:rPr>
            <w:t>1.2</w:t>
          </w:r>
          <w:r>
            <w:rPr>
              <w:rFonts w:hint="eastAsia" w:ascii="宋体" w:hAnsi="宋体" w:eastAsia="宋体" w:cs="宋体"/>
              <w:highlight w:val="none"/>
              <w:lang w:eastAsia="zh-CN"/>
            </w:rPr>
            <w:t>工作</w:t>
          </w:r>
          <w:r>
            <w:rPr>
              <w:rFonts w:hint="eastAsia" w:ascii="宋体" w:hAnsi="宋体" w:eastAsia="宋体" w:cs="宋体"/>
              <w:highlight w:val="none"/>
            </w:rPr>
            <w:t>依据</w:t>
          </w:r>
          <w:r>
            <w:tab/>
          </w:r>
          <w:r>
            <w:fldChar w:fldCharType="begin"/>
          </w:r>
          <w:r>
            <w:instrText xml:space="preserve"> PAGEREF _Toc4303 \h </w:instrText>
          </w:r>
          <w:r>
            <w:fldChar w:fldCharType="separate"/>
          </w:r>
          <w:r>
            <w:t>3</w:t>
          </w:r>
          <w:r>
            <w:fldChar w:fldCharType="end"/>
          </w:r>
          <w:r>
            <w:fldChar w:fldCharType="end"/>
          </w:r>
        </w:p>
        <w:p>
          <w:pPr>
            <w:pStyle w:val="14"/>
            <w:tabs>
              <w:tab w:val="right" w:leader="dot" w:pos="8306"/>
            </w:tabs>
          </w:pPr>
          <w:r>
            <w:fldChar w:fldCharType="begin"/>
          </w:r>
          <w:r>
            <w:instrText xml:space="preserve"> HYPERLINK \l _Toc18561 </w:instrText>
          </w:r>
          <w:r>
            <w:fldChar w:fldCharType="separate"/>
          </w:r>
          <w:r>
            <w:rPr>
              <w:rFonts w:hint="eastAsia" w:ascii="宋体" w:hAnsi="宋体" w:eastAsia="宋体" w:cs="宋体"/>
              <w:highlight w:val="none"/>
              <w:lang w:val="en-US" w:eastAsia="zh-CN"/>
            </w:rPr>
            <w:t>1.3工作内容及技术路线</w:t>
          </w:r>
          <w:r>
            <w:tab/>
          </w:r>
          <w:r>
            <w:fldChar w:fldCharType="begin"/>
          </w:r>
          <w:r>
            <w:instrText xml:space="preserve"> PAGEREF _Toc18561 \h </w:instrText>
          </w:r>
          <w:r>
            <w:fldChar w:fldCharType="separate"/>
          </w:r>
          <w:r>
            <w:t>6</w:t>
          </w:r>
          <w:r>
            <w:fldChar w:fldCharType="end"/>
          </w:r>
          <w:r>
            <w:fldChar w:fldCharType="end"/>
          </w:r>
        </w:p>
        <w:p>
          <w:pPr>
            <w:pStyle w:val="13"/>
            <w:tabs>
              <w:tab w:val="right" w:leader="dot" w:pos="8306"/>
            </w:tabs>
          </w:pPr>
          <w:r>
            <w:fldChar w:fldCharType="begin"/>
          </w:r>
          <w:r>
            <w:instrText xml:space="preserve"> HYPERLINK \l _Toc32599 </w:instrText>
          </w:r>
          <w:r>
            <w:fldChar w:fldCharType="separate"/>
          </w:r>
          <w:r>
            <w:rPr>
              <w:rFonts w:hint="eastAsia" w:ascii="宋体" w:hAnsi="宋体" w:eastAsia="宋体" w:cs="宋体"/>
              <w:highlight w:val="none"/>
              <w:lang w:val="en-US" w:eastAsia="zh-CN"/>
            </w:rPr>
            <w:t>2.企业概况</w:t>
          </w:r>
          <w:r>
            <w:tab/>
          </w:r>
          <w:r>
            <w:fldChar w:fldCharType="begin"/>
          </w:r>
          <w:r>
            <w:instrText xml:space="preserve"> PAGEREF _Toc32599 \h </w:instrText>
          </w:r>
          <w:r>
            <w:fldChar w:fldCharType="separate"/>
          </w:r>
          <w:r>
            <w:t>8</w:t>
          </w:r>
          <w:r>
            <w:fldChar w:fldCharType="end"/>
          </w:r>
          <w:r>
            <w:fldChar w:fldCharType="end"/>
          </w:r>
        </w:p>
        <w:p>
          <w:pPr>
            <w:pStyle w:val="14"/>
            <w:tabs>
              <w:tab w:val="right" w:leader="dot" w:pos="8306"/>
            </w:tabs>
          </w:pPr>
          <w:r>
            <w:fldChar w:fldCharType="begin"/>
          </w:r>
          <w:r>
            <w:instrText xml:space="preserve"> HYPERLINK \l _Toc195 </w:instrText>
          </w:r>
          <w:r>
            <w:fldChar w:fldCharType="separate"/>
          </w:r>
          <w:r>
            <w:rPr>
              <w:rFonts w:hint="eastAsia" w:ascii="宋体" w:hAnsi="宋体" w:eastAsia="宋体" w:cs="宋体"/>
              <w:highlight w:val="none"/>
              <w:lang w:val="en-US" w:eastAsia="zh-CN"/>
            </w:rPr>
            <w:t>2.1企业基本情况</w:t>
          </w:r>
          <w:r>
            <w:tab/>
          </w:r>
          <w:r>
            <w:fldChar w:fldCharType="begin"/>
          </w:r>
          <w:r>
            <w:instrText xml:space="preserve"> PAGEREF _Toc195 \h </w:instrText>
          </w:r>
          <w:r>
            <w:fldChar w:fldCharType="separate"/>
          </w:r>
          <w:r>
            <w:t>8</w:t>
          </w:r>
          <w:r>
            <w:fldChar w:fldCharType="end"/>
          </w:r>
          <w:r>
            <w:fldChar w:fldCharType="end"/>
          </w:r>
        </w:p>
        <w:p>
          <w:pPr>
            <w:pStyle w:val="14"/>
            <w:tabs>
              <w:tab w:val="right" w:leader="dot" w:pos="8306"/>
            </w:tabs>
          </w:pPr>
          <w:r>
            <w:fldChar w:fldCharType="begin"/>
          </w:r>
          <w:r>
            <w:instrText xml:space="preserve"> HYPERLINK \l _Toc2988 </w:instrText>
          </w:r>
          <w:r>
            <w:fldChar w:fldCharType="separate"/>
          </w:r>
          <w:r>
            <w:rPr>
              <w:rFonts w:hint="eastAsia" w:ascii="宋体" w:hAnsi="宋体" w:eastAsia="宋体" w:cs="宋体"/>
              <w:highlight w:val="none"/>
              <w:lang w:val="en-US" w:eastAsia="zh-CN"/>
            </w:rPr>
            <w:t>2.2企业用地历史沿革</w:t>
          </w:r>
          <w:r>
            <w:tab/>
          </w:r>
          <w:r>
            <w:fldChar w:fldCharType="begin"/>
          </w:r>
          <w:r>
            <w:instrText xml:space="preserve"> PAGEREF _Toc2988 \h </w:instrText>
          </w:r>
          <w:r>
            <w:fldChar w:fldCharType="separate"/>
          </w:r>
          <w:r>
            <w:t>10</w:t>
          </w:r>
          <w:r>
            <w:fldChar w:fldCharType="end"/>
          </w:r>
          <w:r>
            <w:fldChar w:fldCharType="end"/>
          </w:r>
        </w:p>
        <w:p>
          <w:pPr>
            <w:pStyle w:val="14"/>
            <w:tabs>
              <w:tab w:val="right" w:leader="dot" w:pos="8306"/>
            </w:tabs>
          </w:pPr>
          <w:r>
            <w:fldChar w:fldCharType="begin"/>
          </w:r>
          <w:r>
            <w:instrText xml:space="preserve"> HYPERLINK \l _Toc31383 </w:instrText>
          </w:r>
          <w:r>
            <w:fldChar w:fldCharType="separate"/>
          </w:r>
          <w:r>
            <w:rPr>
              <w:rFonts w:hint="eastAsia" w:ascii="宋体" w:hAnsi="宋体" w:eastAsia="宋体" w:cs="宋体"/>
              <w:bCs/>
              <w:kern w:val="2"/>
              <w:szCs w:val="32"/>
              <w:highlight w:val="none"/>
              <w:lang w:val="en-US" w:eastAsia="zh-CN" w:bidi="ar-SA"/>
            </w:rPr>
            <w:t>2.3企业用地已有的环境调查与监测信息</w:t>
          </w:r>
          <w:r>
            <w:tab/>
          </w:r>
          <w:r>
            <w:fldChar w:fldCharType="begin"/>
          </w:r>
          <w:r>
            <w:instrText xml:space="preserve"> PAGEREF _Toc31383 \h </w:instrText>
          </w:r>
          <w:r>
            <w:fldChar w:fldCharType="separate"/>
          </w:r>
          <w:r>
            <w:t>10</w:t>
          </w:r>
          <w:r>
            <w:fldChar w:fldCharType="end"/>
          </w:r>
          <w:r>
            <w:fldChar w:fldCharType="end"/>
          </w:r>
        </w:p>
        <w:p>
          <w:pPr>
            <w:pStyle w:val="13"/>
            <w:tabs>
              <w:tab w:val="right" w:leader="dot" w:pos="8306"/>
            </w:tabs>
          </w:pPr>
          <w:r>
            <w:fldChar w:fldCharType="begin"/>
          </w:r>
          <w:r>
            <w:instrText xml:space="preserve"> HYPERLINK \l _Toc1873 </w:instrText>
          </w:r>
          <w:r>
            <w:fldChar w:fldCharType="separate"/>
          </w:r>
          <w:r>
            <w:rPr>
              <w:rFonts w:hint="eastAsia" w:ascii="宋体" w:hAnsi="宋体" w:eastAsia="宋体" w:cs="宋体"/>
              <w:lang w:val="en-US" w:eastAsia="zh-CN"/>
            </w:rPr>
            <w:t>3地勘资料</w:t>
          </w:r>
          <w:r>
            <w:tab/>
          </w:r>
          <w:r>
            <w:fldChar w:fldCharType="begin"/>
          </w:r>
          <w:r>
            <w:instrText xml:space="preserve"> PAGEREF _Toc1873 \h </w:instrText>
          </w:r>
          <w:r>
            <w:fldChar w:fldCharType="separate"/>
          </w:r>
          <w:r>
            <w:t>11</w:t>
          </w:r>
          <w:r>
            <w:fldChar w:fldCharType="end"/>
          </w:r>
          <w:r>
            <w:fldChar w:fldCharType="end"/>
          </w:r>
        </w:p>
        <w:p>
          <w:pPr>
            <w:pStyle w:val="14"/>
            <w:tabs>
              <w:tab w:val="right" w:leader="dot" w:pos="8306"/>
            </w:tabs>
          </w:pPr>
          <w:r>
            <w:fldChar w:fldCharType="begin"/>
          </w:r>
          <w:r>
            <w:instrText xml:space="preserve"> HYPERLINK \l _Toc31587 </w:instrText>
          </w:r>
          <w:r>
            <w:fldChar w:fldCharType="separate"/>
          </w:r>
          <w:r>
            <w:rPr>
              <w:rFonts w:hint="eastAsia" w:ascii="宋体" w:hAnsi="宋体" w:eastAsia="宋体" w:cs="宋体"/>
              <w:szCs w:val="28"/>
              <w:lang w:val="en-US" w:eastAsia="zh-CN"/>
            </w:rPr>
            <w:t>3.1地质信息</w:t>
          </w:r>
          <w:r>
            <w:tab/>
          </w:r>
          <w:r>
            <w:fldChar w:fldCharType="begin"/>
          </w:r>
          <w:r>
            <w:instrText xml:space="preserve"> PAGEREF _Toc31587 \h </w:instrText>
          </w:r>
          <w:r>
            <w:fldChar w:fldCharType="separate"/>
          </w:r>
          <w:r>
            <w:t>11</w:t>
          </w:r>
          <w:r>
            <w:fldChar w:fldCharType="end"/>
          </w:r>
          <w:r>
            <w:fldChar w:fldCharType="end"/>
          </w:r>
        </w:p>
        <w:p>
          <w:pPr>
            <w:pStyle w:val="14"/>
            <w:tabs>
              <w:tab w:val="right" w:leader="dot" w:pos="8306"/>
            </w:tabs>
          </w:pPr>
          <w:r>
            <w:fldChar w:fldCharType="begin"/>
          </w:r>
          <w:r>
            <w:instrText xml:space="preserve"> HYPERLINK \l _Toc7255 </w:instrText>
          </w:r>
          <w:r>
            <w:fldChar w:fldCharType="separate"/>
          </w:r>
          <w:r>
            <w:rPr>
              <w:rFonts w:hint="eastAsia" w:ascii="宋体" w:hAnsi="宋体" w:eastAsia="宋体" w:cs="宋体"/>
              <w:bCs/>
              <w:kern w:val="2"/>
              <w:szCs w:val="32"/>
              <w:highlight w:val="none"/>
              <w:lang w:val="en-US" w:eastAsia="zh-CN" w:bidi="ar-SA"/>
            </w:rPr>
            <w:t>3.2水文地质信息</w:t>
          </w:r>
          <w:r>
            <w:tab/>
          </w:r>
          <w:r>
            <w:fldChar w:fldCharType="begin"/>
          </w:r>
          <w:r>
            <w:instrText xml:space="preserve"> PAGEREF _Toc7255 \h </w:instrText>
          </w:r>
          <w:r>
            <w:fldChar w:fldCharType="separate"/>
          </w:r>
          <w:r>
            <w:t>12</w:t>
          </w:r>
          <w:r>
            <w:fldChar w:fldCharType="end"/>
          </w:r>
          <w:r>
            <w:fldChar w:fldCharType="end"/>
          </w:r>
        </w:p>
        <w:p>
          <w:pPr>
            <w:pStyle w:val="13"/>
            <w:tabs>
              <w:tab w:val="right" w:leader="dot" w:pos="8306"/>
            </w:tabs>
          </w:pPr>
          <w:r>
            <w:fldChar w:fldCharType="begin"/>
          </w:r>
          <w:r>
            <w:instrText xml:space="preserve"> HYPERLINK \l _Toc7727 </w:instrText>
          </w:r>
          <w:r>
            <w:fldChar w:fldCharType="separate"/>
          </w:r>
          <w:r>
            <w:rPr>
              <w:rFonts w:hint="eastAsia" w:ascii="宋体" w:hAnsi="宋体" w:eastAsia="宋体" w:cs="宋体"/>
              <w:lang w:val="en-US" w:eastAsia="zh-CN"/>
            </w:rPr>
            <w:t>4企业生产及污染防治情况</w:t>
          </w:r>
          <w:r>
            <w:tab/>
          </w:r>
          <w:r>
            <w:fldChar w:fldCharType="begin"/>
          </w:r>
          <w:r>
            <w:instrText xml:space="preserve"> PAGEREF _Toc7727 \h </w:instrText>
          </w:r>
          <w:r>
            <w:fldChar w:fldCharType="separate"/>
          </w:r>
          <w:r>
            <w:t>13</w:t>
          </w:r>
          <w:r>
            <w:fldChar w:fldCharType="end"/>
          </w:r>
          <w:r>
            <w:fldChar w:fldCharType="end"/>
          </w:r>
        </w:p>
        <w:p>
          <w:pPr>
            <w:pStyle w:val="14"/>
            <w:tabs>
              <w:tab w:val="right" w:leader="dot" w:pos="8306"/>
            </w:tabs>
          </w:pPr>
          <w:r>
            <w:fldChar w:fldCharType="begin"/>
          </w:r>
          <w:r>
            <w:instrText xml:space="preserve"> HYPERLINK \l _Toc5627 </w:instrText>
          </w:r>
          <w:r>
            <w:fldChar w:fldCharType="separate"/>
          </w:r>
          <w:r>
            <w:rPr>
              <w:rFonts w:hint="eastAsia" w:ascii="宋体" w:hAnsi="宋体" w:eastAsia="宋体" w:cs="宋体"/>
              <w:bCs/>
              <w:kern w:val="2"/>
              <w:szCs w:val="32"/>
              <w:lang w:val="en-US" w:eastAsia="zh-CN" w:bidi="ar-SA"/>
            </w:rPr>
            <w:t>4.1企业生产概况</w:t>
          </w:r>
          <w:r>
            <w:tab/>
          </w:r>
          <w:r>
            <w:fldChar w:fldCharType="begin"/>
          </w:r>
          <w:r>
            <w:instrText xml:space="preserve"> PAGEREF _Toc5627 \h </w:instrText>
          </w:r>
          <w:r>
            <w:fldChar w:fldCharType="separate"/>
          </w:r>
          <w:r>
            <w:t>13</w:t>
          </w:r>
          <w:r>
            <w:fldChar w:fldCharType="end"/>
          </w:r>
          <w:r>
            <w:fldChar w:fldCharType="end"/>
          </w:r>
        </w:p>
        <w:p>
          <w:pPr>
            <w:pStyle w:val="14"/>
            <w:tabs>
              <w:tab w:val="right" w:leader="dot" w:pos="8306"/>
            </w:tabs>
          </w:pPr>
          <w:r>
            <w:fldChar w:fldCharType="begin"/>
          </w:r>
          <w:r>
            <w:instrText xml:space="preserve"> HYPERLINK \l _Toc29773 </w:instrText>
          </w:r>
          <w:r>
            <w:fldChar w:fldCharType="separate"/>
          </w:r>
          <w:r>
            <w:rPr>
              <w:rFonts w:hint="eastAsia" w:ascii="宋体" w:hAnsi="宋体" w:eastAsia="宋体" w:cs="宋体"/>
              <w:bCs/>
              <w:kern w:val="2"/>
              <w:szCs w:val="32"/>
              <w:lang w:val="en-US" w:eastAsia="zh-CN" w:bidi="ar-SA"/>
            </w:rPr>
            <w:t>4.2企业生产工艺及产排污环节</w:t>
          </w:r>
          <w:r>
            <w:tab/>
          </w:r>
          <w:r>
            <w:fldChar w:fldCharType="begin"/>
          </w:r>
          <w:r>
            <w:instrText xml:space="preserve"> PAGEREF _Toc29773 \h </w:instrText>
          </w:r>
          <w:r>
            <w:fldChar w:fldCharType="separate"/>
          </w:r>
          <w:r>
            <w:t>18</w:t>
          </w:r>
          <w:r>
            <w:fldChar w:fldCharType="end"/>
          </w:r>
          <w:r>
            <w:fldChar w:fldCharType="end"/>
          </w:r>
        </w:p>
        <w:p>
          <w:pPr>
            <w:pStyle w:val="14"/>
            <w:tabs>
              <w:tab w:val="right" w:leader="dot" w:pos="8306"/>
            </w:tabs>
          </w:pPr>
          <w:r>
            <w:fldChar w:fldCharType="begin"/>
          </w:r>
          <w:r>
            <w:instrText xml:space="preserve"> HYPERLINK \l _Toc3879 </w:instrText>
          </w:r>
          <w:r>
            <w:fldChar w:fldCharType="separate"/>
          </w:r>
          <w:r>
            <w:rPr>
              <w:rFonts w:hint="eastAsia" w:ascii="宋体" w:hAnsi="宋体" w:eastAsia="宋体" w:cs="宋体"/>
              <w:spacing w:val="0"/>
              <w:highlight w:val="none"/>
              <w:lang w:val="en-US" w:eastAsia="zh-CN"/>
            </w:rPr>
            <w:t>4.3</w:t>
          </w:r>
          <w:r>
            <w:rPr>
              <w:rFonts w:hint="eastAsia" w:ascii="宋体" w:hAnsi="宋体" w:eastAsia="宋体" w:cs="宋体"/>
              <w:spacing w:val="0"/>
              <w:highlight w:val="none"/>
            </w:rPr>
            <w:t>“三废”的产生及治理</w:t>
          </w:r>
          <w:r>
            <w:tab/>
          </w:r>
          <w:r>
            <w:fldChar w:fldCharType="begin"/>
          </w:r>
          <w:r>
            <w:instrText xml:space="preserve"> PAGEREF _Toc3879 \h </w:instrText>
          </w:r>
          <w:r>
            <w:fldChar w:fldCharType="separate"/>
          </w:r>
          <w:r>
            <w:t>27</w:t>
          </w:r>
          <w:r>
            <w:fldChar w:fldCharType="end"/>
          </w:r>
          <w:r>
            <w:fldChar w:fldCharType="end"/>
          </w:r>
        </w:p>
        <w:p>
          <w:pPr>
            <w:pStyle w:val="14"/>
            <w:tabs>
              <w:tab w:val="right" w:leader="dot" w:pos="8306"/>
            </w:tabs>
          </w:pPr>
          <w:r>
            <w:fldChar w:fldCharType="begin"/>
          </w:r>
          <w:r>
            <w:instrText xml:space="preserve"> HYPERLINK \l _Toc18518 </w:instrText>
          </w:r>
          <w:r>
            <w:fldChar w:fldCharType="separate"/>
          </w:r>
          <w:r>
            <w:rPr>
              <w:rFonts w:hint="eastAsia" w:ascii="宋体" w:hAnsi="宋体" w:eastAsia="宋体" w:cs="宋体"/>
              <w:bCs/>
              <w:kern w:val="2"/>
              <w:szCs w:val="32"/>
              <w:lang w:val="en-US" w:eastAsia="zh-CN" w:bidi="ar-SA"/>
            </w:rPr>
            <w:t>4.4企业总平面布置</w:t>
          </w:r>
          <w:r>
            <w:tab/>
          </w:r>
          <w:r>
            <w:fldChar w:fldCharType="begin"/>
          </w:r>
          <w:r>
            <w:instrText xml:space="preserve"> PAGEREF _Toc18518 \h </w:instrText>
          </w:r>
          <w:r>
            <w:fldChar w:fldCharType="separate"/>
          </w:r>
          <w:r>
            <w:t>30</w:t>
          </w:r>
          <w:r>
            <w:fldChar w:fldCharType="end"/>
          </w:r>
          <w:r>
            <w:fldChar w:fldCharType="end"/>
          </w:r>
        </w:p>
        <w:p>
          <w:pPr>
            <w:pStyle w:val="14"/>
            <w:tabs>
              <w:tab w:val="right" w:leader="dot" w:pos="8306"/>
            </w:tabs>
          </w:pPr>
          <w:r>
            <w:fldChar w:fldCharType="begin"/>
          </w:r>
          <w:r>
            <w:instrText xml:space="preserve"> HYPERLINK \l _Toc15876 </w:instrText>
          </w:r>
          <w:r>
            <w:fldChar w:fldCharType="separate"/>
          </w:r>
          <w:r>
            <w:rPr>
              <w:rFonts w:hint="eastAsia" w:ascii="宋体" w:hAnsi="宋体" w:eastAsia="宋体" w:cs="宋体"/>
              <w:bCs/>
              <w:kern w:val="2"/>
              <w:szCs w:val="32"/>
              <w:lang w:val="en-US" w:eastAsia="zh-CN" w:bidi="ar-SA"/>
            </w:rPr>
            <w:t>4.5各重点场所、重点设施设备情况</w:t>
          </w:r>
          <w:r>
            <w:tab/>
          </w:r>
          <w:r>
            <w:fldChar w:fldCharType="begin"/>
          </w:r>
          <w:r>
            <w:instrText xml:space="preserve"> PAGEREF _Toc15876 \h </w:instrText>
          </w:r>
          <w:r>
            <w:fldChar w:fldCharType="separate"/>
          </w:r>
          <w:r>
            <w:t>31</w:t>
          </w:r>
          <w:r>
            <w:fldChar w:fldCharType="end"/>
          </w:r>
          <w:r>
            <w:fldChar w:fldCharType="end"/>
          </w:r>
        </w:p>
        <w:p>
          <w:pPr>
            <w:pStyle w:val="13"/>
            <w:tabs>
              <w:tab w:val="right" w:leader="dot" w:pos="8306"/>
            </w:tabs>
          </w:pPr>
          <w:r>
            <w:fldChar w:fldCharType="begin"/>
          </w:r>
          <w:r>
            <w:instrText xml:space="preserve"> HYPERLINK \l _Toc32252 </w:instrText>
          </w:r>
          <w:r>
            <w:fldChar w:fldCharType="separate"/>
          </w:r>
          <w:r>
            <w:rPr>
              <w:rFonts w:hint="eastAsia" w:ascii="宋体" w:hAnsi="宋体" w:eastAsia="宋体" w:cs="宋体"/>
              <w:bCs/>
              <w:kern w:val="2"/>
              <w:szCs w:val="32"/>
              <w:lang w:val="en-US" w:eastAsia="zh-CN" w:bidi="zh-CN"/>
            </w:rPr>
            <w:t>5重点监测单元识别与分类</w:t>
          </w:r>
          <w:r>
            <w:tab/>
          </w:r>
          <w:r>
            <w:fldChar w:fldCharType="begin"/>
          </w:r>
          <w:r>
            <w:instrText xml:space="preserve"> PAGEREF _Toc32252 \h </w:instrText>
          </w:r>
          <w:r>
            <w:fldChar w:fldCharType="separate"/>
          </w:r>
          <w:r>
            <w:t>32</w:t>
          </w:r>
          <w:r>
            <w:fldChar w:fldCharType="end"/>
          </w:r>
          <w:r>
            <w:fldChar w:fldCharType="end"/>
          </w:r>
        </w:p>
        <w:p>
          <w:pPr>
            <w:pStyle w:val="14"/>
            <w:tabs>
              <w:tab w:val="right" w:leader="dot" w:pos="8306"/>
            </w:tabs>
          </w:pPr>
          <w:r>
            <w:fldChar w:fldCharType="begin"/>
          </w:r>
          <w:r>
            <w:instrText xml:space="preserve"> HYPERLINK \l _Toc3321 </w:instrText>
          </w:r>
          <w:r>
            <w:fldChar w:fldCharType="separate"/>
          </w:r>
          <w:r>
            <w:rPr>
              <w:rFonts w:hint="eastAsia" w:ascii="宋体" w:hAnsi="宋体" w:eastAsia="宋体" w:cs="宋体"/>
              <w:bCs/>
              <w:kern w:val="2"/>
              <w:szCs w:val="32"/>
              <w:lang w:val="en-US" w:eastAsia="zh-CN" w:bidi="ar-SA"/>
            </w:rPr>
            <w:t>5.1重点监测单元识别</w:t>
          </w:r>
          <w:r>
            <w:tab/>
          </w:r>
          <w:r>
            <w:fldChar w:fldCharType="begin"/>
          </w:r>
          <w:r>
            <w:instrText xml:space="preserve"> PAGEREF _Toc3321 \h </w:instrText>
          </w:r>
          <w:r>
            <w:fldChar w:fldCharType="separate"/>
          </w:r>
          <w:r>
            <w:t>32</w:t>
          </w:r>
          <w:r>
            <w:fldChar w:fldCharType="end"/>
          </w:r>
          <w:r>
            <w:fldChar w:fldCharType="end"/>
          </w:r>
        </w:p>
        <w:p>
          <w:pPr>
            <w:pStyle w:val="14"/>
            <w:tabs>
              <w:tab w:val="right" w:leader="dot" w:pos="8306"/>
            </w:tabs>
          </w:pPr>
          <w:r>
            <w:fldChar w:fldCharType="begin"/>
          </w:r>
          <w:r>
            <w:instrText xml:space="preserve"> HYPERLINK \l _Toc7556 </w:instrText>
          </w:r>
          <w:r>
            <w:fldChar w:fldCharType="separate"/>
          </w:r>
          <w:r>
            <w:rPr>
              <w:rFonts w:hint="eastAsia" w:ascii="宋体" w:hAnsi="宋体" w:eastAsia="宋体" w:cs="宋体"/>
              <w:bCs/>
              <w:kern w:val="2"/>
              <w:szCs w:val="32"/>
              <w:lang w:val="en-US" w:eastAsia="zh-CN" w:bidi="ar-SA"/>
            </w:rPr>
            <w:t>5.2识别/分类结果及原因</w:t>
          </w:r>
          <w:r>
            <w:tab/>
          </w:r>
          <w:r>
            <w:fldChar w:fldCharType="begin"/>
          </w:r>
          <w:r>
            <w:instrText xml:space="preserve"> PAGEREF _Toc7556 \h </w:instrText>
          </w:r>
          <w:r>
            <w:fldChar w:fldCharType="separate"/>
          </w:r>
          <w:r>
            <w:t>33</w:t>
          </w:r>
          <w:r>
            <w:fldChar w:fldCharType="end"/>
          </w:r>
          <w:r>
            <w:fldChar w:fldCharType="end"/>
          </w:r>
        </w:p>
        <w:p>
          <w:pPr>
            <w:pStyle w:val="14"/>
            <w:tabs>
              <w:tab w:val="right" w:leader="dot" w:pos="8306"/>
            </w:tabs>
          </w:pPr>
          <w:r>
            <w:fldChar w:fldCharType="begin"/>
          </w:r>
          <w:r>
            <w:instrText xml:space="preserve"> HYPERLINK \l _Toc29902 </w:instrText>
          </w:r>
          <w:r>
            <w:fldChar w:fldCharType="separate"/>
          </w:r>
          <w:r>
            <w:rPr>
              <w:rFonts w:hint="eastAsia" w:ascii="宋体" w:hAnsi="宋体" w:eastAsia="宋体" w:cs="宋体"/>
              <w:bCs/>
              <w:kern w:val="2"/>
              <w:szCs w:val="32"/>
              <w:lang w:val="en-US" w:eastAsia="zh-CN" w:bidi="ar-SA"/>
            </w:rPr>
            <w:t>5.3关注污染物</w:t>
          </w:r>
          <w:r>
            <w:tab/>
          </w:r>
          <w:r>
            <w:fldChar w:fldCharType="begin"/>
          </w:r>
          <w:r>
            <w:instrText xml:space="preserve"> PAGEREF _Toc29902 \h </w:instrText>
          </w:r>
          <w:r>
            <w:fldChar w:fldCharType="separate"/>
          </w:r>
          <w:r>
            <w:t>35</w:t>
          </w:r>
          <w:r>
            <w:fldChar w:fldCharType="end"/>
          </w:r>
          <w:r>
            <w:fldChar w:fldCharType="end"/>
          </w:r>
        </w:p>
        <w:p>
          <w:pPr>
            <w:pStyle w:val="13"/>
            <w:tabs>
              <w:tab w:val="right" w:leader="dot" w:pos="8306"/>
            </w:tabs>
          </w:pPr>
          <w:r>
            <w:fldChar w:fldCharType="begin"/>
          </w:r>
          <w:r>
            <w:instrText xml:space="preserve"> HYPERLINK \l _Toc20446 </w:instrText>
          </w:r>
          <w:r>
            <w:fldChar w:fldCharType="separate"/>
          </w:r>
          <w:r>
            <w:rPr>
              <w:rFonts w:hint="eastAsia" w:ascii="宋体" w:hAnsi="宋体" w:eastAsia="宋体" w:cs="宋体"/>
              <w:lang w:val="en-US" w:eastAsia="zh-CN"/>
            </w:rPr>
            <w:t>6监测点位布设方案</w:t>
          </w:r>
          <w:r>
            <w:tab/>
          </w:r>
          <w:r>
            <w:fldChar w:fldCharType="begin"/>
          </w:r>
          <w:r>
            <w:instrText xml:space="preserve"> PAGEREF _Toc20446 \h </w:instrText>
          </w:r>
          <w:r>
            <w:fldChar w:fldCharType="separate"/>
          </w:r>
          <w:r>
            <w:t>36</w:t>
          </w:r>
          <w:r>
            <w:fldChar w:fldCharType="end"/>
          </w:r>
          <w:r>
            <w:fldChar w:fldCharType="end"/>
          </w:r>
        </w:p>
        <w:p>
          <w:pPr>
            <w:pStyle w:val="14"/>
            <w:tabs>
              <w:tab w:val="right" w:leader="dot" w:pos="8306"/>
            </w:tabs>
          </w:pPr>
          <w:r>
            <w:fldChar w:fldCharType="begin"/>
          </w:r>
          <w:r>
            <w:instrText xml:space="preserve"> HYPERLINK \l _Toc26834 </w:instrText>
          </w:r>
          <w:r>
            <w:fldChar w:fldCharType="separate"/>
          </w:r>
          <w:r>
            <w:rPr>
              <w:rFonts w:hint="eastAsia" w:ascii="宋体" w:hAnsi="宋体" w:eastAsia="宋体" w:cs="宋体"/>
              <w:bCs/>
              <w:kern w:val="2"/>
              <w:szCs w:val="32"/>
              <w:lang w:val="en-US" w:eastAsia="zh-CN" w:bidi="ar-SA"/>
            </w:rPr>
            <w:t>6.1重点单元及相应监测点/监测井的布设位置</w:t>
          </w:r>
          <w:r>
            <w:tab/>
          </w:r>
          <w:r>
            <w:fldChar w:fldCharType="begin"/>
          </w:r>
          <w:r>
            <w:instrText xml:space="preserve"> PAGEREF _Toc26834 \h </w:instrText>
          </w:r>
          <w:r>
            <w:fldChar w:fldCharType="separate"/>
          </w:r>
          <w:r>
            <w:t>36</w:t>
          </w:r>
          <w:r>
            <w:fldChar w:fldCharType="end"/>
          </w:r>
          <w:r>
            <w:fldChar w:fldCharType="end"/>
          </w:r>
        </w:p>
        <w:p>
          <w:pPr>
            <w:pStyle w:val="14"/>
            <w:tabs>
              <w:tab w:val="right" w:leader="dot" w:pos="8306"/>
            </w:tabs>
          </w:pPr>
          <w:r>
            <w:fldChar w:fldCharType="begin"/>
          </w:r>
          <w:r>
            <w:instrText xml:space="preserve"> HYPERLINK \l _Toc30905 </w:instrText>
          </w:r>
          <w:r>
            <w:fldChar w:fldCharType="separate"/>
          </w:r>
          <w:r>
            <w:rPr>
              <w:rFonts w:hint="eastAsia" w:ascii="宋体" w:hAnsi="宋体" w:eastAsia="宋体" w:cs="宋体"/>
              <w:bCs/>
              <w:kern w:val="2"/>
              <w:szCs w:val="32"/>
              <w:lang w:val="en-US" w:eastAsia="zh-CN" w:bidi="ar-SA"/>
            </w:rPr>
            <w:t>6.2监测点位布设</w:t>
          </w:r>
          <w:r>
            <w:tab/>
          </w:r>
          <w:r>
            <w:fldChar w:fldCharType="begin"/>
          </w:r>
          <w:r>
            <w:instrText xml:space="preserve"> PAGEREF _Toc30905 \h </w:instrText>
          </w:r>
          <w:r>
            <w:fldChar w:fldCharType="separate"/>
          </w:r>
          <w:r>
            <w:t>37</w:t>
          </w:r>
          <w:r>
            <w:fldChar w:fldCharType="end"/>
          </w:r>
          <w:r>
            <w:fldChar w:fldCharType="end"/>
          </w:r>
        </w:p>
        <w:p>
          <w:pPr>
            <w:pStyle w:val="14"/>
            <w:tabs>
              <w:tab w:val="right" w:leader="dot" w:pos="8306"/>
            </w:tabs>
          </w:pPr>
          <w:r>
            <w:fldChar w:fldCharType="begin"/>
          </w:r>
          <w:r>
            <w:instrText xml:space="preserve"> HYPERLINK \l _Toc27949 </w:instrText>
          </w:r>
          <w:r>
            <w:fldChar w:fldCharType="separate"/>
          </w:r>
          <w:r>
            <w:rPr>
              <w:rFonts w:hint="eastAsia" w:ascii="宋体" w:hAnsi="宋体" w:eastAsia="宋体" w:cs="宋体"/>
              <w:bCs/>
              <w:kern w:val="2"/>
              <w:szCs w:val="32"/>
              <w:highlight w:val="none"/>
              <w:lang w:val="en-US" w:eastAsia="zh-CN" w:bidi="ar-SA"/>
            </w:rPr>
            <w:t>6.3各点位监测指标及选取原因</w:t>
          </w:r>
          <w:r>
            <w:tab/>
          </w:r>
          <w:r>
            <w:fldChar w:fldCharType="begin"/>
          </w:r>
          <w:r>
            <w:instrText xml:space="preserve"> PAGEREF _Toc27949 \h </w:instrText>
          </w:r>
          <w:r>
            <w:fldChar w:fldCharType="separate"/>
          </w:r>
          <w:r>
            <w:t>37</w:t>
          </w:r>
          <w:r>
            <w:fldChar w:fldCharType="end"/>
          </w:r>
          <w:r>
            <w:fldChar w:fldCharType="end"/>
          </w:r>
        </w:p>
        <w:p>
          <w:pPr>
            <w:pStyle w:val="14"/>
            <w:tabs>
              <w:tab w:val="right" w:leader="dot" w:pos="8306"/>
            </w:tabs>
          </w:pPr>
          <w:r>
            <w:fldChar w:fldCharType="begin"/>
          </w:r>
          <w:r>
            <w:instrText xml:space="preserve"> HYPERLINK \l _Toc17928 </w:instrText>
          </w:r>
          <w:r>
            <w:fldChar w:fldCharType="separate"/>
          </w:r>
          <w:r>
            <w:rPr>
              <w:rFonts w:hint="eastAsia" w:ascii="宋体" w:hAnsi="宋体" w:eastAsia="宋体" w:cs="宋体"/>
              <w:bCs/>
              <w:kern w:val="2"/>
              <w:szCs w:val="28"/>
              <w:highlight w:val="none"/>
              <w:lang w:val="en-US" w:eastAsia="zh-CN" w:bidi="ar-SA"/>
            </w:rPr>
            <w:t>6.4监测频次</w:t>
          </w:r>
          <w:r>
            <w:tab/>
          </w:r>
          <w:r>
            <w:fldChar w:fldCharType="begin"/>
          </w:r>
          <w:r>
            <w:instrText xml:space="preserve"> PAGEREF _Toc17928 \h </w:instrText>
          </w:r>
          <w:r>
            <w:fldChar w:fldCharType="separate"/>
          </w:r>
          <w:r>
            <w:t>38</w:t>
          </w:r>
          <w:r>
            <w:fldChar w:fldCharType="end"/>
          </w:r>
          <w:r>
            <w:fldChar w:fldCharType="end"/>
          </w:r>
        </w:p>
        <w:p>
          <w:pPr>
            <w:pStyle w:val="13"/>
            <w:tabs>
              <w:tab w:val="right" w:leader="dot" w:pos="8306"/>
            </w:tabs>
          </w:pPr>
          <w:r>
            <w:fldChar w:fldCharType="begin"/>
          </w:r>
          <w:r>
            <w:instrText xml:space="preserve"> HYPERLINK \l _Toc28870 </w:instrText>
          </w:r>
          <w:r>
            <w:fldChar w:fldCharType="separate"/>
          </w:r>
          <w:r>
            <w:rPr>
              <w:rFonts w:hint="eastAsia" w:ascii="宋体" w:hAnsi="宋体" w:eastAsia="宋体" w:cs="宋体"/>
              <w:lang w:val="en-US" w:eastAsia="zh-CN"/>
            </w:rPr>
            <w:t>7样品采集、保存、流转与制备</w:t>
          </w:r>
          <w:r>
            <w:tab/>
          </w:r>
          <w:r>
            <w:fldChar w:fldCharType="begin"/>
          </w:r>
          <w:r>
            <w:instrText xml:space="preserve"> PAGEREF _Toc28870 \h </w:instrText>
          </w:r>
          <w:r>
            <w:fldChar w:fldCharType="separate"/>
          </w:r>
          <w:r>
            <w:t>38</w:t>
          </w:r>
          <w:r>
            <w:fldChar w:fldCharType="end"/>
          </w:r>
          <w:r>
            <w:fldChar w:fldCharType="end"/>
          </w:r>
        </w:p>
        <w:p>
          <w:pPr>
            <w:pStyle w:val="14"/>
            <w:tabs>
              <w:tab w:val="right" w:leader="dot" w:pos="8306"/>
            </w:tabs>
          </w:pPr>
          <w:r>
            <w:fldChar w:fldCharType="begin"/>
          </w:r>
          <w:r>
            <w:instrText xml:space="preserve"> HYPERLINK \l _Toc2252 </w:instrText>
          </w:r>
          <w:r>
            <w:fldChar w:fldCharType="separate"/>
          </w:r>
          <w:r>
            <w:rPr>
              <w:rFonts w:hint="eastAsia" w:ascii="宋体" w:hAnsi="宋体" w:eastAsia="宋体" w:cs="宋体"/>
              <w:bCs/>
              <w:kern w:val="2"/>
              <w:szCs w:val="32"/>
              <w:lang w:val="en-US" w:eastAsia="zh-CN" w:bidi="ar-SA"/>
            </w:rPr>
            <w:t>7.1现场采样位置、数量和深度</w:t>
          </w:r>
          <w:r>
            <w:tab/>
          </w:r>
          <w:r>
            <w:fldChar w:fldCharType="begin"/>
          </w:r>
          <w:r>
            <w:instrText xml:space="preserve"> PAGEREF _Toc2252 \h </w:instrText>
          </w:r>
          <w:r>
            <w:fldChar w:fldCharType="separate"/>
          </w:r>
          <w:r>
            <w:t>38</w:t>
          </w:r>
          <w:r>
            <w:fldChar w:fldCharType="end"/>
          </w:r>
          <w:r>
            <w:fldChar w:fldCharType="end"/>
          </w:r>
        </w:p>
        <w:p>
          <w:pPr>
            <w:pStyle w:val="14"/>
            <w:tabs>
              <w:tab w:val="right" w:leader="dot" w:pos="8306"/>
            </w:tabs>
          </w:pPr>
          <w:r>
            <w:fldChar w:fldCharType="begin"/>
          </w:r>
          <w:r>
            <w:instrText xml:space="preserve"> HYPERLINK \l _Toc3947 </w:instrText>
          </w:r>
          <w:r>
            <w:fldChar w:fldCharType="separate"/>
          </w:r>
          <w:r>
            <w:rPr>
              <w:rFonts w:hint="eastAsia" w:ascii="宋体" w:hAnsi="宋体" w:eastAsia="宋体" w:cs="宋体"/>
              <w:bCs/>
              <w:kern w:val="2"/>
              <w:szCs w:val="32"/>
              <w:lang w:val="en-US" w:eastAsia="zh-CN" w:bidi="ar-SA"/>
            </w:rPr>
            <w:t>7.2现场采样工作流程</w:t>
          </w:r>
          <w:r>
            <w:tab/>
          </w:r>
          <w:r>
            <w:fldChar w:fldCharType="begin"/>
          </w:r>
          <w:r>
            <w:instrText xml:space="preserve"> PAGEREF _Toc3947 \h </w:instrText>
          </w:r>
          <w:r>
            <w:fldChar w:fldCharType="separate"/>
          </w:r>
          <w:r>
            <w:t>39</w:t>
          </w:r>
          <w:r>
            <w:fldChar w:fldCharType="end"/>
          </w:r>
          <w:r>
            <w:fldChar w:fldCharType="end"/>
          </w:r>
        </w:p>
        <w:p>
          <w:pPr>
            <w:pStyle w:val="13"/>
            <w:tabs>
              <w:tab w:val="right" w:leader="dot" w:pos="8306"/>
            </w:tabs>
          </w:pPr>
          <w:r>
            <w:fldChar w:fldCharType="begin"/>
          </w:r>
          <w:r>
            <w:instrText xml:space="preserve"> HYPERLINK \l _Toc2344 </w:instrText>
          </w:r>
          <w:r>
            <w:fldChar w:fldCharType="separate"/>
          </w:r>
          <w:r>
            <w:rPr>
              <w:rFonts w:hint="eastAsia" w:ascii="宋体" w:hAnsi="宋体" w:eastAsia="宋体" w:cs="宋体"/>
              <w:lang w:val="en-US" w:eastAsia="zh-CN"/>
            </w:rPr>
            <w:t>8监测结果分析</w:t>
          </w:r>
          <w:r>
            <w:tab/>
          </w:r>
          <w:r>
            <w:fldChar w:fldCharType="begin"/>
          </w:r>
          <w:r>
            <w:instrText xml:space="preserve"> PAGEREF _Toc2344 \h </w:instrText>
          </w:r>
          <w:r>
            <w:fldChar w:fldCharType="separate"/>
          </w:r>
          <w:r>
            <w:t>45</w:t>
          </w:r>
          <w:r>
            <w:fldChar w:fldCharType="end"/>
          </w:r>
          <w:r>
            <w:fldChar w:fldCharType="end"/>
          </w:r>
        </w:p>
        <w:p>
          <w:pPr>
            <w:pStyle w:val="14"/>
            <w:tabs>
              <w:tab w:val="right" w:leader="dot" w:pos="8306"/>
            </w:tabs>
          </w:pPr>
          <w:r>
            <w:fldChar w:fldCharType="begin"/>
          </w:r>
          <w:r>
            <w:instrText xml:space="preserve"> HYPERLINK \l _Toc17944 </w:instrText>
          </w:r>
          <w:r>
            <w:fldChar w:fldCharType="separate"/>
          </w:r>
          <w:r>
            <w:rPr>
              <w:rFonts w:hint="eastAsia" w:ascii="宋体" w:hAnsi="宋体" w:eastAsia="宋体" w:cs="宋体"/>
              <w:bCs/>
              <w:kern w:val="2"/>
              <w:szCs w:val="32"/>
              <w:lang w:val="en-US" w:eastAsia="zh-CN" w:bidi="ar-SA"/>
            </w:rPr>
            <w:t>8.1</w:t>
          </w:r>
          <w:r>
            <w:rPr>
              <w:rFonts w:hint="eastAsia" w:ascii="宋体" w:hAnsi="宋体" w:eastAsia="宋体" w:cs="宋体"/>
              <w:bCs/>
              <w:kern w:val="2"/>
              <w:szCs w:val="32"/>
              <w:highlight w:val="none"/>
              <w:lang w:val="en-US" w:eastAsia="zh-CN" w:bidi="ar-SA"/>
            </w:rPr>
            <w:t>执行及参考标准</w:t>
          </w:r>
          <w:r>
            <w:tab/>
          </w:r>
          <w:r>
            <w:fldChar w:fldCharType="begin"/>
          </w:r>
          <w:r>
            <w:instrText xml:space="preserve"> PAGEREF _Toc17944 \h </w:instrText>
          </w:r>
          <w:r>
            <w:fldChar w:fldCharType="separate"/>
          </w:r>
          <w:r>
            <w:t>45</w:t>
          </w:r>
          <w:r>
            <w:fldChar w:fldCharType="end"/>
          </w:r>
          <w:r>
            <w:fldChar w:fldCharType="end"/>
          </w:r>
        </w:p>
        <w:p>
          <w:pPr>
            <w:pStyle w:val="14"/>
            <w:tabs>
              <w:tab w:val="right" w:leader="dot" w:pos="8306"/>
            </w:tabs>
          </w:pPr>
          <w:r>
            <w:fldChar w:fldCharType="begin"/>
          </w:r>
          <w:r>
            <w:instrText xml:space="preserve"> HYPERLINK \l _Toc22528 </w:instrText>
          </w:r>
          <w:r>
            <w:fldChar w:fldCharType="separate"/>
          </w:r>
          <w:r>
            <w:rPr>
              <w:rFonts w:hint="eastAsia" w:ascii="宋体" w:hAnsi="宋体" w:eastAsia="宋体" w:cs="宋体"/>
              <w:bCs/>
              <w:kern w:val="2"/>
              <w:szCs w:val="32"/>
              <w:lang w:val="en-US" w:eastAsia="zh-CN" w:bidi="ar-SA"/>
            </w:rPr>
            <w:t>8.2监测结果</w:t>
          </w:r>
          <w:r>
            <w:tab/>
          </w:r>
          <w:r>
            <w:fldChar w:fldCharType="begin"/>
          </w:r>
          <w:r>
            <w:instrText xml:space="preserve"> PAGEREF _Toc22528 \h </w:instrText>
          </w:r>
          <w:r>
            <w:fldChar w:fldCharType="separate"/>
          </w:r>
          <w:r>
            <w:t>49</w:t>
          </w:r>
          <w:r>
            <w:fldChar w:fldCharType="end"/>
          </w:r>
          <w:r>
            <w:fldChar w:fldCharType="end"/>
          </w:r>
        </w:p>
        <w:p>
          <w:pPr>
            <w:pStyle w:val="13"/>
            <w:tabs>
              <w:tab w:val="right" w:leader="dot" w:pos="8306"/>
            </w:tabs>
          </w:pPr>
          <w:r>
            <w:fldChar w:fldCharType="begin"/>
          </w:r>
          <w:r>
            <w:instrText xml:space="preserve"> HYPERLINK \l _Toc12943 </w:instrText>
          </w:r>
          <w:r>
            <w:fldChar w:fldCharType="separate"/>
          </w:r>
          <w:r>
            <w:rPr>
              <w:rFonts w:hint="eastAsia" w:ascii="宋体" w:hAnsi="宋体" w:eastAsia="宋体" w:cs="宋体"/>
              <w:lang w:val="en-US" w:eastAsia="zh-CN"/>
            </w:rPr>
            <w:t>9质量保证与质量控制</w:t>
          </w:r>
          <w:r>
            <w:tab/>
          </w:r>
          <w:r>
            <w:fldChar w:fldCharType="begin"/>
          </w:r>
          <w:r>
            <w:instrText xml:space="preserve"> PAGEREF _Toc12943 \h </w:instrText>
          </w:r>
          <w:r>
            <w:fldChar w:fldCharType="separate"/>
          </w:r>
          <w:r>
            <w:t>55</w:t>
          </w:r>
          <w:r>
            <w:fldChar w:fldCharType="end"/>
          </w:r>
          <w:r>
            <w:fldChar w:fldCharType="end"/>
          </w:r>
        </w:p>
        <w:p>
          <w:pPr>
            <w:pStyle w:val="14"/>
            <w:tabs>
              <w:tab w:val="right" w:leader="dot" w:pos="8306"/>
            </w:tabs>
          </w:pPr>
          <w:r>
            <w:fldChar w:fldCharType="begin"/>
          </w:r>
          <w:r>
            <w:instrText xml:space="preserve"> HYPERLINK \l _Toc29371 </w:instrText>
          </w:r>
          <w:r>
            <w:fldChar w:fldCharType="separate"/>
          </w:r>
          <w:r>
            <w:rPr>
              <w:rFonts w:hint="eastAsia" w:ascii="宋体" w:hAnsi="宋体" w:eastAsia="宋体" w:cs="宋体"/>
              <w:bCs/>
              <w:kern w:val="2"/>
              <w:szCs w:val="32"/>
              <w:lang w:val="en-US" w:eastAsia="zh-CN" w:bidi="ar-SA"/>
            </w:rPr>
            <w:t>9.1自行监测质量体系</w:t>
          </w:r>
          <w:r>
            <w:tab/>
          </w:r>
          <w:r>
            <w:fldChar w:fldCharType="begin"/>
          </w:r>
          <w:r>
            <w:instrText xml:space="preserve"> PAGEREF _Toc29371 \h </w:instrText>
          </w:r>
          <w:r>
            <w:fldChar w:fldCharType="separate"/>
          </w:r>
          <w:r>
            <w:t>55</w:t>
          </w:r>
          <w:r>
            <w:fldChar w:fldCharType="end"/>
          </w:r>
          <w:r>
            <w:fldChar w:fldCharType="end"/>
          </w:r>
        </w:p>
        <w:p>
          <w:pPr>
            <w:pStyle w:val="14"/>
            <w:tabs>
              <w:tab w:val="right" w:leader="dot" w:pos="8306"/>
            </w:tabs>
          </w:pPr>
          <w:r>
            <w:fldChar w:fldCharType="begin"/>
          </w:r>
          <w:r>
            <w:instrText xml:space="preserve"> HYPERLINK \l _Toc162 </w:instrText>
          </w:r>
          <w:r>
            <w:fldChar w:fldCharType="separate"/>
          </w:r>
          <w:r>
            <w:rPr>
              <w:rFonts w:hint="eastAsia" w:ascii="宋体" w:hAnsi="宋体" w:eastAsia="宋体" w:cs="宋体"/>
              <w:bCs/>
              <w:kern w:val="2"/>
              <w:szCs w:val="32"/>
              <w:lang w:val="en-US" w:eastAsia="zh-CN" w:bidi="ar-SA"/>
            </w:rPr>
            <w:t>9.2监测方案制定的质量保证与控制</w:t>
          </w:r>
          <w:r>
            <w:tab/>
          </w:r>
          <w:r>
            <w:fldChar w:fldCharType="begin"/>
          </w:r>
          <w:r>
            <w:instrText xml:space="preserve"> PAGEREF _Toc162 \h </w:instrText>
          </w:r>
          <w:r>
            <w:fldChar w:fldCharType="separate"/>
          </w:r>
          <w:r>
            <w:t>56</w:t>
          </w:r>
          <w:r>
            <w:fldChar w:fldCharType="end"/>
          </w:r>
          <w:r>
            <w:fldChar w:fldCharType="end"/>
          </w:r>
        </w:p>
        <w:p>
          <w:pPr>
            <w:pStyle w:val="14"/>
            <w:tabs>
              <w:tab w:val="right" w:leader="dot" w:pos="8306"/>
            </w:tabs>
          </w:pPr>
          <w:r>
            <w:fldChar w:fldCharType="begin"/>
          </w:r>
          <w:r>
            <w:instrText xml:space="preserve"> HYPERLINK \l _Toc29145 </w:instrText>
          </w:r>
          <w:r>
            <w:fldChar w:fldCharType="separate"/>
          </w:r>
          <w:r>
            <w:rPr>
              <w:rFonts w:hint="eastAsia" w:ascii="宋体" w:hAnsi="宋体" w:eastAsia="宋体" w:cs="宋体"/>
              <w:bCs/>
              <w:kern w:val="2"/>
              <w:szCs w:val="32"/>
              <w:lang w:val="en-US" w:eastAsia="zh-CN" w:bidi="ar-SA"/>
            </w:rPr>
            <w:t>9.3样品采集、保存、流转、制备与分析的质量保证与控制</w:t>
          </w:r>
          <w:r>
            <w:tab/>
          </w:r>
          <w:r>
            <w:fldChar w:fldCharType="begin"/>
          </w:r>
          <w:r>
            <w:instrText xml:space="preserve"> PAGEREF _Toc29145 \h </w:instrText>
          </w:r>
          <w:r>
            <w:fldChar w:fldCharType="separate"/>
          </w:r>
          <w:r>
            <w:t>56</w:t>
          </w:r>
          <w:r>
            <w:fldChar w:fldCharType="end"/>
          </w:r>
          <w:r>
            <w:fldChar w:fldCharType="end"/>
          </w:r>
        </w:p>
        <w:p>
          <w:pPr>
            <w:pStyle w:val="13"/>
            <w:tabs>
              <w:tab w:val="right" w:leader="dot" w:pos="8306"/>
            </w:tabs>
          </w:pPr>
          <w:r>
            <w:fldChar w:fldCharType="begin"/>
          </w:r>
          <w:r>
            <w:instrText xml:space="preserve"> HYPERLINK \l _Toc31454 </w:instrText>
          </w:r>
          <w:r>
            <w:fldChar w:fldCharType="separate"/>
          </w:r>
          <w:r>
            <w:rPr>
              <w:rFonts w:hint="eastAsia" w:ascii="宋体" w:hAnsi="宋体" w:eastAsia="宋体" w:cs="宋体"/>
              <w:lang w:val="en-US" w:eastAsia="zh-CN"/>
            </w:rPr>
            <w:t>10.结论与措施</w:t>
          </w:r>
          <w:r>
            <w:tab/>
          </w:r>
          <w:r>
            <w:fldChar w:fldCharType="begin"/>
          </w:r>
          <w:r>
            <w:instrText xml:space="preserve"> PAGEREF _Toc31454 \h </w:instrText>
          </w:r>
          <w:r>
            <w:fldChar w:fldCharType="separate"/>
          </w:r>
          <w:r>
            <w:t>61</w:t>
          </w:r>
          <w:r>
            <w:fldChar w:fldCharType="end"/>
          </w:r>
          <w:r>
            <w:fldChar w:fldCharType="end"/>
          </w:r>
        </w:p>
        <w:p>
          <w:pPr>
            <w:pStyle w:val="14"/>
            <w:tabs>
              <w:tab w:val="right" w:leader="dot" w:pos="8306"/>
            </w:tabs>
          </w:pPr>
          <w:r>
            <w:fldChar w:fldCharType="begin"/>
          </w:r>
          <w:r>
            <w:instrText xml:space="preserve"> HYPERLINK \l _Toc384 </w:instrText>
          </w:r>
          <w:r>
            <w:fldChar w:fldCharType="separate"/>
          </w:r>
          <w:r>
            <w:rPr>
              <w:rFonts w:hint="eastAsia" w:ascii="宋体" w:hAnsi="宋体" w:eastAsia="宋体" w:cs="宋体"/>
              <w:bCs/>
              <w:kern w:val="2"/>
              <w:szCs w:val="32"/>
              <w:lang w:val="en-US" w:eastAsia="zh-CN" w:bidi="ar-SA"/>
            </w:rPr>
            <w:t>10.1现场采样和监测</w:t>
          </w:r>
          <w:r>
            <w:tab/>
          </w:r>
          <w:r>
            <w:fldChar w:fldCharType="begin"/>
          </w:r>
          <w:r>
            <w:instrText xml:space="preserve"> PAGEREF _Toc384 \h </w:instrText>
          </w:r>
          <w:r>
            <w:fldChar w:fldCharType="separate"/>
          </w:r>
          <w:r>
            <w:t>61</w:t>
          </w:r>
          <w:r>
            <w:fldChar w:fldCharType="end"/>
          </w:r>
          <w:r>
            <w:fldChar w:fldCharType="end"/>
          </w:r>
        </w:p>
        <w:p>
          <w:pPr>
            <w:pStyle w:val="14"/>
            <w:tabs>
              <w:tab w:val="right" w:leader="dot" w:pos="8306"/>
            </w:tabs>
          </w:pPr>
          <w:r>
            <w:fldChar w:fldCharType="begin"/>
          </w:r>
          <w:r>
            <w:instrText xml:space="preserve"> HYPERLINK \l _Toc8567 </w:instrText>
          </w:r>
          <w:r>
            <w:fldChar w:fldCharType="separate"/>
          </w:r>
          <w:r>
            <w:rPr>
              <w:rFonts w:hint="eastAsia" w:ascii="宋体" w:hAnsi="宋体" w:eastAsia="宋体" w:cs="宋体"/>
              <w:bCs/>
              <w:kern w:val="2"/>
              <w:szCs w:val="32"/>
              <w:lang w:val="en-US" w:eastAsia="zh-CN" w:bidi="ar-SA"/>
            </w:rPr>
            <w:t>10.2土壤监测结果分析</w:t>
          </w:r>
          <w:r>
            <w:tab/>
          </w:r>
          <w:r>
            <w:fldChar w:fldCharType="begin"/>
          </w:r>
          <w:r>
            <w:instrText xml:space="preserve"> PAGEREF _Toc8567 \h </w:instrText>
          </w:r>
          <w:r>
            <w:fldChar w:fldCharType="separate"/>
          </w:r>
          <w:r>
            <w:t>61</w:t>
          </w:r>
          <w:r>
            <w:fldChar w:fldCharType="end"/>
          </w:r>
          <w:r>
            <w:fldChar w:fldCharType="end"/>
          </w:r>
        </w:p>
        <w:p>
          <w:pPr>
            <w:pStyle w:val="14"/>
            <w:tabs>
              <w:tab w:val="right" w:leader="dot" w:pos="8306"/>
            </w:tabs>
          </w:pPr>
          <w:r>
            <w:fldChar w:fldCharType="begin"/>
          </w:r>
          <w:r>
            <w:instrText xml:space="preserve"> HYPERLINK \l _Toc419 </w:instrText>
          </w:r>
          <w:r>
            <w:fldChar w:fldCharType="separate"/>
          </w:r>
          <w:r>
            <w:rPr>
              <w:rFonts w:hint="eastAsia" w:ascii="宋体" w:hAnsi="宋体" w:eastAsia="宋体" w:cs="宋体"/>
              <w:bCs/>
              <w:kern w:val="2"/>
              <w:szCs w:val="32"/>
              <w:lang w:val="en-US" w:eastAsia="zh-CN" w:bidi="ar-SA"/>
            </w:rPr>
            <w:t>10.3自行监测结论</w:t>
          </w:r>
          <w:r>
            <w:tab/>
          </w:r>
          <w:r>
            <w:fldChar w:fldCharType="begin"/>
          </w:r>
          <w:r>
            <w:instrText xml:space="preserve"> PAGEREF _Toc419 \h </w:instrText>
          </w:r>
          <w:r>
            <w:fldChar w:fldCharType="separate"/>
          </w:r>
          <w:r>
            <w:t>61</w:t>
          </w:r>
          <w:r>
            <w:fldChar w:fldCharType="end"/>
          </w:r>
          <w:r>
            <w:fldChar w:fldCharType="end"/>
          </w:r>
        </w:p>
        <w:p>
          <w:pPr>
            <w:pStyle w:val="14"/>
            <w:tabs>
              <w:tab w:val="right" w:leader="dot" w:pos="8306"/>
            </w:tabs>
          </w:pPr>
          <w:r>
            <w:fldChar w:fldCharType="begin"/>
          </w:r>
          <w:r>
            <w:instrText xml:space="preserve"> HYPERLINK \l _Toc29228 </w:instrText>
          </w:r>
          <w:r>
            <w:fldChar w:fldCharType="separate"/>
          </w:r>
          <w:r>
            <w:rPr>
              <w:rFonts w:hint="eastAsia" w:ascii="宋体" w:hAnsi="宋体" w:eastAsia="宋体" w:cs="宋体"/>
              <w:bCs/>
              <w:kern w:val="2"/>
              <w:szCs w:val="32"/>
              <w:lang w:val="en-US" w:eastAsia="zh-CN" w:bidi="ar-SA"/>
            </w:rPr>
            <w:t>10.4拟采取的主要措施</w:t>
          </w:r>
          <w:r>
            <w:tab/>
          </w:r>
          <w:r>
            <w:fldChar w:fldCharType="begin"/>
          </w:r>
          <w:r>
            <w:instrText xml:space="preserve"> PAGEREF _Toc29228 \h </w:instrText>
          </w:r>
          <w:r>
            <w:fldChar w:fldCharType="separate"/>
          </w:r>
          <w:r>
            <w:t>62</w:t>
          </w:r>
          <w:r>
            <w:fldChar w:fldCharType="end"/>
          </w:r>
          <w:r>
            <w:fldChar w:fldCharType="end"/>
          </w:r>
        </w:p>
        <w:p>
          <w:pPr>
            <w:pStyle w:val="13"/>
            <w:tabs>
              <w:tab w:val="right" w:leader="dot" w:pos="8306"/>
            </w:tabs>
          </w:pPr>
          <w:r>
            <w:fldChar w:fldCharType="begin"/>
          </w:r>
          <w:r>
            <w:instrText xml:space="preserve"> HYPERLINK \l _Toc6344 </w:instrText>
          </w:r>
          <w:r>
            <w:fldChar w:fldCharType="separate"/>
          </w:r>
          <w:r>
            <w:rPr>
              <w:rFonts w:hint="eastAsia" w:ascii="宋体" w:hAnsi="宋体" w:eastAsia="宋体" w:cs="宋体"/>
              <w:bCs/>
              <w:szCs w:val="32"/>
              <w:highlight w:val="none"/>
              <w:lang w:val="en-US" w:eastAsia="zh-CN"/>
            </w:rPr>
            <w:t>附图1 企业地理位置图</w:t>
          </w:r>
          <w:r>
            <w:tab/>
          </w:r>
          <w:r>
            <w:fldChar w:fldCharType="begin"/>
          </w:r>
          <w:r>
            <w:instrText xml:space="preserve"> PAGEREF _Toc6344 \h </w:instrText>
          </w:r>
          <w:r>
            <w:fldChar w:fldCharType="separate"/>
          </w:r>
          <w:r>
            <w:t>63</w:t>
          </w:r>
          <w:r>
            <w:fldChar w:fldCharType="end"/>
          </w:r>
          <w:r>
            <w:fldChar w:fldCharType="end"/>
          </w:r>
        </w:p>
        <w:p>
          <w:pPr>
            <w:pStyle w:val="13"/>
            <w:tabs>
              <w:tab w:val="right" w:leader="dot" w:pos="8306"/>
            </w:tabs>
          </w:pPr>
          <w:r>
            <w:fldChar w:fldCharType="begin"/>
          </w:r>
          <w:r>
            <w:instrText xml:space="preserve"> HYPERLINK \l _Toc20606 </w:instrText>
          </w:r>
          <w:r>
            <w:fldChar w:fldCharType="separate"/>
          </w:r>
          <w:r>
            <w:rPr>
              <w:rFonts w:hint="eastAsia" w:ascii="宋体" w:hAnsi="宋体" w:eastAsia="宋体" w:cs="宋体"/>
              <w:bCs/>
              <w:szCs w:val="32"/>
              <w:highlight w:val="none"/>
              <w:lang w:val="en-US" w:eastAsia="zh-CN"/>
            </w:rPr>
            <w:t>附图2三门峡市土壤污染类型</w:t>
          </w:r>
          <w:r>
            <w:tab/>
          </w:r>
          <w:r>
            <w:fldChar w:fldCharType="begin"/>
          </w:r>
          <w:r>
            <w:instrText xml:space="preserve"> PAGEREF _Toc20606 \h </w:instrText>
          </w:r>
          <w:r>
            <w:fldChar w:fldCharType="separate"/>
          </w:r>
          <w:r>
            <w:t>64</w:t>
          </w:r>
          <w:r>
            <w:fldChar w:fldCharType="end"/>
          </w:r>
          <w:r>
            <w:fldChar w:fldCharType="end"/>
          </w:r>
        </w:p>
        <w:p>
          <w:pPr>
            <w:pStyle w:val="13"/>
            <w:tabs>
              <w:tab w:val="right" w:leader="dot" w:pos="8306"/>
            </w:tabs>
          </w:pPr>
          <w:r>
            <w:fldChar w:fldCharType="begin"/>
          </w:r>
          <w:r>
            <w:instrText xml:space="preserve"> HYPERLINK \l _Toc10796 </w:instrText>
          </w:r>
          <w:r>
            <w:fldChar w:fldCharType="separate"/>
          </w:r>
          <w:r>
            <w:rPr>
              <w:rFonts w:hint="eastAsia" w:ascii="宋体" w:hAnsi="宋体" w:eastAsia="宋体" w:cs="宋体"/>
              <w:bCs/>
              <w:szCs w:val="32"/>
              <w:highlight w:val="none"/>
              <w:lang w:val="en-US" w:eastAsia="zh-CN"/>
            </w:rPr>
            <w:t>附图3平面布置及监测点位图</w:t>
          </w:r>
          <w:r>
            <w:tab/>
          </w:r>
          <w:r>
            <w:fldChar w:fldCharType="begin"/>
          </w:r>
          <w:r>
            <w:instrText xml:space="preserve"> PAGEREF _Toc10796 \h </w:instrText>
          </w:r>
          <w:r>
            <w:fldChar w:fldCharType="separate"/>
          </w:r>
          <w:r>
            <w:t>65</w:t>
          </w:r>
          <w:r>
            <w:fldChar w:fldCharType="end"/>
          </w:r>
          <w:r>
            <w:fldChar w:fldCharType="end"/>
          </w:r>
        </w:p>
        <w:p>
          <w:pPr>
            <w:pStyle w:val="13"/>
            <w:tabs>
              <w:tab w:val="right" w:leader="dot" w:pos="8306"/>
            </w:tabs>
          </w:pPr>
          <w:r>
            <w:fldChar w:fldCharType="begin"/>
          </w:r>
          <w:r>
            <w:instrText xml:space="preserve"> HYPERLINK \l _Toc20575 </w:instrText>
          </w:r>
          <w:r>
            <w:fldChar w:fldCharType="separate"/>
          </w:r>
          <w:r>
            <w:rPr>
              <w:rFonts w:hint="eastAsia" w:ascii="宋体" w:hAnsi="宋体" w:eastAsia="宋体" w:cs="宋体"/>
              <w:szCs w:val="24"/>
              <w:highlight w:val="none"/>
              <w:lang w:val="zh-CN" w:eastAsia="zh-CN"/>
            </w:rPr>
            <w:t>附图</w:t>
          </w:r>
          <w:r>
            <w:rPr>
              <w:rFonts w:hint="eastAsia" w:ascii="宋体" w:hAnsi="宋体" w:eastAsia="宋体" w:cs="宋体"/>
              <w:szCs w:val="24"/>
              <w:highlight w:val="none"/>
              <w:lang w:val="en-US" w:eastAsia="zh-CN"/>
            </w:rPr>
            <w:t xml:space="preserve">4 </w:t>
          </w:r>
          <w:r>
            <w:rPr>
              <w:rFonts w:hint="eastAsia" w:ascii="宋体" w:hAnsi="宋体" w:eastAsia="宋体" w:cs="宋体"/>
              <w:szCs w:val="24"/>
              <w:highlight w:val="none"/>
              <w:lang w:val="zh-CN" w:eastAsia="zh-CN"/>
            </w:rPr>
            <w:t>现场采样照片</w:t>
          </w:r>
          <w:r>
            <w:tab/>
          </w:r>
          <w:r>
            <w:fldChar w:fldCharType="begin"/>
          </w:r>
          <w:r>
            <w:instrText xml:space="preserve"> PAGEREF _Toc20575 \h </w:instrText>
          </w:r>
          <w:r>
            <w:fldChar w:fldCharType="separate"/>
          </w:r>
          <w:r>
            <w:t>67</w:t>
          </w:r>
          <w:r>
            <w:fldChar w:fldCharType="end"/>
          </w:r>
          <w:r>
            <w:fldChar w:fldCharType="end"/>
          </w:r>
        </w:p>
        <w:p>
          <w:pPr>
            <w:pStyle w:val="13"/>
            <w:tabs>
              <w:tab w:val="right" w:leader="dot" w:pos="8306"/>
            </w:tabs>
          </w:pPr>
          <w:r>
            <w:fldChar w:fldCharType="begin"/>
          </w:r>
          <w:r>
            <w:instrText xml:space="preserve"> HYPERLINK \l _Toc25348 </w:instrText>
          </w:r>
          <w:r>
            <w:fldChar w:fldCharType="separate"/>
          </w:r>
          <w:r>
            <w:rPr>
              <w:rFonts w:hint="eastAsia" w:ascii="宋体" w:hAnsi="宋体" w:eastAsia="宋体" w:cs="宋体"/>
              <w:bCs/>
              <w:szCs w:val="32"/>
              <w:lang w:val="en-US" w:eastAsia="zh-CN"/>
            </w:rPr>
            <w:t>附件1 检测报告</w:t>
          </w:r>
          <w:r>
            <w:tab/>
          </w:r>
          <w:r>
            <w:fldChar w:fldCharType="begin"/>
          </w:r>
          <w:r>
            <w:instrText xml:space="preserve"> PAGEREF _Toc25348 \h </w:instrText>
          </w:r>
          <w:r>
            <w:fldChar w:fldCharType="separate"/>
          </w:r>
          <w:r>
            <w:t>68</w:t>
          </w:r>
          <w:r>
            <w:fldChar w:fldCharType="end"/>
          </w:r>
          <w:r>
            <w:fldChar w:fldCharType="end"/>
          </w:r>
        </w:p>
        <w:p>
          <w:pPr>
            <w:pStyle w:val="13"/>
            <w:tabs>
              <w:tab w:val="right" w:leader="dot" w:pos="8306"/>
            </w:tabs>
          </w:pPr>
          <w:r>
            <w:fldChar w:fldCharType="begin"/>
          </w:r>
          <w:r>
            <w:instrText xml:space="preserve"> HYPERLINK \l _Toc32392 </w:instrText>
          </w:r>
          <w:r>
            <w:fldChar w:fldCharType="separate"/>
          </w:r>
          <w:r>
            <w:rPr>
              <w:rFonts w:hint="eastAsia" w:ascii="宋体" w:hAnsi="宋体" w:eastAsia="宋体" w:cs="宋体"/>
              <w:bCs/>
              <w:szCs w:val="32"/>
              <w:lang w:val="en-US" w:eastAsia="zh-CN"/>
            </w:rPr>
            <w:t>附件2 检测资质证书、附表</w:t>
          </w:r>
          <w:r>
            <w:tab/>
          </w:r>
          <w:r>
            <w:fldChar w:fldCharType="begin"/>
          </w:r>
          <w:r>
            <w:instrText xml:space="preserve"> PAGEREF _Toc32392 \h </w:instrText>
          </w:r>
          <w:r>
            <w:fldChar w:fldCharType="separate"/>
          </w:r>
          <w:r>
            <w:t>80</w:t>
          </w:r>
          <w:r>
            <w:fldChar w:fldCharType="end"/>
          </w:r>
          <w:r>
            <w:fldChar w:fldCharType="end"/>
          </w:r>
        </w:p>
        <w:p>
          <w:pPr>
            <w:pStyle w:val="13"/>
            <w:tabs>
              <w:tab w:val="right" w:leader="dot" w:pos="8306"/>
            </w:tabs>
          </w:pPr>
          <w:r>
            <w:fldChar w:fldCharType="begin"/>
          </w:r>
          <w:r>
            <w:instrText xml:space="preserve"> HYPERLINK \l _Toc18453 </w:instrText>
          </w:r>
          <w:r>
            <w:fldChar w:fldCharType="separate"/>
          </w:r>
          <w:r>
            <w:rPr>
              <w:rFonts w:hint="eastAsia" w:cs="宋体"/>
              <w:bCs/>
              <w:spacing w:val="0"/>
              <w:highlight w:val="none"/>
              <w:lang w:eastAsia="zh-CN"/>
            </w:rPr>
            <w:t>附件3</w:t>
          </w:r>
          <w:r>
            <w:rPr>
              <w:rFonts w:hint="eastAsia" w:ascii="宋体" w:hAnsi="宋体" w:eastAsia="宋体" w:cs="宋体"/>
              <w:bCs/>
              <w:spacing w:val="0"/>
              <w:highlight w:val="none"/>
              <w:lang w:val="en-US" w:eastAsia="zh-CN"/>
            </w:rPr>
            <w:t xml:space="preserve"> 岩土工程勘察报告（剖面图、钻孔柱状图）</w:t>
          </w:r>
          <w:r>
            <w:tab/>
          </w:r>
          <w:r>
            <w:fldChar w:fldCharType="begin"/>
          </w:r>
          <w:r>
            <w:instrText xml:space="preserve"> PAGEREF _Toc18453 \h </w:instrText>
          </w:r>
          <w:r>
            <w:fldChar w:fldCharType="separate"/>
          </w:r>
          <w:r>
            <w:t>96</w:t>
          </w:r>
          <w:r>
            <w:fldChar w:fldCharType="end"/>
          </w:r>
          <w:r>
            <w:fldChar w:fldCharType="end"/>
          </w:r>
        </w:p>
        <w:p>
          <w:r>
            <w:fldChar w:fldCharType="end"/>
          </w:r>
        </w:p>
      </w:sdtContent>
    </w:sdt>
    <w:p>
      <w:pPr>
        <w:keepNext w:val="0"/>
        <w:keepLines w:val="0"/>
        <w:pageBreakBefore w:val="0"/>
        <w:widowControl/>
        <w:tabs>
          <w:tab w:val="left" w:pos="312"/>
        </w:tabs>
        <w:kinsoku/>
        <w:wordWrap/>
        <w:overflowPunct/>
        <w:topLinePunct w:val="0"/>
        <w:autoSpaceDE/>
        <w:autoSpaceDN/>
        <w:bidi w:val="0"/>
        <w:adjustRightInd/>
        <w:snapToGrid w:val="0"/>
        <w:spacing w:line="520" w:lineRule="exact"/>
        <w:ind w:firstLine="0" w:firstLineChars="0"/>
        <w:jc w:val="both"/>
        <w:textAlignment w:val="auto"/>
        <w:outlineLvl w:val="0"/>
        <w:rPr>
          <w:rFonts w:hint="eastAsia" w:ascii="宋体" w:hAnsi="宋体" w:eastAsia="宋体" w:cs="宋体"/>
          <w:b/>
          <w:bCs/>
          <w:color w:val="auto"/>
          <w:kern w:val="2"/>
          <w:sz w:val="28"/>
          <w:szCs w:val="32"/>
          <w:highlight w:val="none"/>
          <w:lang w:val="en-US" w:eastAsia="zh-CN" w:bidi="zh-CN"/>
        </w:rPr>
        <w:sectPr>
          <w:footerReference r:id="rId4" w:type="default"/>
          <w:pgSz w:w="11906" w:h="16838"/>
          <w:pgMar w:top="1440" w:right="1800" w:bottom="1440" w:left="1800" w:header="851" w:footer="992" w:gutter="0"/>
          <w:pgNumType w:fmt="decimal" w:start="1"/>
          <w:cols w:space="720" w:num="1"/>
          <w:docGrid w:type="lines" w:linePitch="312" w:charSpace="0"/>
        </w:sectPr>
      </w:pPr>
    </w:p>
    <w:p>
      <w:pPr>
        <w:keepNext w:val="0"/>
        <w:keepLines w:val="0"/>
        <w:pageBreakBefore w:val="0"/>
        <w:widowControl/>
        <w:tabs>
          <w:tab w:val="left" w:pos="312"/>
        </w:tabs>
        <w:kinsoku/>
        <w:wordWrap/>
        <w:overflowPunct/>
        <w:topLinePunct w:val="0"/>
        <w:autoSpaceDE/>
        <w:autoSpaceDN/>
        <w:bidi w:val="0"/>
        <w:adjustRightInd/>
        <w:snapToGrid w:val="0"/>
        <w:spacing w:line="360" w:lineRule="auto"/>
        <w:ind w:firstLine="0" w:firstLineChars="0"/>
        <w:jc w:val="both"/>
        <w:textAlignment w:val="auto"/>
        <w:outlineLvl w:val="0"/>
        <w:rPr>
          <w:rFonts w:hint="eastAsia" w:ascii="宋体" w:hAnsi="宋体" w:eastAsia="宋体" w:cs="宋体"/>
          <w:b/>
          <w:bCs/>
          <w:color w:val="auto"/>
          <w:kern w:val="2"/>
          <w:sz w:val="28"/>
          <w:szCs w:val="32"/>
          <w:highlight w:val="none"/>
          <w:lang w:val="en-US" w:eastAsia="zh-CN" w:bidi="zh-CN"/>
        </w:rPr>
      </w:pPr>
      <w:bookmarkStart w:id="6" w:name="_Toc11396"/>
      <w:r>
        <w:rPr>
          <w:rFonts w:hint="eastAsia" w:ascii="宋体" w:hAnsi="宋体" w:eastAsia="宋体" w:cs="宋体"/>
          <w:b/>
          <w:bCs/>
          <w:color w:val="auto"/>
          <w:kern w:val="2"/>
          <w:sz w:val="28"/>
          <w:szCs w:val="32"/>
          <w:highlight w:val="none"/>
          <w:lang w:val="en-US" w:eastAsia="zh-CN" w:bidi="zh-CN"/>
        </w:rPr>
        <w:t>1.工作背景</w:t>
      </w:r>
      <w:bookmarkEnd w:id="6"/>
    </w:p>
    <w:p>
      <w:pPr>
        <w:bidi w:val="0"/>
        <w:spacing w:line="360" w:lineRule="auto"/>
        <w:ind w:firstLine="560" w:firstLineChars="200"/>
        <w:rPr>
          <w:rFonts w:hint="eastAsia" w:ascii="宋体" w:hAnsi="宋体" w:eastAsia="宋体" w:cs="宋体"/>
          <w:color w:val="auto"/>
          <w:spacing w:val="0"/>
          <w:szCs w:val="28"/>
          <w:highlight w:val="none"/>
          <w:u w:val="none"/>
          <w:lang w:val="en-US" w:eastAsia="zh-CN"/>
        </w:rPr>
      </w:pPr>
      <w:bookmarkStart w:id="7" w:name="_Toc31209"/>
      <w:bookmarkStart w:id="8" w:name="_Toc27886"/>
      <w:bookmarkStart w:id="9" w:name="_Toc17333"/>
      <w:bookmarkStart w:id="10" w:name="_Toc25756_WPSOffice_Level1"/>
      <w:bookmarkStart w:id="11" w:name="_Toc31920"/>
      <w:bookmarkStart w:id="12" w:name="_Toc3420"/>
      <w:bookmarkStart w:id="13" w:name="_Toc12675"/>
      <w:bookmarkStart w:id="14" w:name="_Toc27381"/>
      <w:bookmarkStart w:id="15" w:name="_Toc11735"/>
      <w:bookmarkStart w:id="16" w:name="_Toc53736315"/>
      <w:bookmarkStart w:id="17" w:name="_Toc19367"/>
      <w:bookmarkStart w:id="18" w:name="_Toc26004755"/>
      <w:bookmarkStart w:id="19" w:name="_Toc27972_WPSOffice_Level1"/>
      <w:bookmarkStart w:id="20" w:name="_Toc5620"/>
      <w:r>
        <w:rPr>
          <w:rFonts w:hint="eastAsia" w:ascii="宋体" w:hAnsi="宋体" w:eastAsia="宋体" w:cs="宋体"/>
          <w:sz w:val="28"/>
          <w:szCs w:val="36"/>
          <w:lang w:val="en-US" w:eastAsia="zh-CN"/>
        </w:rPr>
        <w:t>河南省中威春雨植物营养有限公司成立于1997年，是国家工信部定点农药生产企业，省级高新技术企业，致力于“植物营养剂”和“植物保健品”的研发和生产。公司现有工程为“年产1810吨农药复配、20吨复硝酚钠项目”，位于中牟县商都大道西段，为响应郑汴一体化发展，公司投资15000万元，在三门峡陕州区先进制造业开发区（原陕州区产业集聚区），建设了“年产20吨复硝酚钠和200吨萘乙酸钠、200吨胺鲜酯及9580吨农药制剂及水溶肥迁建项目”。</w:t>
      </w:r>
    </w:p>
    <w:p>
      <w:pPr>
        <w:pStyle w:val="3"/>
        <w:outlineLvl w:val="1"/>
        <w:rPr>
          <w:rFonts w:hint="eastAsia" w:ascii="宋体" w:hAnsi="宋体" w:eastAsia="宋体" w:cs="宋体"/>
          <w:color w:val="auto"/>
          <w:highlight w:val="none"/>
        </w:rPr>
      </w:pPr>
      <w:bookmarkStart w:id="21" w:name="_Toc27502"/>
      <w:r>
        <w:rPr>
          <w:rFonts w:hint="eastAsia" w:ascii="宋体" w:hAnsi="宋体" w:eastAsia="宋体" w:cs="宋体"/>
          <w:color w:val="auto"/>
          <w:highlight w:val="none"/>
        </w:rPr>
        <w:t>1.1编制背景</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2016年5月《土壤污染防治行动计划》中指出：重点行业企业要依据有关规定，向社会公开其产生的污染物名称、排放方式、排放浓度、排放总量，以及污染防治设施建设和运行情况。各地要根据工矿企业分布和污染排放情况，确定土壤环境重点监管企业名单，实行动态更新，并向社会公布。列入名单的企业每年要自行对其用地进行土壤环境监测，结果向社会公开。</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2018年5月《工矿用地土壤环境管理办法》中：重点单位应当建立土壤和地下水污染隐患排查治理制度，定期对重点区域、重点设施开展隐患排查。重点单位应当按照相关技术规范要求，自行或者委托第三方定期开展土壤和地下水监测，重点监测存在污染隐患的区域和设施周边的土壤、地下水，并按照规定公开相关信息。</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2019年1月1日起实施的《中华人民共和国土壤污染防治法》第二十一条：土壤污染重点监管单位应当履行下列义务：（一）严格控制有毒有害物质排放，并按年度向生态环境主管部门报告排放情况；（二）建立土壤污染隐患排查制度，保证持续有效防止有毒有害物质渗漏、流失、扬散；（三）制定、实施自行监测方案，并将监测数据报生态环境主管部门。</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2021年11月《工业企业土壤和地下水自行监测技术指南（试行）》（HJ1209-2021）规定了企业土壤和地下水自行监测过程中监测方案制定；样品采集、保存、流转及分析测试；监测结果分析；监测报告编制及监测设施维护的基本内容和要求。指导了土壤环境重点监管企业开展土壤和地下水自行监测工作。</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根据《关于更新2023年土壤、地下水环境重点监管单位名录的公示》和《三门峡市生态环境局第二分局关于土壤污染重点监管单位切实履行土壤污染防治相关义务的通知》等文件要求，河南省中威春雨植物营养有限公司被列入</w:t>
      </w:r>
      <w:r>
        <w:rPr>
          <w:rFonts w:hint="eastAsia" w:ascii="宋体" w:hAnsi="宋体" w:eastAsia="宋体" w:cs="宋体"/>
          <w:sz w:val="28"/>
          <w:szCs w:val="36"/>
          <w:lang w:val="en-US" w:eastAsia="zh-Hans"/>
        </w:rPr>
        <w:t>三门峡市</w:t>
      </w:r>
      <w:r>
        <w:rPr>
          <w:rFonts w:hint="eastAsia" w:ascii="宋体" w:hAnsi="宋体" w:eastAsia="宋体" w:cs="宋体"/>
          <w:sz w:val="28"/>
          <w:szCs w:val="36"/>
          <w:lang w:val="en-US" w:eastAsia="zh-CN"/>
        </w:rPr>
        <w:t>2023年土壤污染重点监管单位名录。</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为完成土壤污染防治工作，洛阳市达峰环境检测有限公司提供技术支持，与河南省中威春雨植物营养有限公司共同开展企业年度土壤和地下水自行监测工作。经过技术人员到现场对企业现状及周边情况进行了详细调查，收集相关资料，依据《在产企业土壤和地下水自行监测技术指南》及有关标准，结合企业实践，编制了《河南省中威春雨植物营养有限公司土壤和地下水自行监测方案》。</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结合资料收集、现场勘查、人员访谈和重点区域及重点设施识别等工作，重点排查对象为河南省中威春雨植物营养有限公司可能涉及土壤和地下水污染的工业活动或设施，依据国家相关政策、标准、导则等要求，结合企业性质和特征污染物，制定了《河南省中威春雨植物营养有限公司土壤和地下水监测方案》。</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本次地下水调查范围包括厂区地下水井和园区地下水井；本次土壤调查范围包括但不限于：厂区研发楼、试验田、粉剂车间、仓库B、水剂车间、仓库A、合成车间、乳油车间、仓库C、仓库D、危废暂存间、污水处理站、事故池等为重点区域。土壤6个监测点位（其中5个监控点，1个背景点）；河南省中威春雨植物营养有限公司厂区内无地下水监测井，公司于2017年12月5日委托中水电第十一工程局（郑州）有限公司出具了《河南中威高科技化工有限公司岩土工程勘察报告》，明确厂区地貌单元为低山丘陵地区，在勘探深度范围内未见地下水，根据《岩土工程勘察规范》第12.1.2条，由于该场地地下水埋藏较深，混凝土结构处于地下水位以上，设计与施工时可不考虑地下水的影响，可不取地下水样进行测试，详见附件3河南中威高科技化工有限公司岩土工程勘察报告（剖面图、钻孔柱状图）。</w:t>
      </w:r>
    </w:p>
    <w:p>
      <w:pPr>
        <w:bidi w:val="0"/>
        <w:spacing w:line="360" w:lineRule="auto"/>
        <w:ind w:firstLine="560" w:firstLineChars="200"/>
        <w:rPr>
          <w:rFonts w:hint="eastAsia" w:ascii="宋体" w:hAnsi="宋体" w:eastAsia="宋体" w:cs="宋体"/>
          <w:sz w:val="28"/>
          <w:szCs w:val="36"/>
          <w:lang w:val="en-US" w:eastAsia="zh-CN"/>
        </w:rPr>
      </w:pPr>
      <w:bookmarkStart w:id="22" w:name="_Toc15642"/>
      <w:bookmarkStart w:id="23" w:name="_Toc7590"/>
      <w:bookmarkStart w:id="24" w:name="_Toc53736316"/>
      <w:bookmarkStart w:id="25" w:name="_Toc22163"/>
      <w:bookmarkStart w:id="26" w:name="_Toc758"/>
      <w:bookmarkStart w:id="27" w:name="_Toc25635_WPSOffice_Level1"/>
      <w:bookmarkStart w:id="28" w:name="_Toc10378"/>
      <w:bookmarkStart w:id="29" w:name="_Toc22199821"/>
      <w:bookmarkStart w:id="30" w:name="_Toc26004756"/>
      <w:bookmarkStart w:id="31" w:name="_Toc9357"/>
      <w:bookmarkStart w:id="32" w:name="_Toc20608"/>
      <w:bookmarkStart w:id="33" w:name="_Toc26300"/>
      <w:bookmarkStart w:id="34" w:name="_Toc15774"/>
      <w:bookmarkStart w:id="35" w:name="_Toc17769"/>
      <w:bookmarkStart w:id="36" w:name="_Toc22773_WPSOffice_Level2"/>
      <w:bookmarkStart w:id="37" w:name="_Toc16632"/>
      <w:r>
        <w:rPr>
          <w:rFonts w:hint="eastAsia" w:ascii="宋体" w:hAnsi="宋体" w:eastAsia="宋体" w:cs="宋体"/>
          <w:sz w:val="28"/>
          <w:szCs w:val="36"/>
          <w:lang w:val="en-US" w:eastAsia="zh-CN"/>
        </w:rPr>
        <w:t>鉴于以上情况，2023年6月18日-6月28日，公司委托洛阳市达峰环境检测有限公司对厂区及背景点土壤开展监测。根据2023年6月28日出具的《河南省中威春雨植物营养有限公司土壤检测报告》（报告编号：DFJC-011-06-2023），报告中结合企业厂区生产设施分布和生产工艺等实际情况，确定土壤监测点位置及数量6个（其中5个监控点，1个背景点）。</w:t>
      </w:r>
    </w:p>
    <w:p>
      <w:pPr>
        <w:pStyle w:val="3"/>
        <w:outlineLvl w:val="1"/>
        <w:rPr>
          <w:rFonts w:hint="eastAsia" w:ascii="宋体" w:hAnsi="宋体" w:eastAsia="宋体" w:cs="宋体"/>
          <w:color w:val="auto"/>
          <w:highlight w:val="none"/>
        </w:rPr>
      </w:pPr>
      <w:bookmarkStart w:id="38" w:name="_Toc4303"/>
      <w:r>
        <w:rPr>
          <w:rFonts w:hint="eastAsia" w:ascii="宋体" w:hAnsi="宋体" w:eastAsia="宋体" w:cs="宋体"/>
          <w:color w:val="auto"/>
          <w:highlight w:val="none"/>
        </w:rPr>
        <w:t>1.2</w:t>
      </w:r>
      <w:bookmarkEnd w:id="22"/>
      <w:bookmarkEnd w:id="23"/>
      <w:bookmarkEnd w:id="24"/>
      <w:bookmarkEnd w:id="25"/>
      <w:bookmarkEnd w:id="26"/>
      <w:bookmarkEnd w:id="27"/>
      <w:bookmarkEnd w:id="28"/>
      <w:bookmarkEnd w:id="29"/>
      <w:bookmarkEnd w:id="30"/>
      <w:bookmarkEnd w:id="31"/>
      <w:bookmarkEnd w:id="32"/>
      <w:bookmarkEnd w:id="33"/>
      <w:bookmarkEnd w:id="34"/>
      <w:bookmarkEnd w:id="35"/>
      <w:r>
        <w:rPr>
          <w:rFonts w:hint="eastAsia" w:ascii="宋体" w:hAnsi="宋体" w:eastAsia="宋体" w:cs="宋体"/>
          <w:color w:val="auto"/>
          <w:highlight w:val="none"/>
          <w:lang w:eastAsia="zh-CN"/>
        </w:rPr>
        <w:t>工作</w:t>
      </w:r>
      <w:r>
        <w:rPr>
          <w:rFonts w:hint="eastAsia" w:ascii="宋体" w:hAnsi="宋体" w:eastAsia="宋体" w:cs="宋体"/>
          <w:color w:val="auto"/>
          <w:highlight w:val="none"/>
        </w:rPr>
        <w:t>依据</w:t>
      </w:r>
      <w:bookmarkEnd w:id="38"/>
    </w:p>
    <w:p>
      <w:pPr>
        <w:pageBreakBefore w:val="0"/>
        <w:widowControl/>
        <w:kinsoku/>
        <w:wordWrap/>
        <w:overflowPunct/>
        <w:topLinePunct w:val="0"/>
        <w:autoSpaceDE/>
        <w:autoSpaceDN/>
        <w:bidi w:val="0"/>
        <w:spacing w:line="360" w:lineRule="auto"/>
        <w:ind w:right="0"/>
        <w:textAlignment w:val="auto"/>
        <w:outlineLvl w:val="2"/>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w:t>
      </w:r>
      <w:r>
        <w:rPr>
          <w:rFonts w:hint="eastAsia" w:ascii="宋体" w:hAnsi="宋体" w:eastAsia="宋体" w:cs="宋体"/>
          <w:color w:val="auto"/>
          <w:sz w:val="28"/>
          <w:szCs w:val="28"/>
          <w:highlight w:val="none"/>
          <w:u w:val="none"/>
          <w:lang w:val="en-US" w:eastAsia="zh-CN"/>
        </w:rPr>
        <w:t>2</w:t>
      </w:r>
      <w:r>
        <w:rPr>
          <w:rFonts w:hint="eastAsia" w:ascii="宋体" w:hAnsi="宋体" w:eastAsia="宋体" w:cs="宋体"/>
          <w:color w:val="auto"/>
          <w:sz w:val="28"/>
          <w:szCs w:val="28"/>
          <w:highlight w:val="none"/>
          <w:u w:val="none"/>
        </w:rPr>
        <w:t>.1法律、法规、</w:t>
      </w:r>
      <w:bookmarkStart w:id="39" w:name="_Toc27394_WPSOffice_Level1"/>
      <w:r>
        <w:rPr>
          <w:rFonts w:hint="eastAsia" w:ascii="宋体" w:hAnsi="宋体" w:eastAsia="宋体" w:cs="宋体"/>
          <w:color w:val="auto"/>
          <w:sz w:val="28"/>
          <w:szCs w:val="28"/>
          <w:highlight w:val="none"/>
          <w:u w:val="none"/>
        </w:rPr>
        <w:t>政策</w:t>
      </w:r>
    </w:p>
    <w:bookmarkEnd w:id="39"/>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（1）《中华人民共和国环境保护法》（2014.4.24）</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（2）《中华人民共和国水污染防治法》（2017.6.27）</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（3）《中华人民共和国土壤污染防治法》（2019.1.1）</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（4）《建设项目环境保护管理条例》（国务院令第682号）。</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1.2.2部门规章及相关规范性文件</w:t>
      </w:r>
    </w:p>
    <w:bookmarkEnd w:id="36"/>
    <w:bookmarkEnd w:id="37"/>
    <w:p>
      <w:pPr>
        <w:bidi w:val="0"/>
        <w:spacing w:line="360" w:lineRule="auto"/>
        <w:ind w:firstLine="560" w:firstLineChars="200"/>
        <w:rPr>
          <w:rFonts w:hint="eastAsia" w:ascii="宋体" w:hAnsi="宋体" w:eastAsia="宋体" w:cs="宋体"/>
          <w:sz w:val="28"/>
          <w:szCs w:val="36"/>
          <w:lang w:val="en-US" w:eastAsia="zh-CN"/>
        </w:rPr>
      </w:pPr>
      <w:bookmarkStart w:id="40" w:name="_Toc22210"/>
      <w:r>
        <w:rPr>
          <w:rFonts w:hint="eastAsia" w:ascii="宋体" w:hAnsi="宋体" w:eastAsia="宋体" w:cs="宋体"/>
          <w:sz w:val="28"/>
          <w:szCs w:val="36"/>
          <w:lang w:val="en-US" w:eastAsia="zh-CN"/>
        </w:rPr>
        <w:t>（1）《全国生态环境保护纲要》（国发〔2000〕38号），2000年12月21日；</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（2）《全国地下水污染物防治规划（2011-2020）》（环发〔2011〕128号）；</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（3）《国务院关于落实科学发展观加强环境保护的决定》（国发〔2005〕39号），2005年12月3号；</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（4）《国务院关于加强环境保护重点工作的意见》（国发〔2011〕35号）；</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（5）《水污染防治行动计划》（国发〔2015〕17号）；</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（6）《土壤污染防治行动计划》（国发〔2016〕31号）；</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（7）《工矿用地土壤环境管理办法（试行）》（生态环境部令第3号）；</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（8）《关于加强涉重金属行业污染防控的意见》（环土壤〔2018〕22号）；</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（9）《企业突发环境事件隐患排查和治理工作指南》（2016年，生态环境部公告第74号）；</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（10）《重点单位土壤污染隐患排查指南（试行）》（生态环境部2021年第1号）；</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（11）《“十四五”土壤、地下水和农村生态环境保护规划》。</w:t>
      </w:r>
    </w:p>
    <w:p>
      <w:pPr>
        <w:bidi w:val="0"/>
        <w:spacing w:line="360" w:lineRule="auto"/>
        <w:ind w:firstLine="560" w:firstLineChars="200"/>
        <w:rPr>
          <w:rFonts w:hint="eastAsia" w:ascii="宋体" w:hAnsi="宋体" w:eastAsia="宋体" w:cs="宋体"/>
          <w:sz w:val="28"/>
          <w:szCs w:val="36"/>
          <w:lang w:val="en-US" w:eastAsia="zh-CN"/>
        </w:rPr>
      </w:pP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1.2.3地方性法规、规章及相关规范文件</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《河南省建设项目环境保护条例》，2016年修订；</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《河南省减少污染物排放条例》，2014年1月1日；</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《河南省水污染防治条例》，2010年3月1日起施行；</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《河南省清洁土壤行动计划》（豫政〔2017〕13号）；</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《河南省人民政府关于打好土壤污染防治攻坚战实施意见》（豫政〔2017〕45号）；</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《河南省重金属污染防治工作指导意见》（豫环文〔2017〕277号）；</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《河南省环境保护厅关于印发河南省涉重金属重点行业污染防控工作方案的通知》（豫环文〔2018〕262号）；</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《河南省生态环境厅关于印发土壤污染重点监管单位隐患排查“回头看”工作方案的通知》；</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《关于更新2023年土壤、地下水环境重点监管单位名录的公示》。</w:t>
      </w:r>
    </w:p>
    <w:p>
      <w:pPr>
        <w:bidi w:val="0"/>
        <w:spacing w:line="360" w:lineRule="auto"/>
        <w:ind w:firstLine="560" w:firstLineChars="200"/>
        <w:rPr>
          <w:rFonts w:hint="eastAsia" w:ascii="宋体" w:hAnsi="宋体" w:eastAsia="宋体" w:cs="宋体"/>
          <w:sz w:val="28"/>
          <w:szCs w:val="36"/>
          <w:lang w:val="en-US" w:eastAsia="zh-CN"/>
        </w:rPr>
      </w:pPr>
      <w:bookmarkStart w:id="41" w:name="_Toc20868_WPSOffice_Level2"/>
      <w:r>
        <w:rPr>
          <w:rFonts w:hint="eastAsia" w:ascii="宋体" w:hAnsi="宋体" w:eastAsia="宋体" w:cs="宋体"/>
          <w:sz w:val="28"/>
          <w:szCs w:val="36"/>
          <w:lang w:val="en-US" w:eastAsia="zh-CN"/>
        </w:rPr>
        <w:t>1.2.4技术规范</w:t>
      </w:r>
      <w:bookmarkEnd w:id="41"/>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（1）《污染场地术语》（HJ682-2014）；</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（2）《建设用地土壤污染状况调查技术导则》（HJ25.1-2019）；</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（3）《建设用地土壤污染风险管控和修复监测技术导则》（HJ25.2-2019）；</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（4）《建设用地土壤污染风险评估技术导则》（HJ25.3-2019）；</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（5）《地下水环境监测技术规范》（HJ164－2020)；</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（6）《土壤环境监测技术规范》（HJ/T166-2004）；</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（7）《排污单位自行监测技术指南总则》（HJ819-2017）；</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（8）《土壤环境质量建设用地土壤污染风险管控标准（试行）》（GB36600-2018）；</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（9）《地下水质量标准》（GB/T14848-2017）；</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（10）《在产企业土壤及地下水自行监测技术指南》（征求意见稿）。</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（11）《工业企业土壤和地下水自行监测技术指南（试行）》（HJ1209—2021）；</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（12）《场地环境调查技术指导》（HJ25.1-2019）；</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（13）《场地环境监测技术导则》（HJ25.2-2019）。</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1.4.3收集资料</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1）《河南省环境保护厅关于河南省中威春雨植物营养有限公司年产20吨复硝酚钠和200吨萘乙酸钠、200吨胺鲜酯及9580吨农药制剂及水溶肥迁建项目环境影响报告书的批复》批复文号：豫环审〔2017〕171号，2017年9月13日。</w:t>
      </w:r>
    </w:p>
    <w:p>
      <w:pPr>
        <w:bidi w:val="0"/>
        <w:spacing w:line="360" w:lineRule="auto"/>
        <w:ind w:firstLine="560" w:firstLineChars="200"/>
        <w:rPr>
          <w:rFonts w:hint="default" w:ascii="宋体" w:hAnsi="宋体" w:eastAsia="宋体" w:cs="宋体"/>
          <w:sz w:val="28"/>
          <w:szCs w:val="36"/>
          <w:lang w:val="en-US" w:eastAsia="zh-CN"/>
        </w:rPr>
      </w:pPr>
      <w:r>
        <w:rPr>
          <w:rFonts w:hint="eastAsia" w:ascii="宋体" w:hAnsi="宋体" w:eastAsia="宋体" w:cs="宋体"/>
          <w:sz w:val="28"/>
          <w:szCs w:val="36"/>
          <w:lang w:val="en-US" w:eastAsia="zh-CN"/>
        </w:rPr>
        <w:t>（2）河南省中威春雨植物营养有限公司年产20吨复硝酚钠和200吨萘乙酸钠、200吨胺鲜酯及9580吨农药制剂及水溶肥迁建项目（第一阶段）自主竣工环境保护验收，2022年7月10日。</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（3）河南省中威春雨植物营养有限公司排污许可证（91411222MA40G05Y1B001P）。</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（4）现场勘察及企业提供的其他相关资料。</w:t>
      </w:r>
    </w:p>
    <w:p>
      <w:pPr>
        <w:pStyle w:val="3"/>
        <w:outlineLvl w:val="1"/>
        <w:rPr>
          <w:rFonts w:hint="eastAsia" w:ascii="宋体" w:hAnsi="宋体" w:eastAsia="宋体" w:cs="宋体"/>
          <w:color w:val="auto"/>
          <w:highlight w:val="none"/>
          <w:lang w:val="en-US" w:eastAsia="zh-CN"/>
        </w:rPr>
      </w:pPr>
      <w:bookmarkStart w:id="42" w:name="_Toc18561"/>
      <w:r>
        <w:rPr>
          <w:rFonts w:hint="eastAsia" w:ascii="宋体" w:hAnsi="宋体" w:eastAsia="宋体" w:cs="宋体"/>
          <w:color w:val="auto"/>
          <w:highlight w:val="none"/>
          <w:lang w:val="en-US" w:eastAsia="zh-CN"/>
        </w:rPr>
        <w:t>1.3工作内容及技术路线</w:t>
      </w:r>
      <w:bookmarkEnd w:id="40"/>
      <w:bookmarkEnd w:id="42"/>
    </w:p>
    <w:p>
      <w:pPr>
        <w:bidi w:val="0"/>
        <w:spacing w:line="360" w:lineRule="auto"/>
        <w:ind w:firstLine="560" w:firstLineChars="200"/>
        <w:rPr>
          <w:rFonts w:hint="eastAsia" w:ascii="宋体" w:hAnsi="宋体" w:eastAsia="宋体" w:cs="宋体"/>
          <w:sz w:val="28"/>
          <w:szCs w:val="36"/>
          <w:lang w:val="en-US" w:eastAsia="zh-CN"/>
        </w:rPr>
      </w:pPr>
      <w:bookmarkStart w:id="43" w:name="_Toc21910"/>
      <w:bookmarkStart w:id="44" w:name="_Toc6562"/>
      <w:bookmarkStart w:id="45" w:name="_Toc26988"/>
      <w:bookmarkStart w:id="46" w:name="_Toc28139"/>
      <w:r>
        <w:rPr>
          <w:rFonts w:hint="eastAsia" w:ascii="宋体" w:hAnsi="宋体" w:eastAsia="宋体" w:cs="宋体"/>
          <w:sz w:val="28"/>
          <w:szCs w:val="36"/>
          <w:lang w:val="en-US" w:eastAsia="zh-CN"/>
        </w:rPr>
        <w:t>本次监测范围为企业厂区范围内的土壤。主要工作内容如下：场地历史资料收集和初步整理、现场踏勘和人员访谈、工作方案编制、样品采集分析测试、综合研究分析与报告编制。</w:t>
      </w:r>
      <w:bookmarkEnd w:id="43"/>
      <w:bookmarkEnd w:id="44"/>
      <w:bookmarkEnd w:id="45"/>
      <w:bookmarkEnd w:id="46"/>
    </w:p>
    <w:p>
      <w:pPr>
        <w:bidi w:val="0"/>
        <w:spacing w:line="360" w:lineRule="auto"/>
        <w:ind w:firstLine="560" w:firstLineChars="200"/>
        <w:rPr>
          <w:rFonts w:hint="eastAsia" w:ascii="宋体" w:hAnsi="宋体" w:eastAsia="宋体" w:cs="宋体"/>
          <w:sz w:val="28"/>
          <w:szCs w:val="36"/>
          <w:lang w:val="en-US" w:eastAsia="zh-CN"/>
        </w:rPr>
      </w:pPr>
      <w:bookmarkStart w:id="47" w:name="_Toc18438"/>
      <w:bookmarkStart w:id="48" w:name="_Toc26167"/>
      <w:bookmarkStart w:id="49" w:name="_Toc27595"/>
      <w:bookmarkStart w:id="50" w:name="_Toc24316"/>
      <w:r>
        <w:rPr>
          <w:rFonts w:hint="eastAsia" w:ascii="宋体" w:hAnsi="宋体" w:eastAsia="宋体" w:cs="宋体"/>
          <w:sz w:val="28"/>
          <w:szCs w:val="36"/>
          <w:lang w:val="en-US" w:eastAsia="zh-CN"/>
        </w:rPr>
        <w:t>企业资料收集和初步整理：通过多种渠道和方式收集企业资料并整理，根据企业生产经营资料对企业土壤进行初步研判。收集地块周边环境资料，尤其是土壤和周围水环境的历史资料信息，初步判断存在土壤污染隐患重点区域。</w:t>
      </w:r>
      <w:bookmarkEnd w:id="47"/>
      <w:bookmarkEnd w:id="48"/>
      <w:bookmarkEnd w:id="49"/>
      <w:bookmarkEnd w:id="50"/>
    </w:p>
    <w:p>
      <w:pPr>
        <w:bidi w:val="0"/>
        <w:spacing w:line="360" w:lineRule="auto"/>
        <w:ind w:firstLine="560" w:firstLineChars="200"/>
        <w:rPr>
          <w:rFonts w:hint="eastAsia" w:ascii="宋体" w:hAnsi="宋体" w:eastAsia="宋体" w:cs="宋体"/>
          <w:sz w:val="28"/>
          <w:szCs w:val="36"/>
          <w:lang w:val="en-US" w:eastAsia="zh-CN"/>
        </w:rPr>
      </w:pPr>
      <w:bookmarkStart w:id="51" w:name="_Toc20285"/>
      <w:bookmarkStart w:id="52" w:name="_Toc25966"/>
      <w:bookmarkStart w:id="53" w:name="_Toc22343"/>
      <w:bookmarkStart w:id="54" w:name="_Toc15315"/>
      <w:r>
        <w:rPr>
          <w:rFonts w:hint="eastAsia" w:ascii="宋体" w:hAnsi="宋体" w:eastAsia="宋体" w:cs="宋体"/>
          <w:sz w:val="28"/>
          <w:szCs w:val="36"/>
          <w:lang w:val="en-US" w:eastAsia="zh-CN"/>
        </w:rPr>
        <w:t>现场踏勘：实地踏勘场地时，利用激光测距仪测量场地距离，用GPS对企业地块进行精准定位，生产环境进行拍照记录。</w:t>
      </w:r>
      <w:bookmarkEnd w:id="51"/>
      <w:bookmarkEnd w:id="52"/>
      <w:bookmarkEnd w:id="53"/>
      <w:bookmarkEnd w:id="54"/>
    </w:p>
    <w:p>
      <w:pPr>
        <w:bidi w:val="0"/>
        <w:spacing w:line="360" w:lineRule="auto"/>
        <w:ind w:firstLine="560" w:firstLineChars="200"/>
        <w:rPr>
          <w:rFonts w:hint="eastAsia" w:ascii="宋体" w:hAnsi="宋体" w:eastAsia="宋体" w:cs="宋体"/>
          <w:sz w:val="28"/>
          <w:szCs w:val="36"/>
          <w:lang w:val="en-US" w:eastAsia="zh-CN"/>
        </w:rPr>
      </w:pPr>
      <w:bookmarkStart w:id="55" w:name="_Toc25848"/>
      <w:bookmarkStart w:id="56" w:name="_Toc6135"/>
      <w:bookmarkStart w:id="57" w:name="_Toc9347"/>
      <w:bookmarkStart w:id="58" w:name="_Toc32054"/>
      <w:r>
        <w:rPr>
          <w:rFonts w:hint="eastAsia" w:ascii="宋体" w:hAnsi="宋体" w:eastAsia="宋体" w:cs="宋体"/>
          <w:sz w:val="28"/>
          <w:szCs w:val="36"/>
          <w:lang w:val="en-US" w:eastAsia="zh-CN"/>
        </w:rPr>
        <w:t>人员访谈：对企业工作人员和管理领导人员等进行访谈，对资料收集和现场踏勘所涉及的疑问，以及信息补充和已有资料的考证。</w:t>
      </w:r>
      <w:bookmarkEnd w:id="55"/>
      <w:bookmarkEnd w:id="56"/>
      <w:bookmarkEnd w:id="57"/>
      <w:bookmarkEnd w:id="58"/>
    </w:p>
    <w:p>
      <w:pPr>
        <w:bidi w:val="0"/>
        <w:spacing w:line="360" w:lineRule="auto"/>
        <w:ind w:firstLine="560" w:firstLineChars="200"/>
        <w:rPr>
          <w:rFonts w:hint="eastAsia" w:ascii="宋体" w:hAnsi="宋体" w:eastAsia="宋体" w:cs="宋体"/>
          <w:sz w:val="28"/>
          <w:szCs w:val="36"/>
          <w:lang w:val="en-US" w:eastAsia="zh-CN"/>
        </w:rPr>
      </w:pPr>
      <w:bookmarkStart w:id="59" w:name="_Toc31665"/>
      <w:bookmarkStart w:id="60" w:name="_Toc10334"/>
      <w:bookmarkStart w:id="61" w:name="_Toc3653"/>
      <w:bookmarkStart w:id="62" w:name="_Toc15813"/>
      <w:r>
        <w:rPr>
          <w:rFonts w:hint="eastAsia" w:ascii="宋体" w:hAnsi="宋体" w:eastAsia="宋体" w:cs="宋体"/>
          <w:sz w:val="28"/>
          <w:szCs w:val="36"/>
          <w:lang w:val="en-US" w:eastAsia="zh-CN"/>
        </w:rPr>
        <w:t>排查重点场所及重点设施设备：对收集的资料以及现场踏勘，识别可能存在土壤和地下水环境污染隐患的场所、设施及设备。</w:t>
      </w:r>
      <w:bookmarkEnd w:id="59"/>
      <w:bookmarkEnd w:id="60"/>
      <w:bookmarkEnd w:id="61"/>
      <w:bookmarkEnd w:id="62"/>
    </w:p>
    <w:p>
      <w:pPr>
        <w:bidi w:val="0"/>
        <w:spacing w:line="360" w:lineRule="auto"/>
        <w:ind w:firstLine="560" w:firstLineChars="200"/>
        <w:rPr>
          <w:rFonts w:hint="eastAsia" w:ascii="宋体" w:hAnsi="宋体" w:eastAsia="宋体" w:cs="宋体"/>
          <w:sz w:val="28"/>
          <w:szCs w:val="36"/>
          <w:lang w:val="en-US" w:eastAsia="zh-CN"/>
        </w:rPr>
      </w:pPr>
      <w:bookmarkStart w:id="63" w:name="_Toc30496"/>
      <w:bookmarkStart w:id="64" w:name="_Toc19730"/>
      <w:bookmarkStart w:id="65" w:name="_Toc4500"/>
      <w:r>
        <w:rPr>
          <w:rFonts w:hint="eastAsia" w:ascii="宋体" w:hAnsi="宋体" w:eastAsia="宋体" w:cs="宋体"/>
          <w:sz w:val="28"/>
          <w:szCs w:val="36"/>
          <w:lang w:val="en-US" w:eastAsia="zh-CN"/>
        </w:rPr>
        <w:t>确定重点监测单元：根据调查结果进行分析、评价和总结，参考《重点监管单位土壤污染隐患排查指南（试行）》确定重点场所和设备，并根据《工业企业土壤和地下水自行监测技术指南（试行）》HJ1209-2021。划分重点监测单元风险级别。现场工作方案编制：依据重点监测单元风险级别、场地历史资料、现场踏勘及人员访谈成果，编制自行监测工作方案。</w:t>
      </w:r>
      <w:bookmarkEnd w:id="63"/>
      <w:bookmarkEnd w:id="64"/>
      <w:bookmarkEnd w:id="65"/>
    </w:p>
    <w:p>
      <w:pPr>
        <w:bidi w:val="0"/>
        <w:spacing w:line="360" w:lineRule="auto"/>
        <w:ind w:firstLine="560" w:firstLineChars="200"/>
        <w:rPr>
          <w:rFonts w:hint="eastAsia" w:ascii="宋体" w:hAnsi="宋体" w:eastAsia="宋体" w:cs="宋体"/>
          <w:sz w:val="28"/>
          <w:szCs w:val="36"/>
          <w:lang w:val="en-US" w:eastAsia="zh-CN"/>
        </w:rPr>
      </w:pPr>
      <w:bookmarkStart w:id="66" w:name="_Toc13667"/>
      <w:bookmarkStart w:id="67" w:name="_Toc2370"/>
      <w:bookmarkStart w:id="68" w:name="_Toc6668"/>
      <w:bookmarkStart w:id="69" w:name="_Toc32666"/>
      <w:r>
        <w:rPr>
          <w:rFonts w:hint="eastAsia" w:ascii="宋体" w:hAnsi="宋体" w:eastAsia="宋体" w:cs="宋体"/>
          <w:sz w:val="28"/>
          <w:szCs w:val="36"/>
          <w:lang w:val="en-US" w:eastAsia="zh-CN"/>
        </w:rPr>
        <w:t>现场采样和实验室分析：现场采样前如缺少土壤和地下水监测设施，需按相关技术标准提前进行建设，满足现场监测或采样条件后方可开始进行样品的采集。样品的采集和实验室检测分析，整理调查信息和检测结果，评估检测数据的质量，分析数据的有效性和充分性。根据土壤检测结果进行统计分析，确定地块关注污染物种类、浓度水平和空间分布，确认所监测重点设施或重点区域是否超过国家规定的限值标准。</w:t>
      </w:r>
      <w:bookmarkEnd w:id="66"/>
      <w:bookmarkEnd w:id="67"/>
      <w:bookmarkEnd w:id="68"/>
      <w:bookmarkEnd w:id="69"/>
    </w:p>
    <w:p>
      <w:pPr>
        <w:bidi w:val="0"/>
        <w:spacing w:line="360" w:lineRule="auto"/>
        <w:ind w:firstLine="560" w:firstLineChars="200"/>
        <w:rPr>
          <w:rFonts w:hint="eastAsia" w:ascii="宋体" w:hAnsi="宋体" w:eastAsia="宋体" w:cs="宋体"/>
          <w:sz w:val="28"/>
          <w:szCs w:val="36"/>
          <w:lang w:val="en-US" w:eastAsia="zh-CN"/>
        </w:rPr>
      </w:pPr>
      <w:bookmarkStart w:id="70" w:name="_Toc6043"/>
      <w:bookmarkStart w:id="71" w:name="_Toc12503"/>
      <w:bookmarkStart w:id="72" w:name="_Toc27666"/>
      <w:bookmarkStart w:id="73" w:name="_Toc24444"/>
      <w:r>
        <w:rPr>
          <w:rFonts w:hint="eastAsia" w:ascii="宋体" w:hAnsi="宋体" w:eastAsia="宋体" w:cs="宋体"/>
          <w:sz w:val="28"/>
          <w:szCs w:val="36"/>
          <w:lang w:val="en-US" w:eastAsia="zh-CN"/>
        </w:rPr>
        <w:t>报告编制：编写本次自行监测方案，包括描述任务来源及依据、现场工作情况、企业污染源概况、监测布点情况、样品采集分析测试要求等内容。</w:t>
      </w:r>
      <w:bookmarkEnd w:id="70"/>
      <w:bookmarkEnd w:id="71"/>
      <w:bookmarkEnd w:id="72"/>
      <w:bookmarkEnd w:id="73"/>
    </w:p>
    <w:p>
      <w:pPr>
        <w:bidi w:val="0"/>
        <w:spacing w:line="360" w:lineRule="auto"/>
        <w:ind w:firstLine="560" w:firstLineChars="200"/>
        <w:rPr>
          <w:rFonts w:hint="eastAsia" w:ascii="宋体" w:hAnsi="宋体" w:eastAsia="宋体" w:cs="宋体"/>
          <w:sz w:val="28"/>
          <w:szCs w:val="36"/>
          <w:lang w:val="en-US" w:eastAsia="zh-CN"/>
        </w:rPr>
      </w:pPr>
      <w:bookmarkStart w:id="74" w:name="_Toc3675"/>
      <w:bookmarkStart w:id="75" w:name="_Toc5079"/>
      <w:bookmarkStart w:id="76" w:name="_Toc3794"/>
      <w:bookmarkStart w:id="77" w:name="_Toc19514"/>
      <w:r>
        <w:rPr>
          <w:rFonts w:hint="eastAsia" w:ascii="宋体" w:hAnsi="宋体" w:eastAsia="宋体" w:cs="宋体"/>
          <w:sz w:val="28"/>
          <w:szCs w:val="36"/>
          <w:lang w:val="en-US" w:eastAsia="zh-CN"/>
        </w:rPr>
        <w:t>自行监测技术路线序流程图如下图1-1。</w:t>
      </w:r>
      <w:bookmarkEnd w:id="74"/>
      <w:bookmarkEnd w:id="75"/>
      <w:bookmarkEnd w:id="76"/>
      <w:bookmarkEnd w:id="77"/>
    </w:p>
    <w:p>
      <w:pPr>
        <w:bidi w:val="0"/>
        <w:spacing w:line="240" w:lineRule="auto"/>
        <w:jc w:val="both"/>
        <w:outlineLvl w:val="9"/>
        <w:rPr>
          <w:rFonts w:hint="eastAsia" w:ascii="宋体" w:hAnsi="宋体" w:eastAsia="宋体" w:cs="宋体"/>
          <w:b w:val="0"/>
          <w:bCs w:val="0"/>
          <w:color w:val="auto"/>
          <w:kern w:val="2"/>
          <w:sz w:val="28"/>
          <w:szCs w:val="24"/>
          <w:highlight w:val="none"/>
          <w:lang w:val="en-US" w:eastAsia="zh-CN" w:bidi="ar-SA"/>
        </w:rPr>
      </w:pPr>
      <w:bookmarkStart w:id="78" w:name="_Toc17410"/>
      <w:bookmarkStart w:id="79" w:name="_Toc11213"/>
      <w:bookmarkStart w:id="80" w:name="_Toc14701"/>
      <w:r>
        <w:rPr>
          <w:rFonts w:hint="eastAsia" w:ascii="宋体" w:hAnsi="宋体" w:eastAsia="宋体" w:cs="宋体"/>
          <w:b w:val="0"/>
          <w:bCs w:val="0"/>
          <w:color w:val="auto"/>
          <w:kern w:val="2"/>
          <w:sz w:val="28"/>
          <w:szCs w:val="24"/>
          <w:highlight w:val="none"/>
          <w:lang w:val="en-US" w:eastAsia="zh-CN" w:bidi="ar-SA"/>
        </w:rPr>
        <w:drawing>
          <wp:inline distT="0" distB="0" distL="114300" distR="114300">
            <wp:extent cx="5272405" cy="6204585"/>
            <wp:effectExtent l="0" t="0" r="10795" b="5715"/>
            <wp:docPr id="97" name="图片 9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图片1"/>
                    <pic:cNvPicPr>
                      <a:picLocks noChangeAspect="1"/>
                    </pic:cNvPicPr>
                  </pic:nvPicPr>
                  <pic:blipFill>
                    <a:blip r:embed="rId15"/>
                    <a:stretch>
                      <a:fillRect/>
                    </a:stretch>
                  </pic:blipFill>
                  <pic:spPr>
                    <a:xfrm>
                      <a:off x="0" y="0"/>
                      <a:ext cx="5272405" cy="6204585"/>
                    </a:xfrm>
                    <a:prstGeom prst="rect">
                      <a:avLst/>
                    </a:prstGeom>
                  </pic:spPr>
                </pic:pic>
              </a:graphicData>
            </a:graphic>
          </wp:inline>
        </w:drawing>
      </w:r>
    </w:p>
    <w:p>
      <w:pPr>
        <w:bidi w:val="0"/>
        <w:jc w:val="center"/>
        <w:outlineLvl w:val="9"/>
        <w:rPr>
          <w:rFonts w:hint="eastAsia" w:ascii="宋体" w:hAnsi="宋体" w:eastAsia="宋体" w:cs="宋体"/>
          <w:b w:val="0"/>
          <w:bCs w:val="0"/>
          <w:color w:val="auto"/>
          <w:kern w:val="2"/>
          <w:sz w:val="28"/>
          <w:szCs w:val="24"/>
          <w:highlight w:val="none"/>
          <w:lang w:val="en-US" w:eastAsia="zh-CN" w:bidi="ar-SA"/>
        </w:rPr>
      </w:pPr>
      <w:bookmarkStart w:id="81" w:name="_Toc17832"/>
      <w:r>
        <w:rPr>
          <w:rFonts w:hint="eastAsia" w:ascii="宋体" w:hAnsi="宋体" w:eastAsia="宋体" w:cs="宋体"/>
          <w:b w:val="0"/>
          <w:bCs w:val="0"/>
          <w:color w:val="auto"/>
          <w:kern w:val="2"/>
          <w:sz w:val="28"/>
          <w:szCs w:val="24"/>
          <w:highlight w:val="none"/>
          <w:lang w:val="en-US" w:eastAsia="zh-CN" w:bidi="ar-SA"/>
        </w:rPr>
        <w:t>图1-1 自行监测工作步骤</w:t>
      </w:r>
      <w:bookmarkEnd w:id="78"/>
      <w:bookmarkEnd w:id="79"/>
      <w:bookmarkEnd w:id="80"/>
      <w:bookmarkEnd w:id="81"/>
    </w:p>
    <w:p>
      <w:pPr>
        <w:pStyle w:val="2"/>
        <w:bidi w:val="0"/>
        <w:rPr>
          <w:rFonts w:hint="eastAsia" w:ascii="宋体" w:hAnsi="宋体" w:eastAsia="宋体" w:cs="宋体"/>
          <w:color w:val="auto"/>
          <w:highlight w:val="none"/>
          <w:lang w:val="en-US" w:eastAsia="zh-CN"/>
        </w:rPr>
      </w:pPr>
      <w:bookmarkStart w:id="82" w:name="_Toc7883"/>
      <w:bookmarkStart w:id="83" w:name="_Toc32599"/>
      <w:r>
        <w:rPr>
          <w:rFonts w:hint="eastAsia" w:ascii="宋体" w:hAnsi="宋体" w:eastAsia="宋体" w:cs="宋体"/>
          <w:color w:val="auto"/>
          <w:highlight w:val="none"/>
          <w:lang w:val="en-US" w:eastAsia="zh-CN"/>
        </w:rPr>
        <w:t>2.企业概况</w:t>
      </w:r>
      <w:bookmarkEnd w:id="82"/>
      <w:bookmarkEnd w:id="83"/>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根据收集到的资料，企业情况概括如下：</w:t>
      </w:r>
    </w:p>
    <w:p>
      <w:pPr>
        <w:pStyle w:val="3"/>
        <w:bidi w:val="0"/>
        <w:rPr>
          <w:rFonts w:hint="eastAsia" w:ascii="宋体" w:hAnsi="宋体" w:eastAsia="宋体" w:cs="宋体"/>
          <w:color w:val="auto"/>
          <w:highlight w:val="none"/>
          <w:lang w:val="en-US" w:eastAsia="zh-CN"/>
        </w:rPr>
      </w:pPr>
      <w:bookmarkStart w:id="84" w:name="_Toc2834"/>
      <w:bookmarkStart w:id="85" w:name="_Toc195"/>
      <w:r>
        <w:rPr>
          <w:rFonts w:hint="eastAsia" w:ascii="宋体" w:hAnsi="宋体" w:eastAsia="宋体" w:cs="宋体"/>
          <w:color w:val="auto"/>
          <w:highlight w:val="none"/>
          <w:lang w:val="en-US" w:eastAsia="zh-CN"/>
        </w:rPr>
        <w:t>2.1企业基本情况</w:t>
      </w:r>
      <w:bookmarkEnd w:id="84"/>
      <w:bookmarkEnd w:id="85"/>
    </w:p>
    <w:p>
      <w:pPr>
        <w:pageBreakBefore w:val="0"/>
        <w:kinsoku/>
        <w:wordWrap/>
        <w:overflowPunct/>
        <w:topLinePunct w:val="0"/>
        <w:bidi w:val="0"/>
        <w:spacing w:line="360" w:lineRule="auto"/>
        <w:ind w:left="0" w:leftChars="0" w:right="0" w:firstLine="483"/>
        <w:rPr>
          <w:rFonts w:hint="eastAsia" w:ascii="宋体" w:hAnsi="宋体" w:eastAsia="宋体" w:cs="宋体"/>
          <w:color w:val="auto"/>
          <w:spacing w:val="0"/>
          <w:sz w:val="28"/>
          <w:szCs w:val="28"/>
          <w:highlight w:val="none"/>
          <w:u w:val="none"/>
          <w:lang w:val="en-US" w:eastAsia="zh-CN"/>
        </w:rPr>
      </w:pPr>
      <w:r>
        <w:rPr>
          <w:rFonts w:hint="eastAsia" w:ascii="宋体" w:hAnsi="宋体" w:eastAsia="宋体" w:cs="宋体"/>
          <w:color w:val="auto"/>
          <w:spacing w:val="0"/>
          <w:sz w:val="28"/>
          <w:szCs w:val="28"/>
          <w:highlight w:val="none"/>
          <w:u w:val="none"/>
          <w:lang w:val="en-US" w:eastAsia="zh-CN"/>
        </w:rPr>
        <w:t>河南省中威春雨植物营养有限公司成立于1997年，是国家工信部定点农药生产企业，省级高新技术企业，致力于“植物营养剂”和“植物保健品”的研发和生产。公司现有工程为“年产1810吨农药复配、20吨复硝酚钠项目”，位于中牟县商都大道西段，为响应郑汴一体化发展，公司投资15000万元，在三门峡陕州区先进制造业开发区（原陕州区产业集聚区）</w:t>
      </w:r>
      <w:r>
        <w:rPr>
          <w:rFonts w:hint="eastAsia" w:ascii="宋体" w:hAnsi="宋体" w:cs="宋体"/>
          <w:color w:val="auto"/>
          <w:spacing w:val="0"/>
          <w:sz w:val="28"/>
          <w:szCs w:val="28"/>
          <w:highlight w:val="none"/>
          <w:u w:val="none"/>
          <w:lang w:val="en-US" w:eastAsia="zh-CN"/>
        </w:rPr>
        <w:t>，</w:t>
      </w:r>
      <w:r>
        <w:rPr>
          <w:rFonts w:hint="eastAsia" w:ascii="宋体" w:hAnsi="宋体" w:eastAsia="宋体" w:cs="宋体"/>
          <w:color w:val="auto"/>
          <w:spacing w:val="0"/>
          <w:sz w:val="28"/>
          <w:szCs w:val="28"/>
          <w:highlight w:val="none"/>
          <w:u w:val="none"/>
          <w:lang w:val="en-US" w:eastAsia="zh-CN"/>
        </w:rPr>
        <w:t>建设</w:t>
      </w:r>
      <w:r>
        <w:rPr>
          <w:rFonts w:hint="eastAsia" w:ascii="宋体" w:hAnsi="宋体" w:cs="宋体"/>
          <w:color w:val="auto"/>
          <w:spacing w:val="0"/>
          <w:sz w:val="28"/>
          <w:szCs w:val="28"/>
          <w:highlight w:val="none"/>
          <w:u w:val="none"/>
          <w:lang w:val="en-US" w:eastAsia="zh-CN"/>
        </w:rPr>
        <w:t>了</w:t>
      </w:r>
      <w:r>
        <w:rPr>
          <w:rFonts w:hint="eastAsia" w:ascii="宋体" w:hAnsi="宋体" w:eastAsia="宋体" w:cs="宋体"/>
          <w:color w:val="auto"/>
          <w:spacing w:val="0"/>
          <w:sz w:val="28"/>
          <w:szCs w:val="28"/>
          <w:highlight w:val="none"/>
          <w:u w:val="none"/>
          <w:lang w:val="en-US" w:eastAsia="zh-CN"/>
        </w:rPr>
        <w:t>“年产20吨复硝酚钠和200吨萘乙酸钠、200吨胺鲜酯及9580吨农药制剂及水溶肥迁建项目”。</w:t>
      </w:r>
    </w:p>
    <w:p>
      <w:pPr>
        <w:pageBreakBefore w:val="0"/>
        <w:kinsoku/>
        <w:wordWrap/>
        <w:overflowPunct/>
        <w:topLinePunct w:val="0"/>
        <w:bidi w:val="0"/>
        <w:spacing w:line="360" w:lineRule="auto"/>
        <w:ind w:left="0" w:leftChars="0" w:right="0" w:firstLine="483"/>
        <w:rPr>
          <w:rFonts w:hint="eastAsia" w:ascii="宋体" w:hAnsi="宋体" w:cs="宋体"/>
          <w:color w:val="auto"/>
          <w:spacing w:val="0"/>
          <w:sz w:val="28"/>
          <w:szCs w:val="28"/>
          <w:highlight w:val="none"/>
          <w:u w:val="none"/>
          <w:lang w:val="en-US" w:eastAsia="zh-CN"/>
        </w:rPr>
      </w:pPr>
      <w:r>
        <w:rPr>
          <w:rFonts w:hint="eastAsia" w:ascii="宋体" w:hAnsi="宋体" w:eastAsia="宋体" w:cs="宋体"/>
          <w:color w:val="auto"/>
          <w:spacing w:val="0"/>
          <w:sz w:val="28"/>
          <w:szCs w:val="28"/>
          <w:highlight w:val="none"/>
          <w:u w:val="none"/>
          <w:lang w:val="en-US" w:eastAsia="zh-CN"/>
        </w:rPr>
        <w:t>本项目主要</w:t>
      </w:r>
      <w:r>
        <w:rPr>
          <w:rFonts w:hint="eastAsia" w:ascii="宋体" w:hAnsi="宋体" w:cs="宋体"/>
          <w:color w:val="auto"/>
          <w:spacing w:val="0"/>
          <w:sz w:val="28"/>
          <w:szCs w:val="28"/>
          <w:highlight w:val="none"/>
          <w:u w:val="none"/>
          <w:lang w:val="en-US" w:eastAsia="zh-CN"/>
        </w:rPr>
        <w:t>建设了</w:t>
      </w:r>
      <w:r>
        <w:rPr>
          <w:rFonts w:hint="eastAsia" w:ascii="宋体" w:hAnsi="宋体" w:eastAsia="宋体" w:cs="宋体"/>
          <w:color w:val="auto"/>
          <w:spacing w:val="0"/>
          <w:sz w:val="28"/>
          <w:szCs w:val="28"/>
          <w:highlight w:val="none"/>
          <w:u w:val="none"/>
          <w:lang w:val="en-US" w:eastAsia="zh-CN"/>
        </w:rPr>
        <w:t>粉剂车间、水剂车间、合成车间、乳油车间及附属配套的仓库、综合楼、研发楼、实验田、危废暂存间、污水处理站等；主要产品为年产20吨复硝酚钠和200吨萘乙酸钠、200吨胺鲜酯及9580吨农药制剂、2500吨液体水溶肥和2280吨固体颗粒水溶肥。</w:t>
      </w:r>
    </w:p>
    <w:p>
      <w:pPr>
        <w:autoSpaceDE w:val="0"/>
        <w:adjustRightInd w:val="0"/>
        <w:snapToGrid w:val="0"/>
        <w:ind w:firstLine="560" w:firstLineChars="200"/>
        <w:jc w:val="both"/>
        <w:rPr>
          <w:rFonts w:hint="eastAsia" w:ascii="宋体" w:hAnsi="宋体" w:eastAsia="宋体" w:cs="宋体"/>
          <w:b w:val="0"/>
          <w:bCs w:val="0"/>
          <w:color w:val="auto"/>
          <w:kern w:val="2"/>
          <w:sz w:val="28"/>
          <w:szCs w:val="24"/>
          <w:highlight w:val="none"/>
          <w:lang w:val="en-US" w:eastAsia="zh-CN" w:bidi="ar-SA"/>
        </w:rPr>
      </w:pPr>
      <w:r>
        <w:rPr>
          <w:rFonts w:hint="eastAsia" w:ascii="宋体" w:hAnsi="宋体" w:eastAsia="宋体" w:cs="宋体"/>
          <w:b w:val="0"/>
          <w:bCs w:val="0"/>
          <w:color w:val="auto"/>
          <w:kern w:val="2"/>
          <w:sz w:val="28"/>
          <w:szCs w:val="24"/>
          <w:highlight w:val="none"/>
          <w:lang w:val="en-US" w:eastAsia="zh-CN" w:bidi="ar-SA"/>
        </w:rPr>
        <w:t>企业基本信息见表2-1。</w:t>
      </w:r>
    </w:p>
    <w:p>
      <w:pPr>
        <w:widowControl/>
        <w:tabs>
          <w:tab w:val="left" w:pos="2278"/>
        </w:tabs>
        <w:spacing w:line="540" w:lineRule="exact"/>
        <w:ind w:firstLine="482" w:firstLineChars="200"/>
        <w:jc w:val="center"/>
        <w:rPr>
          <w:rFonts w:hint="eastAsia" w:ascii="宋体" w:hAnsi="宋体" w:eastAsia="宋体" w:cs="宋体"/>
          <w:b/>
          <w:bCs/>
          <w:sz w:val="24"/>
          <w:szCs w:val="24"/>
        </w:rPr>
      </w:pPr>
      <w:r>
        <w:rPr>
          <w:rFonts w:hint="eastAsia" w:ascii="宋体" w:hAnsi="宋体" w:eastAsia="宋体" w:cs="宋体"/>
          <w:b/>
          <w:bCs/>
          <w:sz w:val="24"/>
          <w:szCs w:val="24"/>
        </w:rPr>
        <w:t>表2-1企业基本信息表</w:t>
      </w:r>
    </w:p>
    <w:tbl>
      <w:tblPr>
        <w:tblStyle w:val="44"/>
        <w:tblW w:w="837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1"/>
        <w:gridCol w:w="2365"/>
        <w:gridCol w:w="52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741"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bCs/>
                <w:color w:val="auto"/>
                <w:spacing w:val="0"/>
                <w:kern w:val="2"/>
                <w:sz w:val="28"/>
                <w:szCs w:val="28"/>
                <w:highlight w:val="none"/>
                <w:u w:val="none"/>
                <w:lang w:val="en-US" w:eastAsia="zh-CN" w:bidi="ar-SA"/>
              </w:rPr>
            </w:pPr>
            <w:bookmarkStart w:id="86" w:name="_Toc5896"/>
            <w:r>
              <w:rPr>
                <w:rFonts w:hint="eastAsia" w:ascii="宋体" w:hAnsi="宋体" w:eastAsia="宋体" w:cs="宋体"/>
                <w:b/>
                <w:bCs/>
                <w:color w:val="auto"/>
                <w:spacing w:val="0"/>
                <w:kern w:val="2"/>
                <w:sz w:val="28"/>
                <w:szCs w:val="28"/>
                <w:highlight w:val="none"/>
                <w:u w:val="none"/>
                <w:lang w:val="en-US" w:eastAsia="zh-CN" w:bidi="ar-SA"/>
              </w:rPr>
              <w:t>序号</w:t>
            </w:r>
          </w:p>
        </w:tc>
        <w:tc>
          <w:tcPr>
            <w:tcW w:w="2365"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bCs/>
                <w:color w:val="auto"/>
                <w:spacing w:val="0"/>
                <w:kern w:val="2"/>
                <w:sz w:val="28"/>
                <w:szCs w:val="28"/>
                <w:highlight w:val="none"/>
                <w:u w:val="none"/>
                <w:lang w:val="en-US" w:eastAsia="zh-CN" w:bidi="ar-SA"/>
              </w:rPr>
            </w:pPr>
            <w:r>
              <w:rPr>
                <w:rFonts w:hint="eastAsia" w:ascii="宋体" w:hAnsi="宋体" w:eastAsia="宋体" w:cs="宋体"/>
                <w:b/>
                <w:bCs/>
                <w:color w:val="auto"/>
                <w:spacing w:val="0"/>
                <w:kern w:val="2"/>
                <w:sz w:val="28"/>
                <w:szCs w:val="28"/>
                <w:highlight w:val="none"/>
                <w:u w:val="none"/>
                <w:lang w:val="en-US" w:eastAsia="zh-CN" w:bidi="ar-SA"/>
              </w:rPr>
              <w:t>项目</w:t>
            </w:r>
          </w:p>
        </w:tc>
        <w:tc>
          <w:tcPr>
            <w:tcW w:w="5266"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bCs/>
                <w:color w:val="auto"/>
                <w:spacing w:val="0"/>
                <w:kern w:val="2"/>
                <w:sz w:val="28"/>
                <w:szCs w:val="28"/>
                <w:highlight w:val="none"/>
                <w:u w:val="none"/>
                <w:lang w:val="en-US" w:eastAsia="zh-CN" w:bidi="ar-SA"/>
              </w:rPr>
            </w:pPr>
            <w:r>
              <w:rPr>
                <w:rFonts w:hint="eastAsia" w:ascii="宋体" w:hAnsi="宋体" w:eastAsia="宋体" w:cs="宋体"/>
                <w:b/>
                <w:bCs/>
                <w:color w:val="auto"/>
                <w:spacing w:val="0"/>
                <w:kern w:val="2"/>
                <w:sz w:val="28"/>
                <w:szCs w:val="28"/>
                <w:highlight w:val="none"/>
                <w:u w:val="none"/>
                <w:lang w:val="en-US" w:eastAsia="zh-CN" w:bidi="ar-SA"/>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2365"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建设单位</w:t>
            </w:r>
          </w:p>
        </w:tc>
        <w:tc>
          <w:tcPr>
            <w:tcW w:w="5266"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河南省中威春雨植物营养有限公司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3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2365"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项目名称</w:t>
            </w:r>
          </w:p>
        </w:tc>
        <w:tc>
          <w:tcPr>
            <w:tcW w:w="5266"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年产20吨复硝酚钠和200吨萘乙酸钠、200吨胺鲜酯及9580吨农药制剂及水溶肥迁建项目（第一阶段）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w:t>
            </w:r>
          </w:p>
        </w:tc>
        <w:tc>
          <w:tcPr>
            <w:tcW w:w="2365"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项目性质</w:t>
            </w:r>
          </w:p>
        </w:tc>
        <w:tc>
          <w:tcPr>
            <w:tcW w:w="5266"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新建（迁建）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w:t>
            </w:r>
          </w:p>
        </w:tc>
        <w:tc>
          <w:tcPr>
            <w:tcW w:w="2365"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建设地点</w:t>
            </w:r>
          </w:p>
        </w:tc>
        <w:tc>
          <w:tcPr>
            <w:tcW w:w="5266"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三门峡陕州区先进制造业开发区</w:t>
            </w:r>
          </w:p>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val="en-US" w:eastAsia="zh-CN"/>
              </w:rPr>
              <w:t>（原</w:t>
            </w:r>
            <w:r>
              <w:rPr>
                <w:rFonts w:hint="eastAsia" w:ascii="宋体" w:hAnsi="宋体" w:eastAsia="宋体" w:cs="宋体"/>
                <w:color w:val="auto"/>
                <w:spacing w:val="0"/>
                <w:sz w:val="24"/>
                <w:szCs w:val="24"/>
                <w:highlight w:val="none"/>
              </w:rPr>
              <w:t>三门峡市陕州区产业集聚区</w:t>
            </w:r>
            <w:r>
              <w:rPr>
                <w:rFonts w:hint="eastAsia" w:ascii="宋体" w:hAnsi="宋体" w:eastAsia="宋体" w:cs="宋体"/>
                <w:color w:val="auto"/>
                <w:spacing w:val="0"/>
                <w:sz w:val="24"/>
                <w:szCs w:val="24"/>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w:t>
            </w:r>
          </w:p>
        </w:tc>
        <w:tc>
          <w:tcPr>
            <w:tcW w:w="2365"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立项文件</w:t>
            </w:r>
          </w:p>
        </w:tc>
        <w:tc>
          <w:tcPr>
            <w:tcW w:w="5266"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项目编码为豫三峡集制造[2016]17865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jc w:val="center"/>
        </w:trPr>
        <w:tc>
          <w:tcPr>
            <w:tcW w:w="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w:t>
            </w:r>
          </w:p>
        </w:tc>
        <w:tc>
          <w:tcPr>
            <w:tcW w:w="2365"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环评报告编制单位及完成时间</w:t>
            </w:r>
          </w:p>
        </w:tc>
        <w:tc>
          <w:tcPr>
            <w:tcW w:w="5266"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河南省化工研究所有限责任公司，2017年7月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jc w:val="center"/>
        </w:trPr>
        <w:tc>
          <w:tcPr>
            <w:tcW w:w="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w:t>
            </w:r>
          </w:p>
        </w:tc>
        <w:tc>
          <w:tcPr>
            <w:tcW w:w="2365"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环评审批部门、时间及文号</w:t>
            </w:r>
          </w:p>
        </w:tc>
        <w:tc>
          <w:tcPr>
            <w:tcW w:w="5266"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河南省生态环境厅（原河南省环境保护厅），2017年9月13日，豫环审〔2017〕171号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w:t>
            </w:r>
          </w:p>
        </w:tc>
        <w:tc>
          <w:tcPr>
            <w:tcW w:w="2365"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项目开工日期</w:t>
            </w:r>
          </w:p>
        </w:tc>
        <w:tc>
          <w:tcPr>
            <w:tcW w:w="5266"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2018年6月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9</w:t>
            </w:r>
          </w:p>
        </w:tc>
        <w:tc>
          <w:tcPr>
            <w:tcW w:w="2365"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项目竣工日期</w:t>
            </w:r>
          </w:p>
        </w:tc>
        <w:tc>
          <w:tcPr>
            <w:tcW w:w="5266"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2021年10月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w:t>
            </w:r>
          </w:p>
        </w:tc>
        <w:tc>
          <w:tcPr>
            <w:tcW w:w="2365"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调试时间</w:t>
            </w:r>
          </w:p>
        </w:tc>
        <w:tc>
          <w:tcPr>
            <w:tcW w:w="5266"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2022年3月~2022年5月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11</w:t>
            </w:r>
          </w:p>
        </w:tc>
        <w:tc>
          <w:tcPr>
            <w:tcW w:w="2365"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排污许可证申领情况</w:t>
            </w:r>
          </w:p>
        </w:tc>
        <w:tc>
          <w:tcPr>
            <w:tcW w:w="5266"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2020年4月26日取得排污许可证，许可证证号：91411222MA40G05Y1B001P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7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12</w:t>
            </w:r>
          </w:p>
        </w:tc>
        <w:tc>
          <w:tcPr>
            <w:tcW w:w="2365"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验收工作</w:t>
            </w:r>
            <w:r>
              <w:rPr>
                <w:rFonts w:hint="eastAsia" w:ascii="宋体" w:hAnsi="宋体" w:eastAsia="宋体" w:cs="宋体"/>
                <w:color w:val="auto"/>
                <w:spacing w:val="0"/>
                <w:sz w:val="24"/>
                <w:szCs w:val="24"/>
                <w:highlight w:val="none"/>
                <w:lang w:val="en-US" w:eastAsia="zh-CN"/>
              </w:rPr>
              <w:t>完成</w:t>
            </w:r>
            <w:r>
              <w:rPr>
                <w:rFonts w:hint="eastAsia" w:ascii="宋体" w:hAnsi="宋体" w:eastAsia="宋体" w:cs="宋体"/>
                <w:color w:val="auto"/>
                <w:spacing w:val="0"/>
                <w:sz w:val="24"/>
                <w:szCs w:val="24"/>
                <w:highlight w:val="none"/>
              </w:rPr>
              <w:t>时间</w:t>
            </w:r>
          </w:p>
        </w:tc>
        <w:tc>
          <w:tcPr>
            <w:tcW w:w="5266"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rPr>
              <w:t>2022年</w:t>
            </w:r>
            <w:r>
              <w:rPr>
                <w:rFonts w:hint="eastAsia" w:ascii="宋体" w:hAnsi="宋体" w:eastAsia="宋体" w:cs="宋体"/>
                <w:color w:val="auto"/>
                <w:spacing w:val="0"/>
                <w:sz w:val="24"/>
                <w:szCs w:val="24"/>
                <w:highlight w:val="none"/>
                <w:lang w:val="en-US" w:eastAsia="zh-CN"/>
              </w:rPr>
              <w:t>7月</w:t>
            </w:r>
          </w:p>
        </w:tc>
      </w:tr>
    </w:tbl>
    <w:p>
      <w:pPr>
        <w:pStyle w:val="3"/>
        <w:bidi w:val="0"/>
        <w:rPr>
          <w:rFonts w:hint="eastAsia" w:ascii="宋体" w:hAnsi="宋体" w:eastAsia="宋体" w:cs="宋体"/>
          <w:color w:val="auto"/>
          <w:highlight w:val="none"/>
          <w:lang w:val="en-US" w:eastAsia="zh-CN"/>
        </w:rPr>
      </w:pPr>
      <w:bookmarkStart w:id="87" w:name="_Toc2988"/>
      <w:r>
        <w:rPr>
          <w:rFonts w:hint="eastAsia" w:ascii="宋体" w:hAnsi="宋体" w:eastAsia="宋体" w:cs="宋体"/>
          <w:color w:val="auto"/>
          <w:highlight w:val="none"/>
          <w:lang w:val="en-US" w:eastAsia="zh-CN"/>
        </w:rPr>
        <w:t>2.2企业用地历史沿革</w:t>
      </w:r>
      <w:bookmarkEnd w:id="86"/>
      <w:bookmarkEnd w:id="87"/>
    </w:p>
    <w:p>
      <w:pPr>
        <w:pageBreakBefore w:val="0"/>
        <w:kinsoku/>
        <w:wordWrap/>
        <w:overflowPunct/>
        <w:topLinePunct w:val="0"/>
        <w:bidi w:val="0"/>
        <w:spacing w:line="360" w:lineRule="auto"/>
        <w:ind w:left="0" w:leftChars="0" w:right="0" w:firstLine="483"/>
        <w:rPr>
          <w:rFonts w:hint="eastAsia" w:ascii="宋体" w:hAnsi="宋体" w:eastAsia="宋体" w:cs="宋体"/>
          <w:color w:val="auto"/>
          <w:spacing w:val="0"/>
          <w:sz w:val="28"/>
          <w:szCs w:val="28"/>
          <w:highlight w:val="none"/>
          <w:u w:val="none"/>
          <w:lang w:val="en-US" w:eastAsia="zh-CN"/>
        </w:rPr>
      </w:pPr>
      <w:r>
        <w:rPr>
          <w:rFonts w:hint="eastAsia" w:ascii="宋体" w:hAnsi="宋体" w:eastAsia="宋体" w:cs="宋体"/>
          <w:color w:val="auto"/>
          <w:spacing w:val="0"/>
          <w:sz w:val="28"/>
          <w:szCs w:val="28"/>
          <w:highlight w:val="none"/>
          <w:u w:val="none"/>
          <w:lang w:val="en-US" w:eastAsia="zh-CN"/>
        </w:rPr>
        <w:t>根据企业提供相关资料，建厂前，2018年5月企业所在地块用地情况为空地。环评手续情况如下：</w:t>
      </w:r>
    </w:p>
    <w:p>
      <w:pPr>
        <w:pageBreakBefore w:val="0"/>
        <w:kinsoku/>
        <w:wordWrap/>
        <w:overflowPunct/>
        <w:topLinePunct w:val="0"/>
        <w:bidi w:val="0"/>
        <w:spacing w:line="360" w:lineRule="auto"/>
        <w:ind w:left="0" w:leftChars="0" w:right="0" w:firstLine="483"/>
        <w:rPr>
          <w:rFonts w:hint="eastAsia" w:ascii="宋体" w:hAnsi="宋体" w:eastAsia="宋体" w:cs="宋体"/>
          <w:color w:val="auto"/>
          <w:spacing w:val="0"/>
          <w:sz w:val="28"/>
          <w:szCs w:val="28"/>
          <w:highlight w:val="none"/>
          <w:u w:val="none"/>
          <w:lang w:val="en-US" w:eastAsia="zh-CN"/>
        </w:rPr>
      </w:pPr>
      <w:r>
        <w:rPr>
          <w:rFonts w:hint="eastAsia" w:ascii="宋体" w:hAnsi="宋体" w:eastAsia="宋体" w:cs="宋体"/>
          <w:color w:val="auto"/>
          <w:spacing w:val="0"/>
          <w:sz w:val="28"/>
          <w:szCs w:val="28"/>
          <w:highlight w:val="none"/>
          <w:u w:val="none"/>
          <w:lang w:val="en-US" w:eastAsia="zh-CN"/>
        </w:rPr>
        <w:t>根据《建设项目竣工环境保护验收技术指南污染影响类》（生态环境部办公厅2018年5月16日印发）和关于发布《建设项目竣工环境保护验收暂行办法》的公告（国环规环评[2017]4号，2017.11.20）相关要求，根据现场调查，年产20吨复硝酚钠和200吨萘乙酸钠、200吨胺鲜酯及9580吨农药制剂及水溶肥迁建项目（第一阶段）除悬浮剂生产线（乳油车间内）未建设外，其他均已建成调试并于2022年7月10日自主完成第一阶段竣工环保验收。验收主要范围为：粉剂车间、水剂车间、合成车间、乳油车间（悬浮剂生产线除外）、仓库等及配套的废气、废水、噪声、固废、风险环保设施、公辅设施等。</w:t>
      </w:r>
    </w:p>
    <w:p>
      <w:pPr>
        <w:pStyle w:val="18"/>
        <w:ind w:left="0" w:leftChars="0" w:firstLine="0" w:firstLineChars="0"/>
        <w:outlineLvl w:val="1"/>
        <w:rPr>
          <w:rFonts w:hint="eastAsia" w:ascii="宋体" w:hAnsi="宋体" w:eastAsia="宋体" w:cs="宋体"/>
          <w:b/>
          <w:bCs/>
          <w:color w:val="auto"/>
          <w:kern w:val="2"/>
          <w:sz w:val="28"/>
          <w:szCs w:val="32"/>
          <w:highlight w:val="none"/>
          <w:lang w:val="en-US" w:eastAsia="zh-CN" w:bidi="ar-SA"/>
        </w:rPr>
      </w:pPr>
      <w:bookmarkStart w:id="88" w:name="_Toc27832"/>
      <w:bookmarkStart w:id="89" w:name="_Toc31383"/>
      <w:r>
        <w:rPr>
          <w:rFonts w:hint="eastAsia" w:ascii="宋体" w:hAnsi="宋体" w:eastAsia="宋体" w:cs="宋体"/>
          <w:b/>
          <w:bCs/>
          <w:color w:val="auto"/>
          <w:kern w:val="2"/>
          <w:sz w:val="28"/>
          <w:szCs w:val="32"/>
          <w:highlight w:val="none"/>
          <w:lang w:val="en-US" w:eastAsia="zh-CN" w:bidi="ar-SA"/>
        </w:rPr>
        <w:t>2.3企业用地已有的环境调查与监测信息</w:t>
      </w:r>
      <w:bookmarkEnd w:id="88"/>
      <w:bookmarkEnd w:id="89"/>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根据《关于更新2023年土壤、地下水环境重点监管单位名录的公示》文件要求，河南省中威春雨植物营养有限公司被列入</w:t>
      </w:r>
      <w:r>
        <w:rPr>
          <w:rFonts w:hint="eastAsia" w:ascii="宋体" w:hAnsi="宋体" w:eastAsia="宋体" w:cs="宋体"/>
          <w:sz w:val="28"/>
          <w:szCs w:val="36"/>
          <w:lang w:val="en-US" w:eastAsia="zh-Hans"/>
        </w:rPr>
        <w:t>三门峡</w:t>
      </w:r>
      <w:r>
        <w:rPr>
          <w:rFonts w:hint="eastAsia" w:ascii="宋体" w:hAnsi="宋体" w:eastAsia="宋体" w:cs="宋体"/>
          <w:sz w:val="28"/>
          <w:szCs w:val="36"/>
          <w:lang w:val="en-US" w:eastAsia="zh-CN"/>
        </w:rPr>
        <w:t>市2023土壤污染重点监管单位名录。</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为完成土壤污染防治工作，河南省中威春雨植物营养有限公司委托洛阳市达峰环境检测有限公司提供技术支持，与河南省中威春雨植物营养有限公司共同开展企业土壤自行监测工作。经过技术人员到现场对企业现状及周边情况进行了详细调查，收集相关资料，依据《在产企业土壤和地下水自行监测技术指南》及有关标准，结合企业实践，编制了《河南省中威春雨植物营养有限公司自行监测方案》及《河南省中威春雨植物营养有限公司土壤污染隐患排查报告》</w:t>
      </w:r>
      <w:r>
        <w:rPr>
          <w:rFonts w:hint="eastAsia" w:ascii="宋体" w:hAnsi="宋体" w:eastAsia="宋体" w:cs="宋体"/>
          <w:sz w:val="28"/>
          <w:szCs w:val="36"/>
          <w:lang w:val="en-US" w:eastAsia="zh-Hans"/>
        </w:rPr>
        <w:t>等</w:t>
      </w:r>
      <w:r>
        <w:rPr>
          <w:rFonts w:hint="eastAsia" w:ascii="宋体" w:hAnsi="宋体" w:eastAsia="宋体" w:cs="宋体"/>
          <w:sz w:val="28"/>
          <w:szCs w:val="36"/>
          <w:lang w:val="en-US" w:eastAsia="zh-CN"/>
        </w:rPr>
        <w:t>。根据监测方案，企业于2023年开展土壤检测工作，并编制了自行监测报告。</w:t>
      </w:r>
    </w:p>
    <w:p>
      <w:pPr>
        <w:pStyle w:val="2"/>
        <w:bidi w:val="0"/>
        <w:ind w:firstLineChars="0"/>
        <w:jc w:val="left"/>
        <w:rPr>
          <w:rFonts w:hint="eastAsia" w:ascii="宋体" w:hAnsi="宋体" w:eastAsia="宋体" w:cs="宋体"/>
          <w:sz w:val="28"/>
          <w:lang w:val="en-US" w:eastAsia="zh-CN"/>
        </w:rPr>
      </w:pPr>
      <w:bookmarkStart w:id="90" w:name="_Toc1873"/>
      <w:r>
        <w:rPr>
          <w:rFonts w:hint="eastAsia" w:ascii="宋体" w:hAnsi="宋体" w:eastAsia="宋体" w:cs="宋体"/>
          <w:sz w:val="28"/>
          <w:lang w:val="en-US" w:eastAsia="zh-CN"/>
        </w:rPr>
        <w:t>3地勘资料</w:t>
      </w:r>
      <w:bookmarkEnd w:id="90"/>
    </w:p>
    <w:p>
      <w:pPr>
        <w:pStyle w:val="3"/>
        <w:numPr>
          <w:ilvl w:val="1"/>
          <w:numId w:val="0"/>
        </w:numPr>
        <w:bidi w:val="0"/>
        <w:spacing w:before="0" w:after="0"/>
        <w:ind w:firstLine="562" w:firstLineChars="200"/>
        <w:jc w:val="left"/>
        <w:rPr>
          <w:rFonts w:hint="eastAsia" w:ascii="宋体" w:hAnsi="宋体" w:eastAsia="宋体" w:cs="宋体"/>
          <w:sz w:val="28"/>
          <w:szCs w:val="28"/>
          <w:lang w:val="en-US" w:eastAsia="zh-CN"/>
        </w:rPr>
      </w:pPr>
      <w:bookmarkStart w:id="91" w:name="_Toc27868"/>
      <w:bookmarkStart w:id="92" w:name="_Toc107924565"/>
      <w:bookmarkStart w:id="93" w:name="_Toc31587"/>
      <w:r>
        <w:rPr>
          <w:rFonts w:hint="eastAsia" w:ascii="宋体" w:hAnsi="宋体" w:eastAsia="宋体" w:cs="宋体"/>
          <w:sz w:val="28"/>
          <w:szCs w:val="28"/>
          <w:lang w:val="en-US" w:eastAsia="zh-CN"/>
        </w:rPr>
        <w:t>3.1地质信息</w:t>
      </w:r>
      <w:bookmarkEnd w:id="91"/>
      <w:bookmarkEnd w:id="92"/>
      <w:bookmarkEnd w:id="93"/>
    </w:p>
    <w:p>
      <w:pPr>
        <w:keepNext/>
        <w:keepLines/>
        <w:widowControl w:val="0"/>
        <w:spacing w:line="520" w:lineRule="exact"/>
        <w:ind w:firstLine="562" w:firstLineChars="200"/>
        <w:jc w:val="both"/>
        <w:outlineLvl w:val="2"/>
        <w:rPr>
          <w:rFonts w:hint="eastAsia" w:ascii="宋体" w:hAnsi="宋体" w:eastAsia="宋体" w:cs="宋体"/>
          <w:b/>
          <w:bCs/>
          <w:kern w:val="2"/>
          <w:sz w:val="28"/>
          <w:szCs w:val="28"/>
          <w:lang w:val="en-US" w:eastAsia="zh-CN" w:bidi="ar-SA"/>
        </w:rPr>
      </w:pPr>
      <w:bookmarkStart w:id="94" w:name="_Toc107924566"/>
      <w:bookmarkStart w:id="95" w:name="_Toc20169"/>
      <w:bookmarkStart w:id="96" w:name="_Toc30130"/>
      <w:bookmarkStart w:id="97" w:name="_Toc9481"/>
      <w:bookmarkStart w:id="98" w:name="_Toc7792"/>
      <w:r>
        <w:rPr>
          <w:rFonts w:hint="eastAsia" w:ascii="宋体" w:hAnsi="宋体" w:eastAsia="宋体" w:cs="宋体"/>
          <w:b/>
          <w:bCs/>
          <w:kern w:val="2"/>
          <w:sz w:val="28"/>
          <w:szCs w:val="28"/>
          <w:lang w:val="en-US" w:eastAsia="zh-CN" w:bidi="ar-SA"/>
        </w:rPr>
        <w:t>3.1.1场地地质及地形地貌</w:t>
      </w:r>
      <w:bookmarkEnd w:id="94"/>
      <w:bookmarkEnd w:id="95"/>
      <w:bookmarkEnd w:id="96"/>
      <w:bookmarkEnd w:id="97"/>
      <w:bookmarkEnd w:id="98"/>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三门峡市处于秦岭山脉东延与伏牛山、熊耳山、崤山交汇地带，地势西南高，东北低。从陕西省入境的秦岭身东延伸止于黄河谷地，海拔高度由2000米以上递降为低于200米。地貌特征复杂，有山地、丘陵、河谷、平原等多种类型，其中以山地、丘陵和川塬地貌为主。</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三门峡市地质构造复杂，活动剧烈，对本市地形、矿藏、地质产生了重要影响，成为有色金属矿藏资源和沉积变质矿产资源极大蕴藏量的富积地。在地质构造上，位于华北地台西南隅和昆仑——秦岭地槽东延部分的接合部位。在构造体系上，属于昆仑——秦岭纬向构造带和新华夏系的华北沉降带、太行山隆起带的交接复合、联合部位的一部分。基地构造以紧密褶皱为主，岩层遭受区域变质作用和混合岩化作用。区内断裂发育，规模较大，纵横交错，尤以中新生代的断裂活动最强。</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项目所在地三门峡陕州区先进制造业开发区地貌单元为低山丘陵地区，场地内未发现有影响场地地基稳定性的不良地质作用。</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根据河南省地质志，工程区域在地质构造单元上位于华北地台华熊台缘坳陷，工程区域附近未发现断裂构造，场地是稳定的。</w:t>
      </w:r>
    </w:p>
    <w:p>
      <w:pPr>
        <w:ind w:firstLine="562" w:firstLineChars="200"/>
        <w:outlineLvl w:val="2"/>
        <w:rPr>
          <w:rFonts w:hint="eastAsia" w:ascii="宋体" w:hAnsi="宋体" w:eastAsia="宋体" w:cs="宋体"/>
          <w:b/>
          <w:bCs/>
          <w:kern w:val="2"/>
          <w:sz w:val="28"/>
          <w:szCs w:val="36"/>
          <w:lang w:val="en-US" w:eastAsia="zh-CN" w:bidi="ar-SA"/>
        </w:rPr>
      </w:pPr>
      <w:bookmarkStart w:id="99" w:name="_Toc107924567"/>
      <w:bookmarkStart w:id="100" w:name="_Toc23136"/>
      <w:r>
        <w:rPr>
          <w:rFonts w:hint="eastAsia" w:ascii="宋体" w:hAnsi="宋体" w:eastAsia="宋体" w:cs="宋体"/>
          <w:b/>
          <w:bCs/>
          <w:kern w:val="2"/>
          <w:sz w:val="28"/>
          <w:szCs w:val="36"/>
          <w:lang w:val="en-US" w:eastAsia="zh-CN" w:bidi="ar-SA"/>
        </w:rPr>
        <w:t>3.1.2厂区地层及岩土特性</w:t>
      </w:r>
      <w:bookmarkEnd w:id="99"/>
      <w:bookmarkEnd w:id="100"/>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依据岩土工程勘察获取的资料及室内土工试验成果，场地地层主要由填土和第四纪全新世Q4冲积成因类型的粉质粘土层及强风化砂岩构成。场地地层的岩土特征自上而下分别描述如下：</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(1)填土：以素填土为主，颜色以红褐色为主。厚为0.80-5.80米，层底高程为640.60-647.20米，位于场地西部及南部靠近谷地南岸勘探点该层厚度较小，位于场地中部以北的勘探点该层厚度较大。物质成分以粉质粘土为主，含有少量植物根系；在场地北部及东部部分勘探点内含有少量炉渣、砖块等建筑垃圾。该层堆积年代较短，密实度不均一，物理力学性质较差，稍密状态。</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(2)粉质粘土层(Q):红褐色至灰褐色。本次勘察未揭穿，已揭露最大厚度为厚度为7.70米。该层在场地西部及北部勘探点内厚度较大，在场地南部缺失。大孔不发育，土质较均匀。土体中含有大量黑色斑点，含大量姜石，局部成层。该层硬塑状态；天然含水率w=19.9-25.8%,平均值为22.7%,稍湿至湿，该层底部含水率较大；天然孔隙比e=0.826-0.951,平均值为0.879,中密至密实；压缩系数a₁.0-2o=0.094-0.383MPa',平均值为0.190MPa-1中低压缩性；湿陷系数δ=0.0002-0.009,无湿陷性。稍有光泽，摇震反应中等，韧性中等，干强度中等。</w:t>
      </w:r>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(3)强风化砂岩：灰褐色为主。本次勘察未揭穿，已揭露最大厚度为4.6米。该层风化较严重，以强风化为主，结构大部分已破坏，风化裂隙发育，锹镐可挖掘。锤击声哑，无回弹，较易击碎；岩芯呈碎块状，采取率低。强风化层厚度不一致。</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1"/>
        <w:rPr>
          <w:rFonts w:hint="eastAsia" w:ascii="宋体" w:hAnsi="宋体" w:eastAsia="宋体" w:cs="宋体"/>
          <w:b/>
          <w:bCs/>
          <w:kern w:val="2"/>
          <w:sz w:val="28"/>
          <w:szCs w:val="32"/>
          <w:highlight w:val="none"/>
          <w:lang w:val="en-US" w:eastAsia="zh-CN" w:bidi="ar-SA"/>
        </w:rPr>
      </w:pPr>
      <w:bookmarkStart w:id="101" w:name="_Toc7276"/>
      <w:bookmarkStart w:id="102" w:name="_Toc107924568"/>
      <w:bookmarkStart w:id="103" w:name="_Toc7255"/>
      <w:r>
        <w:rPr>
          <w:rFonts w:hint="eastAsia" w:ascii="宋体" w:hAnsi="宋体" w:eastAsia="宋体" w:cs="宋体"/>
          <w:b/>
          <w:bCs/>
          <w:kern w:val="2"/>
          <w:sz w:val="28"/>
          <w:szCs w:val="32"/>
          <w:highlight w:val="none"/>
          <w:lang w:val="en-US" w:eastAsia="zh-CN" w:bidi="ar-SA"/>
        </w:rPr>
        <w:t>3.2水文地质信息</w:t>
      </w:r>
      <w:bookmarkEnd w:id="101"/>
      <w:bookmarkEnd w:id="102"/>
      <w:bookmarkEnd w:id="103"/>
    </w:p>
    <w:p>
      <w:pPr>
        <w:bidi w:val="0"/>
        <w:spacing w:line="360" w:lineRule="auto"/>
        <w:ind w:firstLine="560" w:firstLineChars="200"/>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公司于2017年12月5日委托中水电第十一工程局（郑州）有限公司出具了《河南中威高科技化工有限公司岩土工程勘察报告》，明确厂区地貌单元为低山丘陵地区，在勘探深度范围内未见地下水，根据《岩土工程勘察规范》第12.1.2条，由于该场地地下水埋藏较深，混凝土结构处于地下水位以上，设计与施工时可不考虑地下水的影响。</w:t>
      </w: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lang w:val="en-US" w:eastAsia="zh-CN"/>
        </w:rPr>
      </w:pPr>
      <w:bookmarkStart w:id="104" w:name="_Toc13693"/>
      <w:bookmarkStart w:id="105" w:name="_Toc107924569"/>
      <w:bookmarkStart w:id="106" w:name="_Toc7727"/>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lang w:val="en-US" w:eastAsia="zh-CN"/>
        </w:rPr>
      </w:pPr>
    </w:p>
    <w:p>
      <w:pPr>
        <w:pStyle w:val="2"/>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lang w:val="en-US" w:eastAsia="zh-CN"/>
        </w:rPr>
      </w:pP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4企业生产及污染防治情况</w:t>
      </w:r>
      <w:bookmarkEnd w:id="104"/>
      <w:bookmarkEnd w:id="105"/>
      <w:bookmarkEnd w:id="106"/>
    </w:p>
    <w:p>
      <w:pPr>
        <w:pStyle w:val="3"/>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b/>
          <w:bCs/>
          <w:kern w:val="2"/>
          <w:sz w:val="28"/>
          <w:szCs w:val="32"/>
          <w:lang w:val="en-US" w:eastAsia="zh-CN" w:bidi="ar-SA"/>
        </w:rPr>
      </w:pPr>
      <w:bookmarkStart w:id="107" w:name="_Toc107924570"/>
      <w:bookmarkStart w:id="108" w:name="_Toc4011"/>
      <w:bookmarkStart w:id="109" w:name="_Toc5627"/>
      <w:r>
        <w:rPr>
          <w:rFonts w:hint="eastAsia" w:ascii="宋体" w:hAnsi="宋体" w:eastAsia="宋体" w:cs="宋体"/>
          <w:b/>
          <w:bCs/>
          <w:kern w:val="2"/>
          <w:sz w:val="28"/>
          <w:szCs w:val="32"/>
          <w:lang w:val="en-US" w:eastAsia="zh-CN" w:bidi="ar-SA"/>
        </w:rPr>
        <w:t>4.1企业生产概况</w:t>
      </w:r>
      <w:bookmarkEnd w:id="107"/>
      <w:bookmarkEnd w:id="108"/>
      <w:bookmarkEnd w:id="109"/>
    </w:p>
    <w:p>
      <w:pPr>
        <w:keepNext/>
        <w:keepLines/>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宋体" w:hAnsi="宋体" w:eastAsia="宋体" w:cs="宋体"/>
          <w:b/>
          <w:bCs/>
          <w:kern w:val="2"/>
          <w:sz w:val="28"/>
          <w:szCs w:val="36"/>
          <w:lang w:val="en-US" w:eastAsia="zh-CN" w:bidi="ar-SA"/>
        </w:rPr>
      </w:pPr>
      <w:bookmarkStart w:id="110" w:name="_Toc107924571"/>
      <w:r>
        <w:rPr>
          <w:rFonts w:hint="eastAsia" w:ascii="宋体" w:hAnsi="宋体" w:eastAsia="宋体" w:cs="宋体"/>
          <w:b/>
          <w:bCs/>
          <w:spacing w:val="6"/>
          <w:kern w:val="2"/>
          <w:sz w:val="28"/>
          <w:szCs w:val="36"/>
          <w:lang w:val="en-US" w:eastAsia="zh-CN" w:bidi="ar-SA"/>
        </w:rPr>
        <w:t>4</w:t>
      </w:r>
      <w:r>
        <w:rPr>
          <w:rFonts w:hint="eastAsia" w:ascii="宋体" w:hAnsi="宋体" w:eastAsia="宋体" w:cs="宋体"/>
          <w:b/>
          <w:bCs/>
          <w:spacing w:val="3"/>
          <w:kern w:val="2"/>
          <w:sz w:val="28"/>
          <w:szCs w:val="36"/>
          <w:lang w:val="en-US" w:eastAsia="zh-CN" w:bidi="ar-SA"/>
        </w:rPr>
        <w:t>.</w:t>
      </w:r>
      <w:r>
        <w:rPr>
          <w:rFonts w:hint="eastAsia" w:ascii="宋体" w:hAnsi="宋体" w:eastAsia="宋体" w:cs="宋体"/>
          <w:b/>
          <w:bCs/>
          <w:spacing w:val="6"/>
          <w:kern w:val="2"/>
          <w:sz w:val="28"/>
          <w:szCs w:val="36"/>
          <w:lang w:val="en-US" w:eastAsia="zh-CN" w:bidi="ar-SA"/>
        </w:rPr>
        <w:t>1</w:t>
      </w:r>
      <w:r>
        <w:rPr>
          <w:rFonts w:hint="eastAsia" w:ascii="宋体" w:hAnsi="宋体" w:eastAsia="宋体" w:cs="宋体"/>
          <w:b/>
          <w:bCs/>
          <w:spacing w:val="3"/>
          <w:kern w:val="2"/>
          <w:sz w:val="28"/>
          <w:szCs w:val="36"/>
          <w:lang w:val="en-US" w:eastAsia="zh-CN" w:bidi="ar-SA"/>
        </w:rPr>
        <w:t>.</w:t>
      </w:r>
      <w:r>
        <w:rPr>
          <w:rFonts w:hint="eastAsia" w:ascii="宋体" w:hAnsi="宋体" w:eastAsia="宋体" w:cs="宋体"/>
          <w:b/>
          <w:bCs/>
          <w:spacing w:val="6"/>
          <w:kern w:val="2"/>
          <w:sz w:val="28"/>
          <w:szCs w:val="36"/>
          <w:lang w:val="en-US" w:eastAsia="zh-CN" w:bidi="ar-SA"/>
        </w:rPr>
        <w:t>1</w:t>
      </w:r>
      <w:r>
        <w:rPr>
          <w:rFonts w:hint="eastAsia" w:ascii="宋体" w:hAnsi="宋体" w:eastAsia="宋体" w:cs="宋体"/>
          <w:b/>
          <w:bCs/>
          <w:kern w:val="2"/>
          <w:sz w:val="28"/>
          <w:szCs w:val="36"/>
          <w:lang w:val="en-US" w:eastAsia="zh-CN" w:bidi="ar-SA"/>
        </w:rPr>
        <w:t>基本生产概况</w:t>
      </w:r>
      <w:bookmarkEnd w:id="110"/>
    </w:p>
    <w:p>
      <w:pPr>
        <w:pageBreakBefore w:val="0"/>
        <w:kinsoku/>
        <w:wordWrap/>
        <w:overflowPunct/>
        <w:topLinePunct w:val="0"/>
        <w:bidi w:val="0"/>
        <w:spacing w:line="360" w:lineRule="auto"/>
        <w:ind w:left="0" w:leftChars="0" w:right="0" w:firstLine="483"/>
        <w:rPr>
          <w:rFonts w:hint="eastAsia" w:ascii="宋体" w:hAnsi="宋体" w:eastAsia="宋体" w:cs="宋体"/>
          <w:color w:val="auto"/>
          <w:spacing w:val="0"/>
          <w:sz w:val="28"/>
          <w:szCs w:val="28"/>
          <w:highlight w:val="none"/>
          <w:u w:val="none"/>
          <w:lang w:val="en-US" w:eastAsia="zh-CN"/>
        </w:rPr>
      </w:pPr>
      <w:r>
        <w:rPr>
          <w:rFonts w:hint="eastAsia" w:ascii="宋体" w:hAnsi="宋体" w:eastAsia="宋体" w:cs="宋体"/>
          <w:color w:val="auto"/>
          <w:spacing w:val="0"/>
          <w:sz w:val="28"/>
          <w:szCs w:val="28"/>
          <w:highlight w:val="none"/>
          <w:u w:val="none"/>
          <w:lang w:val="en-US" w:eastAsia="zh-CN"/>
        </w:rPr>
        <w:t>河南省中威春雨植物营养有限公司成立于1997年，是国家工信部定点农药生产企业，省级高新技术企业，致力于“植物营养剂”和“植物保健品”的研发和生产。公司现有工程为“年产1810吨农药复配、20吨复硝酚钠项目”，位于中牟县商都大道西段，为响应郑汴一体化发展，公司投资15000万元，在三门峡陕州区先进制造业开发区（原陕州区产业集聚区）</w:t>
      </w:r>
      <w:r>
        <w:rPr>
          <w:rFonts w:hint="eastAsia" w:ascii="宋体" w:hAnsi="宋体" w:cs="宋体"/>
          <w:color w:val="auto"/>
          <w:spacing w:val="0"/>
          <w:sz w:val="28"/>
          <w:szCs w:val="28"/>
          <w:highlight w:val="none"/>
          <w:u w:val="none"/>
          <w:lang w:val="en-US" w:eastAsia="zh-CN"/>
        </w:rPr>
        <w:t>，</w:t>
      </w:r>
      <w:r>
        <w:rPr>
          <w:rFonts w:hint="eastAsia" w:ascii="宋体" w:hAnsi="宋体" w:eastAsia="宋体" w:cs="宋体"/>
          <w:color w:val="auto"/>
          <w:spacing w:val="0"/>
          <w:sz w:val="28"/>
          <w:szCs w:val="28"/>
          <w:highlight w:val="none"/>
          <w:u w:val="none"/>
          <w:lang w:val="en-US" w:eastAsia="zh-CN"/>
        </w:rPr>
        <w:t>建设</w:t>
      </w:r>
      <w:r>
        <w:rPr>
          <w:rFonts w:hint="eastAsia" w:ascii="宋体" w:hAnsi="宋体" w:cs="宋体"/>
          <w:color w:val="auto"/>
          <w:spacing w:val="0"/>
          <w:sz w:val="28"/>
          <w:szCs w:val="28"/>
          <w:highlight w:val="none"/>
          <w:u w:val="none"/>
          <w:lang w:val="en-US" w:eastAsia="zh-CN"/>
        </w:rPr>
        <w:t>了</w:t>
      </w:r>
      <w:r>
        <w:rPr>
          <w:rFonts w:hint="eastAsia" w:ascii="宋体" w:hAnsi="宋体" w:eastAsia="宋体" w:cs="宋体"/>
          <w:color w:val="auto"/>
          <w:spacing w:val="0"/>
          <w:sz w:val="28"/>
          <w:szCs w:val="28"/>
          <w:highlight w:val="none"/>
          <w:u w:val="none"/>
          <w:lang w:val="en-US" w:eastAsia="zh-CN"/>
        </w:rPr>
        <w:t>“年产20吨复硝酚钠和200吨萘乙酸钠、200吨胺鲜酯及9580吨农药制剂及水溶肥迁建项目”。</w:t>
      </w:r>
    </w:p>
    <w:p>
      <w:pPr>
        <w:widowControl/>
        <w:tabs>
          <w:tab w:val="left" w:pos="2278"/>
        </w:tabs>
        <w:spacing w:line="540" w:lineRule="exact"/>
        <w:ind w:firstLine="560" w:firstLineChars="200"/>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（1）主要生产设备</w:t>
      </w:r>
    </w:p>
    <w:p>
      <w:pPr>
        <w:ind w:firstLine="482" w:firstLineChars="200"/>
        <w:jc w:val="center"/>
        <w:rPr>
          <w:rFonts w:hint="eastAsia" w:ascii="宋体" w:hAnsi="宋体" w:eastAsia="宋体" w:cs="宋体"/>
          <w:b/>
          <w:bCs w:val="0"/>
          <w:sz w:val="24"/>
          <w:szCs w:val="22"/>
        </w:rPr>
      </w:pPr>
      <w:r>
        <w:rPr>
          <w:rFonts w:hint="eastAsia" w:ascii="宋体" w:hAnsi="宋体" w:eastAsia="宋体" w:cs="宋体"/>
          <w:b/>
          <w:bCs w:val="0"/>
          <w:sz w:val="24"/>
          <w:szCs w:val="22"/>
        </w:rPr>
        <w:t>表4</w:t>
      </w:r>
      <w:r>
        <w:rPr>
          <w:rFonts w:hint="eastAsia" w:ascii="宋体" w:hAnsi="宋体" w:eastAsia="宋体" w:cs="宋体"/>
          <w:b/>
          <w:bCs w:val="0"/>
          <w:sz w:val="24"/>
          <w:szCs w:val="22"/>
          <w:lang w:val="en-US" w:eastAsia="zh-CN"/>
        </w:rPr>
        <w:t>-1</w:t>
      </w:r>
      <w:r>
        <w:rPr>
          <w:rFonts w:hint="eastAsia" w:ascii="宋体" w:hAnsi="宋体" w:eastAsia="宋体" w:cs="宋体"/>
          <w:b/>
          <w:bCs w:val="0"/>
          <w:color w:val="auto"/>
          <w:kern w:val="0"/>
          <w:sz w:val="28"/>
          <w:szCs w:val="28"/>
          <w:highlight w:val="none"/>
          <w:u w:val="none"/>
          <w:lang w:bidi="ar"/>
        </w:rPr>
        <w:t>企业主要设备及重点设施</w:t>
      </w:r>
      <w:r>
        <w:rPr>
          <w:rFonts w:hint="eastAsia" w:ascii="宋体" w:hAnsi="宋体" w:eastAsia="宋体" w:cs="宋体"/>
          <w:b/>
          <w:bCs w:val="0"/>
          <w:color w:val="auto"/>
          <w:kern w:val="0"/>
          <w:sz w:val="28"/>
          <w:szCs w:val="28"/>
          <w:highlight w:val="none"/>
          <w:u w:val="none"/>
        </w:rPr>
        <w:t>一览表</w:t>
      </w:r>
    </w:p>
    <w:tbl>
      <w:tblPr>
        <w:tblStyle w:val="44"/>
        <w:tblW w:w="85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
        <w:gridCol w:w="590"/>
        <w:gridCol w:w="1908"/>
        <w:gridCol w:w="1262"/>
        <w:gridCol w:w="1137"/>
        <w:gridCol w:w="1134"/>
        <w:gridCol w:w="1137"/>
        <w:gridCol w:w="13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509" w:hRule="atLeast"/>
          <w:jc w:val="center"/>
        </w:trPr>
        <w:tc>
          <w:tcPr>
            <w:tcW w:w="59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bCs/>
                <w:color w:val="auto"/>
                <w:spacing w:val="0"/>
                <w:kern w:val="2"/>
                <w:sz w:val="24"/>
                <w:szCs w:val="24"/>
                <w:highlight w:val="none"/>
                <w:u w:val="none"/>
                <w:lang w:val="en-US" w:eastAsia="zh-CN" w:bidi="ar-SA"/>
              </w:rPr>
            </w:pPr>
            <w:r>
              <w:rPr>
                <w:rFonts w:hint="eastAsia" w:ascii="宋体" w:hAnsi="宋体" w:eastAsia="宋体" w:cs="宋体"/>
                <w:b/>
                <w:bCs/>
                <w:color w:val="auto"/>
                <w:spacing w:val="0"/>
                <w:kern w:val="2"/>
                <w:sz w:val="24"/>
                <w:szCs w:val="24"/>
                <w:highlight w:val="none"/>
                <w:u w:val="none"/>
                <w:lang w:val="en-US" w:eastAsia="zh-CN" w:bidi="ar-SA"/>
              </w:rPr>
              <w:t>序号</w:t>
            </w:r>
          </w:p>
        </w:tc>
        <w:tc>
          <w:tcPr>
            <w:tcW w:w="190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bCs/>
                <w:color w:val="auto"/>
                <w:spacing w:val="0"/>
                <w:kern w:val="2"/>
                <w:sz w:val="24"/>
                <w:szCs w:val="24"/>
                <w:highlight w:val="none"/>
                <w:u w:val="none"/>
                <w:lang w:val="en-US" w:eastAsia="zh-CN" w:bidi="ar-SA"/>
              </w:rPr>
            </w:pPr>
            <w:r>
              <w:rPr>
                <w:rFonts w:hint="eastAsia" w:ascii="宋体" w:hAnsi="宋体" w:eastAsia="宋体" w:cs="宋体"/>
                <w:b/>
                <w:bCs/>
                <w:color w:val="auto"/>
                <w:spacing w:val="0"/>
                <w:kern w:val="2"/>
                <w:sz w:val="24"/>
                <w:szCs w:val="24"/>
                <w:highlight w:val="none"/>
                <w:u w:val="none"/>
                <w:lang w:val="en-US" w:eastAsia="zh-CN" w:bidi="ar-SA"/>
              </w:rPr>
              <w:t>设备名称</w:t>
            </w:r>
          </w:p>
        </w:tc>
        <w:tc>
          <w:tcPr>
            <w:tcW w:w="1262"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bCs/>
                <w:color w:val="auto"/>
                <w:spacing w:val="0"/>
                <w:kern w:val="2"/>
                <w:sz w:val="24"/>
                <w:szCs w:val="24"/>
                <w:highlight w:val="none"/>
                <w:u w:val="none"/>
                <w:lang w:val="en-US" w:eastAsia="zh-CN" w:bidi="ar-SA"/>
              </w:rPr>
            </w:pPr>
            <w:r>
              <w:rPr>
                <w:rFonts w:hint="eastAsia" w:ascii="宋体" w:hAnsi="宋体" w:eastAsia="宋体" w:cs="宋体"/>
                <w:b/>
                <w:bCs/>
                <w:color w:val="auto"/>
                <w:spacing w:val="0"/>
                <w:kern w:val="2"/>
                <w:sz w:val="24"/>
                <w:szCs w:val="24"/>
                <w:highlight w:val="none"/>
                <w:u w:val="none"/>
                <w:lang w:val="en-US" w:eastAsia="zh-CN" w:bidi="ar-SA"/>
              </w:rPr>
              <w:t>规格/型号</w:t>
            </w:r>
          </w:p>
        </w:tc>
        <w:tc>
          <w:tcPr>
            <w:tcW w:w="1137"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bCs/>
                <w:color w:val="auto"/>
                <w:spacing w:val="0"/>
                <w:kern w:val="2"/>
                <w:sz w:val="24"/>
                <w:szCs w:val="24"/>
                <w:highlight w:val="none"/>
                <w:u w:val="none"/>
                <w:lang w:val="en-US" w:eastAsia="zh-CN" w:bidi="ar-SA"/>
              </w:rPr>
            </w:pPr>
            <w:r>
              <w:rPr>
                <w:rFonts w:hint="eastAsia" w:ascii="宋体" w:hAnsi="宋体" w:eastAsia="宋体" w:cs="宋体"/>
                <w:b/>
                <w:bCs/>
                <w:color w:val="auto"/>
                <w:spacing w:val="0"/>
                <w:kern w:val="2"/>
                <w:sz w:val="24"/>
                <w:szCs w:val="24"/>
                <w:highlight w:val="none"/>
                <w:u w:val="none"/>
                <w:lang w:val="en-US" w:eastAsia="zh-CN" w:bidi="ar-SA"/>
              </w:rPr>
              <w:t>数量（台）</w:t>
            </w:r>
          </w:p>
        </w:tc>
        <w:tc>
          <w:tcPr>
            <w:tcW w:w="1134"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bCs/>
                <w:color w:val="auto"/>
                <w:spacing w:val="0"/>
                <w:kern w:val="2"/>
                <w:sz w:val="24"/>
                <w:szCs w:val="24"/>
                <w:highlight w:val="none"/>
                <w:u w:val="none"/>
                <w:lang w:val="en-US" w:eastAsia="zh-CN" w:bidi="ar-SA"/>
              </w:rPr>
            </w:pPr>
            <w:r>
              <w:rPr>
                <w:rFonts w:hint="eastAsia" w:ascii="宋体" w:hAnsi="宋体" w:eastAsia="宋体" w:cs="宋体"/>
                <w:b/>
                <w:bCs/>
                <w:color w:val="auto"/>
                <w:spacing w:val="0"/>
                <w:kern w:val="2"/>
                <w:sz w:val="24"/>
                <w:szCs w:val="24"/>
                <w:highlight w:val="none"/>
                <w:u w:val="none"/>
                <w:lang w:val="en-US" w:eastAsia="zh-CN" w:bidi="ar-SA"/>
              </w:rPr>
              <w:t>建设情况</w:t>
            </w:r>
          </w:p>
        </w:tc>
        <w:tc>
          <w:tcPr>
            <w:tcW w:w="1137"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bCs/>
                <w:color w:val="auto"/>
                <w:spacing w:val="0"/>
                <w:kern w:val="2"/>
                <w:sz w:val="24"/>
                <w:szCs w:val="24"/>
                <w:highlight w:val="none"/>
                <w:u w:val="none"/>
                <w:lang w:val="en-US" w:eastAsia="zh-CN" w:bidi="ar-SA"/>
              </w:rPr>
            </w:pPr>
            <w:r>
              <w:rPr>
                <w:rFonts w:hint="eastAsia" w:ascii="宋体" w:hAnsi="宋体" w:eastAsia="宋体" w:cs="宋体"/>
                <w:b/>
                <w:bCs/>
                <w:color w:val="auto"/>
                <w:spacing w:val="0"/>
                <w:kern w:val="2"/>
                <w:sz w:val="24"/>
                <w:szCs w:val="24"/>
                <w:highlight w:val="none"/>
                <w:u w:val="none"/>
                <w:lang w:val="en-US" w:eastAsia="zh-CN" w:bidi="ar-SA"/>
              </w:rPr>
              <w:t>变化情况</w:t>
            </w:r>
          </w:p>
        </w:tc>
        <w:tc>
          <w:tcPr>
            <w:tcW w:w="138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bCs/>
                <w:color w:val="auto"/>
                <w:spacing w:val="0"/>
                <w:kern w:val="2"/>
                <w:sz w:val="24"/>
                <w:szCs w:val="24"/>
                <w:highlight w:val="none"/>
                <w:u w:val="none"/>
                <w:lang w:val="en-US" w:eastAsia="zh-CN" w:bidi="ar-SA"/>
              </w:rPr>
            </w:pPr>
            <w:r>
              <w:rPr>
                <w:rFonts w:hint="eastAsia" w:ascii="宋体" w:hAnsi="宋体" w:eastAsia="宋体" w:cs="宋体"/>
                <w:b/>
                <w:bCs/>
                <w:color w:val="auto"/>
                <w:spacing w:val="0"/>
                <w:kern w:val="2"/>
                <w:sz w:val="24"/>
                <w:szCs w:val="24"/>
                <w:highlight w:val="none"/>
                <w:u w:val="none"/>
                <w:lang w:val="en-US" w:eastAsia="zh-CN" w:bidi="ar-SA"/>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509" w:hRule="atLeast"/>
          <w:jc w:val="center"/>
        </w:trPr>
        <w:tc>
          <w:tcPr>
            <w:tcW w:w="8556" w:type="dxa"/>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kern w:val="2"/>
                <w:sz w:val="24"/>
                <w:szCs w:val="24"/>
                <w:highlight w:val="none"/>
                <w:u w:val="none"/>
                <w:lang w:val="en-US" w:eastAsia="zh-CN" w:bidi="ar-SA"/>
              </w:rPr>
              <w:t>合成车间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685" w:hRule="atLeast"/>
          <w:jc w:val="center"/>
        </w:trPr>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color w:val="auto"/>
                <w:spacing w:val="0"/>
                <w:kern w:val="2"/>
                <w:sz w:val="24"/>
                <w:szCs w:val="24"/>
                <w:highlight w:val="none"/>
                <w:lang w:val="en-US" w:eastAsia="zh-CN" w:bidi="ar-SA"/>
              </w:rPr>
            </w:pPr>
            <w:r>
              <w:rPr>
                <w:rFonts w:hint="eastAsia" w:ascii="宋体" w:hAnsi="宋体" w:eastAsia="宋体" w:cs="宋体"/>
                <w:color w:val="auto"/>
                <w:spacing w:val="0"/>
                <w:sz w:val="24"/>
                <w:szCs w:val="24"/>
                <w:highlight w:val="none"/>
              </w:rPr>
              <w:t>1</w:t>
            </w:r>
          </w:p>
        </w:tc>
        <w:tc>
          <w:tcPr>
            <w:tcW w:w="190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color w:val="auto"/>
                <w:spacing w:val="0"/>
                <w:kern w:val="2"/>
                <w:sz w:val="24"/>
                <w:szCs w:val="24"/>
                <w:highlight w:val="none"/>
                <w:lang w:val="en-US" w:eastAsia="en-US" w:bidi="ar-SA"/>
              </w:rPr>
            </w:pPr>
            <w:r>
              <w:rPr>
                <w:rFonts w:hint="eastAsia" w:ascii="宋体" w:hAnsi="宋体" w:eastAsia="宋体" w:cs="宋体"/>
                <w:color w:val="auto"/>
                <w:spacing w:val="0"/>
                <w:sz w:val="24"/>
                <w:szCs w:val="24"/>
                <w:highlight w:val="none"/>
              </w:rPr>
              <w:t>电加热不锈钢反应釜</w:t>
            </w:r>
          </w:p>
        </w:tc>
        <w:tc>
          <w:tcPr>
            <w:tcW w:w="12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color w:val="auto"/>
                <w:spacing w:val="0"/>
                <w:kern w:val="2"/>
                <w:sz w:val="24"/>
                <w:szCs w:val="24"/>
                <w:highlight w:val="none"/>
                <w:lang w:val="en-US" w:eastAsia="zh-CN" w:bidi="ar-SA"/>
              </w:rPr>
            </w:pPr>
            <w:r>
              <w:rPr>
                <w:rFonts w:hint="eastAsia" w:ascii="宋体" w:hAnsi="宋体" w:eastAsia="宋体" w:cs="宋体"/>
                <w:color w:val="auto"/>
                <w:spacing w:val="0"/>
                <w:sz w:val="24"/>
                <w:szCs w:val="24"/>
                <w:highlight w:val="none"/>
              </w:rPr>
              <w:t>1000L</w:t>
            </w:r>
          </w:p>
        </w:tc>
        <w:tc>
          <w:tcPr>
            <w:tcW w:w="1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color w:val="auto"/>
                <w:spacing w:val="0"/>
                <w:kern w:val="2"/>
                <w:sz w:val="24"/>
                <w:szCs w:val="24"/>
                <w:highlight w:val="none"/>
                <w:lang w:val="en-US" w:eastAsia="zh-CN" w:bidi="ar-SA"/>
              </w:rPr>
            </w:pPr>
            <w:r>
              <w:rPr>
                <w:rFonts w:hint="eastAsia" w:ascii="宋体" w:hAnsi="宋体" w:eastAsia="宋体" w:cs="宋体"/>
                <w:color w:val="auto"/>
                <w:spacing w:val="0"/>
                <w:sz w:val="24"/>
                <w:szCs w:val="24"/>
                <w:highlight w:val="none"/>
              </w:rPr>
              <w:t>4</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color w:val="auto"/>
                <w:spacing w:val="0"/>
                <w:kern w:val="2"/>
                <w:sz w:val="24"/>
                <w:szCs w:val="24"/>
                <w:highlight w:val="none"/>
                <w:lang w:val="en-US" w:eastAsia="zh-CN" w:bidi="ar-SA"/>
              </w:rPr>
            </w:pPr>
            <w:r>
              <w:rPr>
                <w:rFonts w:hint="eastAsia" w:ascii="宋体" w:hAnsi="宋体" w:eastAsia="宋体" w:cs="宋体"/>
                <w:color w:val="auto"/>
                <w:spacing w:val="0"/>
                <w:sz w:val="24"/>
                <w:szCs w:val="24"/>
                <w:highlight w:val="none"/>
              </w:rPr>
              <w:t>4</w:t>
            </w:r>
          </w:p>
        </w:tc>
        <w:tc>
          <w:tcPr>
            <w:tcW w:w="1137"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color w:val="auto"/>
                <w:spacing w:val="0"/>
                <w:kern w:val="2"/>
                <w:sz w:val="24"/>
                <w:szCs w:val="24"/>
                <w:highlight w:val="none"/>
                <w:lang w:val="en-US" w:eastAsia="en-US" w:bidi="ar-SA"/>
              </w:rPr>
            </w:pPr>
            <w:r>
              <w:rPr>
                <w:rFonts w:hint="eastAsia" w:ascii="宋体" w:hAnsi="宋体" w:eastAsia="宋体" w:cs="宋体"/>
                <w:color w:val="auto"/>
                <w:spacing w:val="0"/>
                <w:sz w:val="24"/>
                <w:szCs w:val="24"/>
                <w:highlight w:val="none"/>
              </w:rPr>
              <w:t>一致</w:t>
            </w:r>
          </w:p>
        </w:tc>
        <w:tc>
          <w:tcPr>
            <w:tcW w:w="13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color w:val="auto"/>
                <w:spacing w:val="0"/>
                <w:kern w:val="2"/>
                <w:sz w:val="24"/>
                <w:szCs w:val="24"/>
                <w:highlight w:val="none"/>
                <w:lang w:val="en-US" w:eastAsia="zh-CN" w:bidi="ar-SA"/>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504" w:hRule="atLeast"/>
          <w:jc w:val="center"/>
        </w:trPr>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90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离心机</w:t>
            </w:r>
          </w:p>
        </w:tc>
        <w:tc>
          <w:tcPr>
            <w:tcW w:w="12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SS600</w:t>
            </w:r>
          </w:p>
        </w:tc>
        <w:tc>
          <w:tcPr>
            <w:tcW w:w="1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7"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减少1台</w:t>
            </w:r>
          </w:p>
        </w:tc>
        <w:tc>
          <w:tcPr>
            <w:tcW w:w="1388" w:type="dxa"/>
            <w:vMerge w:val="restart"/>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rPr>
              <w:t>设备现有数量能够满足生产需求</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产能</w:t>
            </w:r>
            <w:r>
              <w:rPr>
                <w:rFonts w:hint="eastAsia" w:ascii="宋体" w:hAnsi="宋体" w:eastAsia="宋体" w:cs="宋体"/>
                <w:color w:val="auto"/>
                <w:spacing w:val="0"/>
                <w:sz w:val="24"/>
                <w:szCs w:val="24"/>
                <w:highlight w:val="none"/>
                <w:lang w:val="en-US" w:eastAsia="zh-CN"/>
              </w:rPr>
              <w:t>减少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506" w:hRule="atLeast"/>
          <w:jc w:val="center"/>
        </w:trPr>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w:t>
            </w:r>
          </w:p>
        </w:tc>
        <w:tc>
          <w:tcPr>
            <w:tcW w:w="190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离心机</w:t>
            </w:r>
          </w:p>
        </w:tc>
        <w:tc>
          <w:tcPr>
            <w:tcW w:w="12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SS300</w:t>
            </w:r>
          </w:p>
        </w:tc>
        <w:tc>
          <w:tcPr>
            <w:tcW w:w="1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7"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减少1台</w:t>
            </w:r>
          </w:p>
        </w:tc>
        <w:tc>
          <w:tcPr>
            <w:tcW w:w="13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508" w:hRule="atLeast"/>
          <w:jc w:val="center"/>
        </w:trPr>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w:t>
            </w:r>
          </w:p>
        </w:tc>
        <w:tc>
          <w:tcPr>
            <w:tcW w:w="190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真空干燥箱</w:t>
            </w:r>
          </w:p>
        </w:tc>
        <w:tc>
          <w:tcPr>
            <w:tcW w:w="12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F2C-20</w:t>
            </w:r>
          </w:p>
        </w:tc>
        <w:tc>
          <w:tcPr>
            <w:tcW w:w="1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137"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减少2台</w:t>
            </w:r>
          </w:p>
        </w:tc>
        <w:tc>
          <w:tcPr>
            <w:tcW w:w="138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jc w:val="center"/>
        </w:trPr>
        <w:tc>
          <w:tcPr>
            <w:tcW w:w="59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w:t>
            </w:r>
          </w:p>
        </w:tc>
        <w:tc>
          <w:tcPr>
            <w:tcW w:w="190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混合搅拌机（防爆电机）</w:t>
            </w:r>
          </w:p>
        </w:tc>
        <w:tc>
          <w:tcPr>
            <w:tcW w:w="12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DSHB</w:t>
            </w:r>
          </w:p>
        </w:tc>
        <w:tc>
          <w:tcPr>
            <w:tcW w:w="1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7"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减少1台</w:t>
            </w:r>
          </w:p>
        </w:tc>
        <w:tc>
          <w:tcPr>
            <w:tcW w:w="1388" w:type="dxa"/>
            <w:vMerge w:val="continue"/>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59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w:t>
            </w:r>
          </w:p>
        </w:tc>
        <w:tc>
          <w:tcPr>
            <w:tcW w:w="190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冷却釜</w:t>
            </w:r>
          </w:p>
        </w:tc>
        <w:tc>
          <w:tcPr>
            <w:tcW w:w="12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1000L</w:t>
            </w:r>
          </w:p>
        </w:tc>
        <w:tc>
          <w:tcPr>
            <w:tcW w:w="1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w:t>
            </w:r>
          </w:p>
        </w:tc>
        <w:tc>
          <w:tcPr>
            <w:tcW w:w="1137"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59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w:t>
            </w:r>
          </w:p>
        </w:tc>
        <w:tc>
          <w:tcPr>
            <w:tcW w:w="190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电加热酯化反应釜</w:t>
            </w:r>
          </w:p>
        </w:tc>
        <w:tc>
          <w:tcPr>
            <w:tcW w:w="12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1000L</w:t>
            </w:r>
          </w:p>
        </w:tc>
        <w:tc>
          <w:tcPr>
            <w:tcW w:w="1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7"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jc w:val="center"/>
        </w:trPr>
        <w:tc>
          <w:tcPr>
            <w:tcW w:w="59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w:t>
            </w:r>
          </w:p>
        </w:tc>
        <w:tc>
          <w:tcPr>
            <w:tcW w:w="190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减压蒸馏罐</w:t>
            </w:r>
          </w:p>
        </w:tc>
        <w:tc>
          <w:tcPr>
            <w:tcW w:w="12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1000L</w:t>
            </w:r>
          </w:p>
        </w:tc>
        <w:tc>
          <w:tcPr>
            <w:tcW w:w="1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7"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59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9</w:t>
            </w:r>
          </w:p>
        </w:tc>
        <w:tc>
          <w:tcPr>
            <w:tcW w:w="190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片式冷凝器</w:t>
            </w:r>
          </w:p>
        </w:tc>
        <w:tc>
          <w:tcPr>
            <w:tcW w:w="12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rPr>
              <w:t>10</w:t>
            </w:r>
            <w:r>
              <w:rPr>
                <w:rFonts w:hint="eastAsia" w:ascii="宋体" w:hAnsi="宋体" w:cs="宋体"/>
                <w:color w:val="auto"/>
                <w:spacing w:val="0"/>
                <w:sz w:val="24"/>
                <w:szCs w:val="24"/>
                <w:highlight w:val="none"/>
                <w:lang w:eastAsia="zh-CN"/>
              </w:rPr>
              <w:t>㎡</w:t>
            </w:r>
          </w:p>
        </w:tc>
        <w:tc>
          <w:tcPr>
            <w:tcW w:w="1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7"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59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w:t>
            </w:r>
          </w:p>
        </w:tc>
        <w:tc>
          <w:tcPr>
            <w:tcW w:w="190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圆盘搅拌机</w:t>
            </w:r>
          </w:p>
        </w:tc>
        <w:tc>
          <w:tcPr>
            <w:tcW w:w="12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1000-2000L</w:t>
            </w:r>
          </w:p>
        </w:tc>
        <w:tc>
          <w:tcPr>
            <w:tcW w:w="1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7"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jc w:val="center"/>
        </w:trPr>
        <w:tc>
          <w:tcPr>
            <w:tcW w:w="59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11</w:t>
            </w:r>
          </w:p>
        </w:tc>
        <w:tc>
          <w:tcPr>
            <w:tcW w:w="190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真空泵</w:t>
            </w:r>
          </w:p>
        </w:tc>
        <w:tc>
          <w:tcPr>
            <w:tcW w:w="12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XD</w:t>
            </w:r>
          </w:p>
        </w:tc>
        <w:tc>
          <w:tcPr>
            <w:tcW w:w="1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7"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59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12</w:t>
            </w:r>
          </w:p>
        </w:tc>
        <w:tc>
          <w:tcPr>
            <w:tcW w:w="190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胺鲜酯原油收集罐</w:t>
            </w:r>
          </w:p>
        </w:tc>
        <w:tc>
          <w:tcPr>
            <w:tcW w:w="12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c>
          <w:tcPr>
            <w:tcW w:w="11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7"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8557"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kern w:val="2"/>
                <w:sz w:val="24"/>
                <w:szCs w:val="24"/>
                <w:highlight w:val="none"/>
                <w:u w:val="none"/>
                <w:lang w:val="en-US" w:eastAsia="zh-CN" w:bidi="ar-SA"/>
              </w:rPr>
              <w:t>粉剂车间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85" w:hRule="atLeast"/>
          <w:jc w:val="center"/>
        </w:trPr>
        <w:tc>
          <w:tcPr>
            <w:tcW w:w="5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13</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双螺旋锥形混合机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DSHB</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77" w:hRule="atLeast"/>
          <w:jc w:val="center"/>
        </w:trPr>
        <w:tc>
          <w:tcPr>
            <w:tcW w:w="5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14</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万能粉碎机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WF-30B</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减少2台</w:t>
            </w:r>
          </w:p>
        </w:tc>
        <w:tc>
          <w:tcPr>
            <w:tcW w:w="1388" w:type="dxa"/>
            <w:vMerge w:val="restart"/>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粉剂车间需粉碎量很少，1</w:t>
            </w:r>
          </w:p>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台万能粉碎机可满足生产需求。其他设备均为包装设备，因包装速度远快于生产速度，根据实际生产需要减少包装设备数量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77" w:hRule="atLeast"/>
          <w:jc w:val="center"/>
        </w:trPr>
        <w:tc>
          <w:tcPr>
            <w:tcW w:w="5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15</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水平包装机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DXD-130</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减少4台</w:t>
            </w:r>
          </w:p>
        </w:tc>
        <w:tc>
          <w:tcPr>
            <w:tcW w:w="13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587" w:hRule="atLeast"/>
          <w:jc w:val="center"/>
        </w:trPr>
        <w:tc>
          <w:tcPr>
            <w:tcW w:w="5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16</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水平包装机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MDXDM-180</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减少2台</w:t>
            </w:r>
          </w:p>
        </w:tc>
        <w:tc>
          <w:tcPr>
            <w:tcW w:w="13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685" w:hRule="atLeast"/>
          <w:jc w:val="center"/>
        </w:trPr>
        <w:tc>
          <w:tcPr>
            <w:tcW w:w="5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17</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自动定量粉剂包装机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GMB-01</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减少2台</w:t>
            </w:r>
          </w:p>
        </w:tc>
        <w:tc>
          <w:tcPr>
            <w:tcW w:w="13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80" w:hRule="atLeast"/>
          <w:jc w:val="center"/>
        </w:trPr>
        <w:tc>
          <w:tcPr>
            <w:tcW w:w="5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18</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自动泡罩包装机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DPP-140</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减少1台</w:t>
            </w:r>
          </w:p>
        </w:tc>
        <w:tc>
          <w:tcPr>
            <w:tcW w:w="13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873" w:hRule="atLeast"/>
          <w:jc w:val="center"/>
        </w:trPr>
        <w:tc>
          <w:tcPr>
            <w:tcW w:w="5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19</w:t>
            </w:r>
          </w:p>
        </w:tc>
        <w:tc>
          <w:tcPr>
            <w:tcW w:w="190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自动打包机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减少3台</w:t>
            </w:r>
          </w:p>
        </w:tc>
        <w:tc>
          <w:tcPr>
            <w:tcW w:w="13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685" w:hRule="atLeast"/>
          <w:jc w:val="center"/>
        </w:trPr>
        <w:tc>
          <w:tcPr>
            <w:tcW w:w="5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20</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全自动硬胶囊充填机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NJP</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685" w:hRule="atLeast"/>
          <w:jc w:val="center"/>
        </w:trPr>
        <w:tc>
          <w:tcPr>
            <w:tcW w:w="5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21</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自动三维透明膜包装机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KH-T160</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77" w:hRule="atLeast"/>
          <w:jc w:val="center"/>
        </w:trPr>
        <w:tc>
          <w:tcPr>
            <w:tcW w:w="5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22</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真空包装机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DZ600</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87" w:hRule="atLeast"/>
          <w:jc w:val="center"/>
        </w:trPr>
        <w:tc>
          <w:tcPr>
            <w:tcW w:w="5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23</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热收缩膜机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R425</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487" w:hRule="atLeast"/>
          <w:jc w:val="center"/>
        </w:trPr>
        <w:tc>
          <w:tcPr>
            <w:tcW w:w="8556"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lang w:eastAsia="zh-CN"/>
              </w:rPr>
            </w:pPr>
            <w:r>
              <w:rPr>
                <w:rFonts w:hint="eastAsia" w:ascii="宋体" w:hAnsi="宋体" w:eastAsia="宋体" w:cs="宋体"/>
                <w:b/>
                <w:bCs/>
                <w:color w:val="auto"/>
                <w:spacing w:val="0"/>
                <w:kern w:val="2"/>
                <w:sz w:val="24"/>
                <w:szCs w:val="24"/>
                <w:highlight w:val="none"/>
                <w:u w:val="none"/>
                <w:lang w:val="en-US" w:eastAsia="zh-CN" w:bidi="ar-SA"/>
              </w:rPr>
              <w:t>水剂车间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2320" w:hRule="atLeast"/>
          <w:jc w:val="center"/>
        </w:trPr>
        <w:tc>
          <w:tcPr>
            <w:tcW w:w="5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24</w:t>
            </w:r>
          </w:p>
        </w:tc>
        <w:tc>
          <w:tcPr>
            <w:tcW w:w="190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调制釜</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1000-2000L</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12</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8（总容积20</w:t>
            </w:r>
            <w:r>
              <w:rPr>
                <w:rFonts w:hint="eastAsia" w:cs="宋体"/>
                <w:color w:val="auto"/>
                <w:spacing w:val="0"/>
                <w:sz w:val="24"/>
                <w:szCs w:val="24"/>
                <w:highlight w:val="none"/>
                <w:lang w:eastAsia="zh-CN"/>
              </w:rPr>
              <w:t>m³</w:t>
            </w:r>
            <w:r>
              <w:rPr>
                <w:rFonts w:hint="eastAsia" w:ascii="宋体" w:hAnsi="宋体" w:eastAsia="宋体" w:cs="宋体"/>
                <w:color w:val="auto"/>
                <w:spacing w:val="0"/>
                <w:sz w:val="24"/>
                <w:szCs w:val="24"/>
                <w:highlight w:val="none"/>
              </w:rPr>
              <w:t>）</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减少4台</w:t>
            </w:r>
          </w:p>
        </w:tc>
        <w:tc>
          <w:tcPr>
            <w:tcW w:w="138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环评12台调制釜总容积为2</w:t>
            </w:r>
            <w:r>
              <w:rPr>
                <w:rFonts w:hint="eastAsia" w:cs="宋体"/>
                <w:color w:val="auto"/>
                <w:spacing w:val="0"/>
                <w:sz w:val="24"/>
                <w:szCs w:val="24"/>
                <w:highlight w:val="none"/>
                <w:lang w:eastAsia="zh-CN"/>
              </w:rPr>
              <w:t>m³</w:t>
            </w:r>
            <w:r>
              <w:rPr>
                <w:rFonts w:hint="eastAsia" w:ascii="宋体" w:hAnsi="宋体" w:eastAsia="宋体" w:cs="宋体"/>
                <w:color w:val="auto"/>
                <w:spacing w:val="0"/>
                <w:sz w:val="24"/>
                <w:szCs w:val="24"/>
                <w:highlight w:val="none"/>
              </w:rPr>
              <w:t>~24</w:t>
            </w:r>
            <w:r>
              <w:rPr>
                <w:rFonts w:hint="eastAsia" w:cs="宋体"/>
                <w:color w:val="auto"/>
                <w:spacing w:val="0"/>
                <w:sz w:val="24"/>
                <w:szCs w:val="24"/>
                <w:highlight w:val="none"/>
                <w:lang w:eastAsia="zh-CN"/>
              </w:rPr>
              <w:t>m³</w:t>
            </w:r>
            <w:r>
              <w:rPr>
                <w:rFonts w:hint="eastAsia" w:ascii="宋体" w:hAnsi="宋体" w:eastAsia="宋体" w:cs="宋体"/>
                <w:color w:val="auto"/>
                <w:spacing w:val="0"/>
                <w:sz w:val="24"/>
                <w:szCs w:val="24"/>
                <w:highlight w:val="none"/>
              </w:rPr>
              <w:t>，</w:t>
            </w:r>
          </w:p>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实际建设8台调制釜总容积为20</w:t>
            </w:r>
            <w:r>
              <w:rPr>
                <w:rFonts w:hint="eastAsia" w:cs="宋体"/>
                <w:color w:val="auto"/>
                <w:spacing w:val="0"/>
                <w:sz w:val="24"/>
                <w:szCs w:val="24"/>
                <w:highlight w:val="none"/>
                <w:lang w:eastAsia="zh-CN"/>
              </w:rPr>
              <w:t>m³</w:t>
            </w:r>
            <w:r>
              <w:rPr>
                <w:rFonts w:hint="eastAsia" w:ascii="宋体" w:hAnsi="宋体" w:eastAsia="宋体" w:cs="宋体"/>
                <w:color w:val="auto"/>
                <w:spacing w:val="0"/>
                <w:sz w:val="24"/>
                <w:szCs w:val="24"/>
                <w:highlight w:val="none"/>
              </w:rPr>
              <w:t>，实际与环评一致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1" w:type="dxa"/>
          <w:trHeight w:val="899" w:hRule="atLeast"/>
          <w:jc w:val="center"/>
        </w:trPr>
        <w:tc>
          <w:tcPr>
            <w:tcW w:w="59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25</w:t>
            </w:r>
          </w:p>
        </w:tc>
        <w:tc>
          <w:tcPr>
            <w:tcW w:w="190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储料、沉降罐</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1000-2000L</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9</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18</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增加9台</w:t>
            </w:r>
          </w:p>
        </w:tc>
        <w:tc>
          <w:tcPr>
            <w:tcW w:w="138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增加9台均为</w:t>
            </w:r>
          </w:p>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原料储罐，不</w:t>
            </w:r>
          </w:p>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影响产能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59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26</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分散机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FG-350</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59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27</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全自动上瓶机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LP-200</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59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28</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自动打包机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59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29</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反渗透纯水设备</w:t>
            </w:r>
          </w:p>
        </w:tc>
        <w:tc>
          <w:tcPr>
            <w:tcW w:w="1262"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RO-1000型</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59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30</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水平式包装机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DXD-130</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减少1台</w:t>
            </w:r>
          </w:p>
        </w:tc>
        <w:tc>
          <w:tcPr>
            <w:tcW w:w="138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水剂车间产能限值环节为调制釜，这些设备现有数量能够满足生产需求</w:t>
            </w:r>
            <w:r>
              <w:rPr>
                <w:rFonts w:hint="eastAsia" w:ascii="宋体" w:hAnsi="宋体" w:eastAsia="宋体" w:cs="宋体"/>
                <w:color w:val="auto"/>
                <w:spacing w:val="0"/>
                <w:sz w:val="24"/>
                <w:szCs w:val="24"/>
                <w:highlight w:val="none"/>
                <w:lang w:eastAsia="zh-CN"/>
              </w:rPr>
              <w:t>，</w:t>
            </w:r>
            <w:r>
              <w:rPr>
                <w:rFonts w:hint="eastAsia" w:ascii="宋体" w:hAnsi="宋体" w:eastAsia="宋体" w:cs="宋体"/>
                <w:color w:val="auto"/>
                <w:spacing w:val="0"/>
                <w:sz w:val="24"/>
                <w:szCs w:val="24"/>
                <w:highlight w:val="none"/>
              </w:rPr>
              <w:t>且数量均为减少，不会导致产能增加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59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31</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自动旋盖机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FXZ-6J</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减少2台</w:t>
            </w:r>
          </w:p>
        </w:tc>
        <w:tc>
          <w:tcPr>
            <w:tcW w:w="13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59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32</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铝箔封口机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RF2000</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减少4台</w:t>
            </w:r>
          </w:p>
        </w:tc>
        <w:tc>
          <w:tcPr>
            <w:tcW w:w="13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59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33</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喷码机</w:t>
            </w:r>
          </w:p>
        </w:tc>
        <w:tc>
          <w:tcPr>
            <w:tcW w:w="1262"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430型</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减少1台</w:t>
            </w:r>
          </w:p>
        </w:tc>
        <w:tc>
          <w:tcPr>
            <w:tcW w:w="13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59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34</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全自动码垛机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ZG-2</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减少1台</w:t>
            </w:r>
          </w:p>
        </w:tc>
        <w:tc>
          <w:tcPr>
            <w:tcW w:w="13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jc w:val="center"/>
        </w:trPr>
        <w:tc>
          <w:tcPr>
            <w:tcW w:w="59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35</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全自动称重式灌装机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CC50-2</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0</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减少4台</w:t>
            </w:r>
          </w:p>
        </w:tc>
        <w:tc>
          <w:tcPr>
            <w:tcW w:w="13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jc w:val="center"/>
        </w:trPr>
        <w:tc>
          <w:tcPr>
            <w:tcW w:w="59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36</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半自动称重式灌装机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CC1000</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0</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减少4台</w:t>
            </w:r>
          </w:p>
        </w:tc>
        <w:tc>
          <w:tcPr>
            <w:tcW w:w="13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jc w:val="center"/>
        </w:trPr>
        <w:tc>
          <w:tcPr>
            <w:tcW w:w="59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37</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全自动灌装机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CCG1000</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jc w:val="center"/>
        </w:trPr>
        <w:tc>
          <w:tcPr>
            <w:tcW w:w="59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38</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智能化不干胶贴标机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TN-1500L</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jc w:val="center"/>
        </w:trPr>
        <w:tc>
          <w:tcPr>
            <w:tcW w:w="8557" w:type="dxa"/>
            <w:gridSpan w:val="8"/>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b/>
                <w:bCs/>
                <w:color w:val="auto"/>
                <w:spacing w:val="0"/>
                <w:kern w:val="2"/>
                <w:sz w:val="24"/>
                <w:szCs w:val="24"/>
                <w:highlight w:val="none"/>
                <w:u w:val="none"/>
                <w:lang w:val="en-US" w:eastAsia="zh-CN" w:bidi="ar-SA"/>
              </w:rPr>
              <w:t>乳油车间（悬浮剂生产线除外）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jc w:val="center"/>
        </w:trPr>
        <w:tc>
          <w:tcPr>
            <w:tcW w:w="59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39</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调制釜</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1000-2000L</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jc w:val="center"/>
        </w:trPr>
        <w:tc>
          <w:tcPr>
            <w:tcW w:w="59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40</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沉降釜</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1000L</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jc w:val="center"/>
        </w:trPr>
        <w:tc>
          <w:tcPr>
            <w:tcW w:w="59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41</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立式自动袋装机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59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42</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全自动灌装机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CCG1000</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jc w:val="center"/>
        </w:trPr>
        <w:tc>
          <w:tcPr>
            <w:tcW w:w="59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43</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自动旋盖机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FXZ-6J</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jc w:val="center"/>
        </w:trPr>
        <w:tc>
          <w:tcPr>
            <w:tcW w:w="59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44</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铝箔封口机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RF2000</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59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45</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全自动上瓶机</w:t>
            </w:r>
          </w:p>
        </w:tc>
        <w:tc>
          <w:tcPr>
            <w:tcW w:w="126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LP-200</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jc w:val="center"/>
        </w:trPr>
        <w:tc>
          <w:tcPr>
            <w:tcW w:w="59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46</w:t>
            </w:r>
          </w:p>
        </w:tc>
        <w:tc>
          <w:tcPr>
            <w:tcW w:w="1908"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喷码机</w:t>
            </w:r>
          </w:p>
        </w:tc>
        <w:tc>
          <w:tcPr>
            <w:tcW w:w="1262"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430型</w:t>
            </w:r>
          </w:p>
        </w:tc>
        <w:tc>
          <w:tcPr>
            <w:tcW w:w="113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137" w:type="dxa"/>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一致</w:t>
            </w:r>
          </w:p>
        </w:tc>
        <w:tc>
          <w:tcPr>
            <w:tcW w:w="13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w:t>
            </w:r>
          </w:p>
        </w:tc>
      </w:tr>
    </w:tbl>
    <w:p>
      <w:pPr>
        <w:numPr>
          <w:ilvl w:val="0"/>
          <w:numId w:val="0"/>
        </w:numPr>
        <w:spacing w:line="520" w:lineRule="exact"/>
        <w:ind w:firstLine="560" w:firstLineChars="200"/>
        <w:jc w:val="both"/>
        <w:outlineLvl w:val="3"/>
        <w:rPr>
          <w:rFonts w:hint="eastAsia" w:ascii="宋体" w:hAnsi="宋体" w:eastAsia="宋体" w:cs="宋体"/>
          <w:b w:val="0"/>
          <w:bCs w:val="0"/>
          <w:color w:val="auto"/>
          <w:kern w:val="2"/>
          <w:sz w:val="28"/>
          <w:szCs w:val="24"/>
          <w:highlight w:val="none"/>
          <w:lang w:val="en-US" w:eastAsia="zh-CN" w:bidi="ar-SA"/>
        </w:rPr>
      </w:pPr>
      <w:r>
        <w:rPr>
          <w:rFonts w:hint="eastAsia" w:ascii="宋体" w:hAnsi="宋体" w:eastAsia="宋体" w:cs="宋体"/>
          <w:b w:val="0"/>
          <w:bCs w:val="0"/>
          <w:color w:val="auto"/>
          <w:kern w:val="2"/>
          <w:sz w:val="28"/>
          <w:szCs w:val="24"/>
          <w:highlight w:val="none"/>
          <w:lang w:val="en-US" w:eastAsia="zh-CN" w:bidi="ar-SA"/>
        </w:rPr>
        <w:t>（2）主要原辅材料消耗</w:t>
      </w:r>
    </w:p>
    <w:p>
      <w:pPr>
        <w:pStyle w:val="10"/>
        <w:adjustRightInd w:val="0"/>
        <w:snapToGrid w:val="0"/>
        <w:spacing w:line="480" w:lineRule="exact"/>
        <w:ind w:left="0" w:leftChars="0" w:firstLine="0" w:firstLineChars="0"/>
        <w:jc w:val="center"/>
        <w:rPr>
          <w:rFonts w:hint="eastAsia" w:ascii="宋体" w:hAnsi="宋体" w:eastAsia="宋体" w:cs="宋体"/>
          <w:color w:val="auto"/>
          <w:sz w:val="28"/>
          <w:szCs w:val="21"/>
          <w:highlight w:val="none"/>
        </w:rPr>
      </w:pPr>
      <w:bookmarkStart w:id="111" w:name="_Toc107924572"/>
      <w:bookmarkStart w:id="112" w:name="_Toc161"/>
      <w:bookmarkStart w:id="113" w:name="_Toc19828"/>
      <w:r>
        <w:rPr>
          <w:rFonts w:hint="eastAsia" w:ascii="宋体" w:hAnsi="宋体" w:eastAsia="宋体" w:cs="宋体"/>
          <w:b/>
          <w:bCs/>
          <w:color w:val="auto"/>
          <w:sz w:val="28"/>
          <w:szCs w:val="21"/>
          <w:highlight w:val="none"/>
          <w:lang w:val="en-US" w:eastAsia="zh-CN"/>
        </w:rPr>
        <w:t>表4-2</w:t>
      </w:r>
      <w:r>
        <w:rPr>
          <w:rFonts w:hint="eastAsia" w:ascii="宋体" w:hAnsi="宋体" w:eastAsia="宋体" w:cs="宋体"/>
          <w:b/>
          <w:bCs/>
          <w:color w:val="auto"/>
          <w:sz w:val="28"/>
          <w:szCs w:val="21"/>
          <w:highlight w:val="none"/>
        </w:rPr>
        <w:t>原辅材料、中间产品、产品中涉及</w:t>
      </w:r>
      <w:r>
        <w:rPr>
          <w:rFonts w:hint="eastAsia" w:hAnsi="宋体" w:eastAsia="宋体" w:cs="宋体"/>
          <w:b/>
          <w:bCs/>
          <w:color w:val="auto"/>
          <w:sz w:val="28"/>
          <w:szCs w:val="21"/>
          <w:highlight w:val="none"/>
          <w:lang w:val="en-US" w:eastAsia="zh-CN"/>
        </w:rPr>
        <w:t>能源消耗</w:t>
      </w:r>
      <w:r>
        <w:rPr>
          <w:rFonts w:hint="eastAsia" w:ascii="宋体" w:hAnsi="宋体" w:eastAsia="宋体" w:cs="宋体"/>
          <w:b/>
          <w:bCs/>
          <w:color w:val="auto"/>
          <w:sz w:val="28"/>
          <w:szCs w:val="21"/>
          <w:highlight w:val="none"/>
        </w:rPr>
        <w:t>情况一览表</w:t>
      </w:r>
    </w:p>
    <w:tbl>
      <w:tblPr>
        <w:tblStyle w:val="44"/>
        <w:tblW w:w="831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969"/>
        <w:gridCol w:w="2072"/>
        <w:gridCol w:w="2186"/>
        <w:gridCol w:w="1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jc w:val="center"/>
        </w:trPr>
        <w:tc>
          <w:tcPr>
            <w:tcW w:w="861" w:type="dxa"/>
            <w:tcBorders>
              <w:lef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bCs/>
                <w:color w:val="auto"/>
                <w:spacing w:val="0"/>
                <w:kern w:val="2"/>
                <w:sz w:val="24"/>
                <w:szCs w:val="24"/>
                <w:highlight w:val="none"/>
                <w:u w:val="none"/>
                <w:lang w:val="en-US" w:eastAsia="zh-CN" w:bidi="ar-SA"/>
              </w:rPr>
            </w:pPr>
            <w:r>
              <w:rPr>
                <w:rFonts w:hint="eastAsia" w:ascii="宋体" w:hAnsi="宋体" w:eastAsia="宋体" w:cs="宋体"/>
                <w:b/>
                <w:bCs/>
                <w:color w:val="auto"/>
                <w:spacing w:val="0"/>
                <w:kern w:val="2"/>
                <w:sz w:val="24"/>
                <w:szCs w:val="24"/>
                <w:highlight w:val="none"/>
                <w:u w:val="none"/>
                <w:lang w:val="en-US" w:eastAsia="zh-CN" w:bidi="ar-SA"/>
              </w:rPr>
              <w:t>序号</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bCs/>
                <w:color w:val="auto"/>
                <w:spacing w:val="0"/>
                <w:kern w:val="2"/>
                <w:sz w:val="24"/>
                <w:szCs w:val="24"/>
                <w:highlight w:val="none"/>
                <w:u w:val="none"/>
                <w:lang w:val="en-US" w:eastAsia="zh-CN" w:bidi="ar-SA"/>
              </w:rPr>
            </w:pPr>
            <w:r>
              <w:rPr>
                <w:rFonts w:hint="eastAsia" w:ascii="宋体" w:hAnsi="宋体" w:eastAsia="宋体" w:cs="宋体"/>
                <w:b/>
                <w:bCs/>
                <w:color w:val="auto"/>
                <w:spacing w:val="0"/>
                <w:kern w:val="2"/>
                <w:sz w:val="24"/>
                <w:szCs w:val="24"/>
                <w:highlight w:val="none"/>
                <w:u w:val="none"/>
                <w:lang w:val="en-US" w:eastAsia="zh-CN" w:bidi="ar-SA"/>
              </w:rPr>
              <w:t>原料/能源</w:t>
            </w:r>
          </w:p>
        </w:tc>
        <w:tc>
          <w:tcPr>
            <w:tcW w:w="2072"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bCs/>
                <w:color w:val="auto"/>
                <w:spacing w:val="0"/>
                <w:kern w:val="2"/>
                <w:sz w:val="24"/>
                <w:szCs w:val="24"/>
                <w:highlight w:val="none"/>
                <w:u w:val="none"/>
                <w:lang w:val="en-US" w:eastAsia="zh-CN" w:bidi="ar-SA"/>
              </w:rPr>
            </w:pPr>
            <w:r>
              <w:rPr>
                <w:rFonts w:hint="eastAsia" w:ascii="宋体" w:hAnsi="宋体" w:eastAsia="宋体" w:cs="宋体"/>
                <w:b/>
                <w:bCs/>
                <w:color w:val="auto"/>
                <w:spacing w:val="0"/>
                <w:kern w:val="2"/>
                <w:sz w:val="24"/>
                <w:szCs w:val="24"/>
                <w:highlight w:val="none"/>
                <w:u w:val="none"/>
                <w:lang w:val="en-US" w:eastAsia="zh-CN" w:bidi="ar-SA"/>
              </w:rPr>
              <w:t>设计年耗量（t/a）</w:t>
            </w:r>
          </w:p>
        </w:tc>
        <w:tc>
          <w:tcPr>
            <w:tcW w:w="2186"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bCs/>
                <w:color w:val="auto"/>
                <w:spacing w:val="0"/>
                <w:kern w:val="2"/>
                <w:sz w:val="24"/>
                <w:szCs w:val="24"/>
                <w:highlight w:val="none"/>
                <w:u w:val="none"/>
                <w:lang w:val="en-US" w:eastAsia="zh-CN" w:bidi="ar-SA"/>
              </w:rPr>
            </w:pPr>
            <w:r>
              <w:rPr>
                <w:rFonts w:hint="eastAsia" w:ascii="宋体" w:hAnsi="宋体" w:eastAsia="宋体" w:cs="宋体"/>
                <w:b/>
                <w:bCs/>
                <w:color w:val="auto"/>
                <w:spacing w:val="0"/>
                <w:kern w:val="2"/>
                <w:sz w:val="24"/>
                <w:szCs w:val="24"/>
                <w:highlight w:val="none"/>
                <w:u w:val="none"/>
                <w:lang w:val="en-US" w:eastAsia="zh-CN" w:bidi="ar-SA"/>
              </w:rPr>
              <w:t>调试期间消耗量（t）</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bCs/>
                <w:color w:val="auto"/>
                <w:spacing w:val="0"/>
                <w:kern w:val="2"/>
                <w:sz w:val="24"/>
                <w:szCs w:val="24"/>
                <w:highlight w:val="none"/>
                <w:u w:val="none"/>
                <w:lang w:val="en-US" w:eastAsia="zh-CN" w:bidi="ar-SA"/>
              </w:rPr>
            </w:pPr>
            <w:r>
              <w:rPr>
                <w:rFonts w:hint="eastAsia" w:ascii="宋体" w:hAnsi="宋体" w:eastAsia="宋体" w:cs="宋体"/>
                <w:b/>
                <w:bCs/>
                <w:color w:val="auto"/>
                <w:spacing w:val="0"/>
                <w:kern w:val="2"/>
                <w:sz w:val="24"/>
                <w:szCs w:val="24"/>
                <w:highlight w:val="none"/>
                <w:u w:val="none"/>
                <w:lang w:val="en-US" w:eastAsia="zh-CN" w:bidi="ar-SA"/>
              </w:rPr>
              <w:t>来源</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kern w:val="2"/>
          <w:sz w:val="24"/>
          <w:szCs w:val="24"/>
          <w:highlight w:val="none"/>
          <w:u w:val="none"/>
          <w:lang w:val="en-US" w:eastAsia="zh-CN" w:bidi="ar-SA"/>
        </w:rPr>
      </w:pPr>
      <w:r>
        <w:rPr>
          <w:rFonts w:hint="eastAsia" w:ascii="宋体" w:hAnsi="宋体" w:eastAsia="宋体" w:cs="宋体"/>
          <w:b/>
          <w:bCs/>
          <w:color w:val="auto"/>
          <w:spacing w:val="0"/>
          <w:kern w:val="2"/>
          <w:sz w:val="24"/>
          <w:szCs w:val="24"/>
          <w:highlight w:val="none"/>
          <w:u w:val="none"/>
          <w:lang w:val="en-US" w:eastAsia="zh-CN" w:bidi="ar-SA"/>
        </w:rPr>
        <w:t>95%复硝酚钠</w:t>
      </w:r>
    </w:p>
    <w:tbl>
      <w:tblPr>
        <w:tblStyle w:val="44"/>
        <w:tblW w:w="83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6"/>
        <w:gridCol w:w="1969"/>
        <w:gridCol w:w="2071"/>
        <w:gridCol w:w="2186"/>
        <w:gridCol w:w="1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876"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5-硝基愈创木酚</w:t>
            </w:r>
          </w:p>
        </w:tc>
        <w:tc>
          <w:tcPr>
            <w:tcW w:w="2071"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2.84</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0.852</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876"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邻硝基苯酚</w:t>
            </w:r>
          </w:p>
        </w:tc>
        <w:tc>
          <w:tcPr>
            <w:tcW w:w="2071"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5.616</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1.685</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876"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对硝基苯酚</w:t>
            </w:r>
          </w:p>
        </w:tc>
        <w:tc>
          <w:tcPr>
            <w:tcW w:w="2071"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8.366</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lang w:eastAsia="zh-CN"/>
              </w:rPr>
              <w:t>4.3</w:t>
            </w:r>
            <w:r>
              <w:rPr>
                <w:rFonts w:hint="eastAsia" w:ascii="宋体" w:hAnsi="宋体" w:eastAsia="宋体" w:cs="宋体"/>
                <w:color w:val="auto"/>
                <w:spacing w:val="0"/>
                <w:sz w:val="24"/>
                <w:szCs w:val="24"/>
                <w:highlight w:val="none"/>
              </w:rPr>
              <w:t>1</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jc w:val="center"/>
        </w:trPr>
        <w:tc>
          <w:tcPr>
            <w:tcW w:w="876"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氢氧化钠</w:t>
            </w:r>
          </w:p>
        </w:tc>
        <w:tc>
          <w:tcPr>
            <w:tcW w:w="2071"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4.682</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1.405</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p>
    <w:tbl>
      <w:tblPr>
        <w:tblStyle w:val="44"/>
        <w:tblW w:w="8312"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969"/>
        <w:gridCol w:w="2072"/>
        <w:gridCol w:w="2186"/>
        <w:gridCol w:w="1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kern w:val="2"/>
                <w:sz w:val="24"/>
                <w:szCs w:val="24"/>
                <w:highlight w:val="none"/>
                <w:u w:val="none"/>
                <w:lang w:val="en-US" w:eastAsia="zh-CN" w:bidi="ar-SA"/>
              </w:rPr>
            </w:pPr>
            <w:r>
              <w:rPr>
                <w:rFonts w:hint="eastAsia" w:ascii="宋体" w:hAnsi="宋体" w:eastAsia="宋体" w:cs="宋体"/>
                <w:b/>
                <w:bCs/>
                <w:color w:val="auto"/>
                <w:spacing w:val="0"/>
                <w:kern w:val="2"/>
                <w:sz w:val="24"/>
                <w:szCs w:val="24"/>
                <w:highlight w:val="none"/>
                <w:u w:val="none"/>
                <w:lang w:val="en-US" w:eastAsia="zh-CN" w:bidi="ar-SA"/>
              </w:rPr>
              <w:t>序号</w:t>
            </w:r>
          </w:p>
        </w:tc>
        <w:tc>
          <w:tcPr>
            <w:tcW w:w="1969"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kern w:val="2"/>
                <w:sz w:val="24"/>
                <w:szCs w:val="24"/>
                <w:highlight w:val="none"/>
                <w:u w:val="none"/>
                <w:lang w:val="en-US" w:eastAsia="zh-CN" w:bidi="ar-SA"/>
              </w:rPr>
            </w:pPr>
            <w:r>
              <w:rPr>
                <w:rFonts w:hint="eastAsia" w:ascii="宋体" w:hAnsi="宋体" w:eastAsia="宋体" w:cs="宋体"/>
                <w:b/>
                <w:bCs/>
                <w:color w:val="auto"/>
                <w:spacing w:val="0"/>
                <w:kern w:val="2"/>
                <w:sz w:val="24"/>
                <w:szCs w:val="24"/>
                <w:highlight w:val="none"/>
                <w:u w:val="none"/>
                <w:lang w:val="en-US" w:eastAsia="zh-CN" w:bidi="ar-SA"/>
              </w:rPr>
              <w:t>原料/能源</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kern w:val="2"/>
                <w:sz w:val="24"/>
                <w:szCs w:val="24"/>
                <w:highlight w:val="none"/>
                <w:u w:val="none"/>
                <w:lang w:val="en-US" w:eastAsia="zh-CN" w:bidi="ar-SA"/>
              </w:rPr>
            </w:pPr>
            <w:r>
              <w:rPr>
                <w:rFonts w:hint="eastAsia" w:ascii="宋体" w:hAnsi="宋体" w:eastAsia="宋体" w:cs="宋体"/>
                <w:b/>
                <w:bCs/>
                <w:color w:val="auto"/>
                <w:spacing w:val="0"/>
                <w:kern w:val="2"/>
                <w:sz w:val="24"/>
                <w:szCs w:val="24"/>
                <w:highlight w:val="none"/>
                <w:u w:val="none"/>
                <w:lang w:val="en-US" w:eastAsia="zh-CN" w:bidi="ar-SA"/>
              </w:rPr>
              <w:t>设计年耗量（t/a）</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kern w:val="2"/>
                <w:sz w:val="24"/>
                <w:szCs w:val="24"/>
                <w:highlight w:val="none"/>
                <w:u w:val="none"/>
                <w:lang w:val="en-US" w:eastAsia="zh-CN" w:bidi="ar-SA"/>
              </w:rPr>
            </w:pPr>
            <w:r>
              <w:rPr>
                <w:rFonts w:hint="eastAsia" w:ascii="宋体" w:hAnsi="宋体" w:eastAsia="宋体" w:cs="宋体"/>
                <w:b/>
                <w:bCs/>
                <w:color w:val="auto"/>
                <w:spacing w:val="0"/>
                <w:kern w:val="2"/>
                <w:sz w:val="24"/>
                <w:szCs w:val="24"/>
                <w:highlight w:val="none"/>
                <w:u w:val="none"/>
                <w:lang w:val="en-US" w:eastAsia="zh-CN" w:bidi="ar-SA"/>
              </w:rPr>
              <w:t>调试期间消耗量（t）</w:t>
            </w:r>
          </w:p>
        </w:tc>
        <w:tc>
          <w:tcPr>
            <w:tcW w:w="1224" w:type="dxa"/>
            <w:tcBorders>
              <w:righ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kern w:val="2"/>
                <w:sz w:val="24"/>
                <w:szCs w:val="24"/>
                <w:highlight w:val="none"/>
                <w:u w:val="none"/>
                <w:lang w:val="en-US" w:eastAsia="zh-CN" w:bidi="ar-SA"/>
              </w:rPr>
            </w:pPr>
            <w:r>
              <w:rPr>
                <w:rFonts w:hint="eastAsia" w:ascii="宋体" w:hAnsi="宋体" w:eastAsia="宋体" w:cs="宋体"/>
                <w:b/>
                <w:bCs/>
                <w:color w:val="auto"/>
                <w:spacing w:val="0"/>
                <w:kern w:val="2"/>
                <w:sz w:val="24"/>
                <w:szCs w:val="24"/>
                <w:highlight w:val="none"/>
                <w:u w:val="none"/>
                <w:lang w:val="en-US" w:eastAsia="zh-CN" w:bidi="ar-SA"/>
              </w:rPr>
              <w:t>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氯化钠</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1.2</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0.36</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水</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0.3</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kern w:val="2"/>
          <w:sz w:val="24"/>
          <w:szCs w:val="24"/>
          <w:highlight w:val="none"/>
          <w:u w:val="none"/>
          <w:lang w:val="en-US" w:eastAsia="zh-CN" w:bidi="ar-SA"/>
        </w:rPr>
      </w:pPr>
      <w:r>
        <w:rPr>
          <w:rFonts w:hint="eastAsia" w:ascii="宋体" w:hAnsi="宋体" w:eastAsia="宋体" w:cs="宋体"/>
          <w:b/>
          <w:bCs/>
          <w:color w:val="auto"/>
          <w:spacing w:val="0"/>
          <w:kern w:val="2"/>
          <w:sz w:val="24"/>
          <w:szCs w:val="24"/>
          <w:highlight w:val="none"/>
          <w:u w:val="none"/>
          <w:lang w:val="en-US" w:eastAsia="zh-CN" w:bidi="ar-SA"/>
        </w:rPr>
        <w:t>98%α-萘乙酸钠原药</w:t>
      </w:r>
    </w:p>
    <w:tbl>
      <w:tblPr>
        <w:tblStyle w:val="44"/>
        <w:tblW w:w="8312"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969"/>
        <w:gridCol w:w="2072"/>
        <w:gridCol w:w="2186"/>
        <w:gridCol w:w="1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“-萘乙酸</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177.04</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53.112</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氢氧化钠</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38</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11.4</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9</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氯化钠</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10.2</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3.06</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水</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18.6</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5.58</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kern w:val="2"/>
          <w:sz w:val="24"/>
          <w:szCs w:val="24"/>
          <w:highlight w:val="none"/>
          <w:u w:val="none"/>
          <w:lang w:val="en-US" w:eastAsia="zh-CN" w:bidi="ar-SA"/>
        </w:rPr>
      </w:pPr>
      <w:r>
        <w:rPr>
          <w:rFonts w:hint="eastAsia" w:ascii="宋体" w:hAnsi="宋体" w:eastAsia="宋体" w:cs="宋体"/>
          <w:b/>
          <w:bCs/>
          <w:color w:val="auto"/>
          <w:spacing w:val="0"/>
          <w:kern w:val="2"/>
          <w:sz w:val="24"/>
          <w:szCs w:val="24"/>
          <w:highlight w:val="none"/>
          <w:u w:val="none"/>
          <w:lang w:val="en-US" w:eastAsia="zh-CN" w:bidi="ar-SA"/>
        </w:rPr>
        <w:t>98%胺鲜酯原药</w:t>
      </w:r>
    </w:p>
    <w:tbl>
      <w:tblPr>
        <w:tblStyle w:val="44"/>
        <w:tblW w:w="8312"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969"/>
        <w:gridCol w:w="2072"/>
        <w:gridCol w:w="2186"/>
        <w:gridCol w:w="1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11</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己酸</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58.14</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17.442</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12</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二乙氨基乙醇</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58.14</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17.442</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13</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一水柠檬酸</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100</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30</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14</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碳酸氢钠</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3.8</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1.14</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kern w:val="2"/>
          <w:sz w:val="24"/>
          <w:szCs w:val="24"/>
          <w:highlight w:val="none"/>
          <w:u w:val="none"/>
          <w:lang w:val="en-US" w:eastAsia="zh-CN" w:bidi="ar-SA"/>
        </w:rPr>
      </w:pPr>
      <w:r>
        <w:rPr>
          <w:rFonts w:hint="eastAsia" w:ascii="宋体" w:hAnsi="宋体" w:eastAsia="宋体" w:cs="宋体"/>
          <w:b/>
          <w:bCs/>
          <w:color w:val="auto"/>
          <w:spacing w:val="0"/>
          <w:kern w:val="2"/>
          <w:sz w:val="24"/>
          <w:szCs w:val="24"/>
          <w:highlight w:val="none"/>
          <w:u w:val="none"/>
          <w:lang w:val="en-US" w:eastAsia="zh-CN" w:bidi="ar-SA"/>
        </w:rPr>
        <w:t>1.4%复硝酚钠可溶粉剂</w:t>
      </w:r>
    </w:p>
    <w:tbl>
      <w:tblPr>
        <w:tblStyle w:val="44"/>
        <w:tblW w:w="8312"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969"/>
        <w:gridCol w:w="2072"/>
        <w:gridCol w:w="2186"/>
        <w:gridCol w:w="1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15</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复硝酚钠</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18</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5.4</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16</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速溶硼</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1170</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351</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17</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十二烷基苯磺酸钠</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12</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3.6</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kern w:val="2"/>
          <w:sz w:val="24"/>
          <w:szCs w:val="24"/>
          <w:highlight w:val="none"/>
          <w:u w:val="none"/>
          <w:lang w:val="en-US" w:eastAsia="zh-CN" w:bidi="ar-SA"/>
        </w:rPr>
      </w:pPr>
      <w:r>
        <w:rPr>
          <w:rFonts w:hint="eastAsia" w:ascii="宋体" w:hAnsi="宋体" w:eastAsia="宋体" w:cs="宋体"/>
          <w:b/>
          <w:bCs/>
          <w:color w:val="auto"/>
          <w:spacing w:val="0"/>
          <w:kern w:val="2"/>
          <w:sz w:val="24"/>
          <w:szCs w:val="24"/>
          <w:highlight w:val="none"/>
          <w:u w:val="none"/>
          <w:lang w:val="en-US" w:eastAsia="zh-CN" w:bidi="ar-SA"/>
        </w:rPr>
        <w:t>2.85%硝钠·萘乙酸水剂</w:t>
      </w:r>
    </w:p>
    <w:tbl>
      <w:tblPr>
        <w:tblStyle w:val="44"/>
        <w:tblW w:w="8312"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969"/>
        <w:gridCol w:w="2072"/>
        <w:gridCol w:w="2186"/>
        <w:gridCol w:w="1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18</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复硝酚钠</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259.5</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77.85</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19</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萘乙酸钠</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rPr>
              <w:t>2</w:t>
            </w:r>
            <w:r>
              <w:rPr>
                <w:rFonts w:hint="eastAsia" w:ascii="宋体" w:hAnsi="宋体" w:eastAsia="宋体" w:cs="宋体"/>
                <w:color w:val="auto"/>
                <w:spacing w:val="0"/>
                <w:sz w:val="24"/>
                <w:szCs w:val="24"/>
                <w:highlight w:val="none"/>
                <w:lang w:eastAsia="zh-CN"/>
              </w:rPr>
              <w:t>4.3</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6.75</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20</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水</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1218</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365.4</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kern w:val="2"/>
          <w:sz w:val="24"/>
          <w:szCs w:val="24"/>
          <w:highlight w:val="none"/>
          <w:u w:val="none"/>
          <w:lang w:val="en-US" w:eastAsia="zh-CN" w:bidi="ar-SA"/>
        </w:rPr>
      </w:pPr>
      <w:r>
        <w:rPr>
          <w:rFonts w:hint="eastAsia" w:ascii="宋体" w:hAnsi="宋体" w:eastAsia="宋体" w:cs="宋体"/>
          <w:b/>
          <w:bCs/>
          <w:color w:val="auto"/>
          <w:spacing w:val="0"/>
          <w:kern w:val="2"/>
          <w:sz w:val="24"/>
          <w:szCs w:val="24"/>
          <w:highlight w:val="none"/>
          <w:u w:val="none"/>
          <w:lang w:val="en-US" w:eastAsia="zh-CN" w:bidi="ar-SA"/>
        </w:rPr>
        <w:t>250g</w:t>
      </w:r>
      <w:r>
        <w:rPr>
          <w:rFonts w:hint="eastAsia" w:ascii="宋体" w:hAnsi="宋体" w:eastAsia="宋体" w:cs="宋体"/>
          <w:b/>
          <w:bCs/>
          <w:color w:val="auto"/>
          <w:spacing w:val="0"/>
          <w:sz w:val="24"/>
          <w:szCs w:val="24"/>
          <w:highlight w:val="none"/>
          <w:lang w:val="en-US" w:eastAsia="zh-CN"/>
        </w:rPr>
        <w:t>/L甲哌鎓水</w:t>
      </w:r>
      <w:r>
        <w:rPr>
          <w:rFonts w:hint="eastAsia" w:ascii="宋体" w:hAnsi="宋体" w:eastAsia="宋体" w:cs="宋体"/>
          <w:b/>
          <w:bCs/>
          <w:color w:val="auto"/>
          <w:spacing w:val="0"/>
          <w:kern w:val="2"/>
          <w:sz w:val="24"/>
          <w:szCs w:val="24"/>
          <w:highlight w:val="none"/>
          <w:u w:val="none"/>
          <w:lang w:val="en-US" w:eastAsia="zh-CN" w:bidi="ar-SA"/>
        </w:rPr>
        <w:t>剂</w:t>
      </w:r>
    </w:p>
    <w:tbl>
      <w:tblPr>
        <w:tblStyle w:val="44"/>
        <w:tblW w:w="8312"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969"/>
        <w:gridCol w:w="2072"/>
        <w:gridCol w:w="2186"/>
        <w:gridCol w:w="1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21</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甲哌鎓</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130</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39</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22</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水</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370</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111</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40%乙烯利水剂</w:t>
      </w:r>
    </w:p>
    <w:tbl>
      <w:tblPr>
        <w:tblStyle w:val="44"/>
        <w:tblW w:w="8312"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969"/>
        <w:gridCol w:w="2072"/>
        <w:gridCol w:w="2186"/>
        <w:gridCol w:w="1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23</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乙烯利</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250</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75</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24</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水</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250</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75</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30%乙蒜素乳油</w:t>
      </w:r>
    </w:p>
    <w:tbl>
      <w:tblPr>
        <w:tblStyle w:val="44"/>
        <w:tblW w:w="8326"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6"/>
        <w:gridCol w:w="1969"/>
        <w:gridCol w:w="2071"/>
        <w:gridCol w:w="2186"/>
        <w:gridCol w:w="1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76"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25</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乙蒜素</w:t>
            </w:r>
          </w:p>
        </w:tc>
        <w:tc>
          <w:tcPr>
            <w:tcW w:w="2071"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rPr>
              <w:t>11</w:t>
            </w:r>
            <w:r>
              <w:rPr>
                <w:rFonts w:hint="eastAsia" w:ascii="宋体" w:hAnsi="宋体" w:eastAsia="宋体" w:cs="宋体"/>
                <w:color w:val="auto"/>
                <w:spacing w:val="0"/>
                <w:sz w:val="24"/>
                <w:szCs w:val="24"/>
                <w:highlight w:val="none"/>
                <w:lang w:eastAsia="zh-CN"/>
              </w:rPr>
              <w:t>4.3</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33.75</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p>
    <w:tbl>
      <w:tblPr>
        <w:tblStyle w:val="44"/>
        <w:tblW w:w="8312"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969"/>
        <w:gridCol w:w="2072"/>
        <w:gridCol w:w="2186"/>
        <w:gridCol w:w="1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序号</w:t>
            </w:r>
          </w:p>
        </w:tc>
        <w:tc>
          <w:tcPr>
            <w:tcW w:w="1969"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原料/能源</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设计年耗量（t/a）</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调试期间消耗量（t）</w:t>
            </w:r>
          </w:p>
        </w:tc>
        <w:tc>
          <w:tcPr>
            <w:tcW w:w="1224" w:type="dxa"/>
            <w:tcBorders>
              <w:righ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26</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菌乳化剂</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3.6</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1.08</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27</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乙醇</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183.9</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55.17</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20%氰戊·马拉松乳油</w:t>
      </w:r>
    </w:p>
    <w:tbl>
      <w:tblPr>
        <w:tblStyle w:val="44"/>
        <w:tblW w:w="8312"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969"/>
        <w:gridCol w:w="2072"/>
        <w:gridCol w:w="2186"/>
        <w:gridCol w:w="1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28</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氰戊菊酯</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15.68</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4.704</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29</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马拉硫磷</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16.24</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4.872</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30</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乐乳化剂</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3.36</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1.008</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31</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乙醇</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143.92</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43.176</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32</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油酸甲酯</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100.8</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30.24</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3.2%阿维·哒乳油</w:t>
      </w:r>
    </w:p>
    <w:tbl>
      <w:tblPr>
        <w:tblStyle w:val="44"/>
        <w:tblW w:w="8312"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969"/>
        <w:gridCol w:w="2072"/>
        <w:gridCol w:w="2186"/>
        <w:gridCol w:w="1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33</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阿维菌素</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0.06</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0.018</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34</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哒螨灵</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0.68</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0.204</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35</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乙醇</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10.28</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3.084</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36</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油酸甲酯</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7.38</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2.214</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37</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乳化剂</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1.6</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0.48</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水溶肥（液体）</w:t>
      </w:r>
    </w:p>
    <w:tbl>
      <w:tblPr>
        <w:tblStyle w:val="44"/>
        <w:tblW w:w="8326"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6"/>
        <w:gridCol w:w="1969"/>
        <w:gridCol w:w="2071"/>
        <w:gridCol w:w="2186"/>
        <w:gridCol w:w="1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76"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38</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甘氨酸</w:t>
            </w:r>
          </w:p>
        </w:tc>
        <w:tc>
          <w:tcPr>
            <w:tcW w:w="2071"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7.5</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2.25</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76"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39</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一水硫酸锰</w:t>
            </w:r>
          </w:p>
        </w:tc>
        <w:tc>
          <w:tcPr>
            <w:tcW w:w="2071"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27.5</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8.25</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76"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40</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七水硫酸锌</w:t>
            </w:r>
          </w:p>
        </w:tc>
        <w:tc>
          <w:tcPr>
            <w:tcW w:w="2071"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70</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21</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76"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41</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硼酸</w:t>
            </w:r>
          </w:p>
        </w:tc>
        <w:tc>
          <w:tcPr>
            <w:tcW w:w="2071"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15.5</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4.65</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76"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42</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尿素</w:t>
            </w:r>
          </w:p>
        </w:tc>
        <w:tc>
          <w:tcPr>
            <w:tcW w:w="2071"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400</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120</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76"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43</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磷酸二氢钾</w:t>
            </w:r>
          </w:p>
        </w:tc>
        <w:tc>
          <w:tcPr>
            <w:tcW w:w="2071"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120</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36</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76"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44</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腐植酸钾</w:t>
            </w:r>
          </w:p>
        </w:tc>
        <w:tc>
          <w:tcPr>
            <w:tcW w:w="2071"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35</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10.5</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76"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45</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四水硝酸钙</w:t>
            </w:r>
          </w:p>
        </w:tc>
        <w:tc>
          <w:tcPr>
            <w:tcW w:w="2071"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75</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rPr>
              <w:t>2</w:t>
            </w:r>
            <w:r>
              <w:rPr>
                <w:rFonts w:hint="eastAsia" w:ascii="宋体" w:hAnsi="宋体" w:eastAsia="宋体" w:cs="宋体"/>
                <w:color w:val="auto"/>
                <w:spacing w:val="0"/>
                <w:sz w:val="24"/>
                <w:szCs w:val="24"/>
                <w:highlight w:val="none"/>
                <w:lang w:eastAsia="zh-CN"/>
              </w:rPr>
              <w:t>4.3</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76"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46</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氯化钙</w:t>
            </w:r>
          </w:p>
        </w:tc>
        <w:tc>
          <w:tcPr>
            <w:tcW w:w="2071"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75</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lang w:eastAsia="zh-CN"/>
              </w:rPr>
            </w:pPr>
            <w:r>
              <w:rPr>
                <w:rFonts w:hint="eastAsia" w:ascii="宋体" w:hAnsi="宋体" w:eastAsia="宋体" w:cs="宋体"/>
                <w:color w:val="auto"/>
                <w:spacing w:val="0"/>
                <w:sz w:val="24"/>
                <w:szCs w:val="24"/>
                <w:highlight w:val="none"/>
              </w:rPr>
              <w:t>2</w:t>
            </w:r>
            <w:r>
              <w:rPr>
                <w:rFonts w:hint="eastAsia" w:ascii="宋体" w:hAnsi="宋体" w:eastAsia="宋体" w:cs="宋体"/>
                <w:color w:val="auto"/>
                <w:spacing w:val="0"/>
                <w:sz w:val="24"/>
                <w:szCs w:val="24"/>
                <w:highlight w:val="none"/>
                <w:lang w:eastAsia="zh-CN"/>
              </w:rPr>
              <w:t>4.3</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76"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47</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焦磷酸钾</w:t>
            </w:r>
          </w:p>
        </w:tc>
        <w:tc>
          <w:tcPr>
            <w:tcW w:w="2071"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150</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45</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76"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48</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硝酸钾</w:t>
            </w:r>
          </w:p>
        </w:tc>
        <w:tc>
          <w:tcPr>
            <w:tcW w:w="2071"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76"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49</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硫酸钾</w:t>
            </w:r>
          </w:p>
        </w:tc>
        <w:tc>
          <w:tcPr>
            <w:tcW w:w="2071"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300</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90</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76"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50</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氯化钾</w:t>
            </w:r>
          </w:p>
        </w:tc>
        <w:tc>
          <w:tcPr>
            <w:tcW w:w="2071"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100</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30</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bl>
    <w:p>
      <w:pPr>
        <w:pStyle w:val="6"/>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p>
    <w:tbl>
      <w:tblPr>
        <w:tblStyle w:val="44"/>
        <w:tblW w:w="831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969"/>
        <w:gridCol w:w="2072"/>
        <w:gridCol w:w="2186"/>
        <w:gridCol w:w="1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序号</w:t>
            </w:r>
          </w:p>
        </w:tc>
        <w:tc>
          <w:tcPr>
            <w:tcW w:w="1969"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原料/能源</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设计年耗量（t/a）</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调试期间消耗量（t）</w:t>
            </w:r>
          </w:p>
        </w:tc>
        <w:tc>
          <w:tcPr>
            <w:tcW w:w="1224" w:type="dxa"/>
            <w:tcBorders>
              <w:righ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51</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17%氨基酸</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207.5</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62.25</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52</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水</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453.5</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136.05</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53</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纯化水</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453.5</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136.05</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水溶肥（固体颗粒）</w:t>
      </w:r>
    </w:p>
    <w:tbl>
      <w:tblPr>
        <w:tblStyle w:val="44"/>
        <w:tblW w:w="831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1"/>
        <w:gridCol w:w="1969"/>
        <w:gridCol w:w="2072"/>
        <w:gridCol w:w="2186"/>
        <w:gridCol w:w="1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54</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一水硫酸锰</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22.8</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6.84</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55</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七水硫酸锌</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45.6</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13.68</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56</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硼酸</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45.6</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13.68</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57</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尿素</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410.4</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123.12</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58</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磷酸二氢钾</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456</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136.8</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59</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腐植酸钾</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57</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17.1</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60</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硝酸钾</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456</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136.8</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61</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硫酸钾</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570</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171</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62</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氯化钙</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91.2</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27.36</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63</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一水硫酸锌</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11.4</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3.42</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861"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64</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甘氨酸</w:t>
            </w:r>
          </w:p>
        </w:tc>
        <w:tc>
          <w:tcPr>
            <w:tcW w:w="2072"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114</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34.2</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外购</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动力消耗</w:t>
      </w:r>
    </w:p>
    <w:tbl>
      <w:tblPr>
        <w:tblStyle w:val="44"/>
        <w:tblW w:w="83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6"/>
        <w:gridCol w:w="1969"/>
        <w:gridCol w:w="2071"/>
        <w:gridCol w:w="2186"/>
        <w:gridCol w:w="12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876"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65</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电</w:t>
            </w:r>
          </w:p>
        </w:tc>
        <w:tc>
          <w:tcPr>
            <w:tcW w:w="2071"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60万kWh</w:t>
            </w:r>
          </w:p>
        </w:tc>
        <w:tc>
          <w:tcPr>
            <w:tcW w:w="2186"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18万kWh</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市政供电管网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jc w:val="center"/>
        </w:trPr>
        <w:tc>
          <w:tcPr>
            <w:tcW w:w="876" w:type="dxa"/>
            <w:tcBorders>
              <w:left w:val="nil"/>
            </w:tcBorders>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66</w:t>
            </w:r>
          </w:p>
        </w:tc>
        <w:tc>
          <w:tcPr>
            <w:tcW w:w="1969" w:type="dxa"/>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蒸汽</w:t>
            </w:r>
          </w:p>
        </w:tc>
        <w:tc>
          <w:tcPr>
            <w:tcW w:w="2071"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2250</w:t>
            </w:r>
          </w:p>
        </w:tc>
        <w:tc>
          <w:tcPr>
            <w:tcW w:w="2186"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675</w:t>
            </w:r>
          </w:p>
        </w:tc>
        <w:tc>
          <w:tcPr>
            <w:tcW w:w="1224" w:type="dxa"/>
            <w:tcBorders>
              <w:right w:val="nil"/>
            </w:tcBorders>
            <w:vAlign w:val="top"/>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市政供热管网</w:t>
            </w:r>
          </w:p>
        </w:tc>
      </w:tr>
    </w:tbl>
    <w:p>
      <w:pPr>
        <w:pStyle w:val="10"/>
        <w:adjustRightInd w:val="0"/>
        <w:snapToGrid w:val="0"/>
        <w:spacing w:line="480" w:lineRule="exact"/>
        <w:ind w:left="0" w:leftChars="0" w:firstLine="0" w:firstLineChars="0"/>
        <w:jc w:val="center"/>
        <w:rPr>
          <w:rFonts w:hint="eastAsia" w:ascii="宋体" w:hAnsi="宋体" w:eastAsia="宋体" w:cs="宋体"/>
          <w:color w:val="auto"/>
          <w:sz w:val="28"/>
          <w:szCs w:val="21"/>
          <w:highlight w:val="none"/>
        </w:rPr>
      </w:pPr>
    </w:p>
    <w:p>
      <w:pPr>
        <w:pStyle w:val="3"/>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b/>
          <w:bCs/>
          <w:kern w:val="2"/>
          <w:sz w:val="28"/>
          <w:szCs w:val="32"/>
          <w:lang w:val="en-US" w:eastAsia="zh-CN" w:bidi="ar-SA"/>
        </w:rPr>
      </w:pPr>
      <w:bookmarkStart w:id="114" w:name="_Toc29773"/>
      <w:r>
        <w:rPr>
          <w:rFonts w:hint="eastAsia" w:ascii="宋体" w:hAnsi="宋体" w:eastAsia="宋体" w:cs="宋体"/>
          <w:b/>
          <w:bCs/>
          <w:kern w:val="2"/>
          <w:sz w:val="28"/>
          <w:szCs w:val="32"/>
          <w:lang w:val="en-US" w:eastAsia="zh-CN" w:bidi="ar-SA"/>
        </w:rPr>
        <w:t>4.2企业生产工艺</w:t>
      </w:r>
      <w:bookmarkEnd w:id="111"/>
      <w:bookmarkEnd w:id="112"/>
      <w:bookmarkEnd w:id="113"/>
      <w:r>
        <w:rPr>
          <w:rFonts w:hint="eastAsia" w:ascii="宋体" w:hAnsi="宋体" w:eastAsia="宋体" w:cs="宋体"/>
          <w:b/>
          <w:bCs/>
          <w:kern w:val="2"/>
          <w:sz w:val="28"/>
          <w:szCs w:val="32"/>
          <w:lang w:val="en-US" w:eastAsia="zh-CN" w:bidi="ar-SA"/>
        </w:rPr>
        <w:t>及产排污环节</w:t>
      </w:r>
      <w:bookmarkEnd w:id="114"/>
    </w:p>
    <w:p>
      <w:pPr>
        <w:pageBreakBefore w:val="0"/>
        <w:kinsoku/>
        <w:wordWrap/>
        <w:overflowPunct/>
        <w:topLinePunct w:val="0"/>
        <w:bidi w:val="0"/>
        <w:spacing w:line="360" w:lineRule="auto"/>
        <w:ind w:left="0" w:leftChars="0" w:right="0"/>
        <w:jc w:val="both"/>
        <w:rPr>
          <w:rFonts w:hint="eastAsia" w:ascii="宋体" w:hAnsi="宋体" w:eastAsia="宋体" w:cs="宋体"/>
          <w:b w:val="0"/>
          <w:bCs w:val="0"/>
          <w:color w:val="auto"/>
          <w:spacing w:val="0"/>
          <w:kern w:val="2"/>
          <w:sz w:val="28"/>
          <w:szCs w:val="28"/>
          <w:highlight w:val="none"/>
          <w:u w:val="none"/>
          <w:lang w:val="en-US" w:eastAsia="zh-CN" w:bidi="ar-SA"/>
        </w:rPr>
      </w:pPr>
      <w:bookmarkStart w:id="115" w:name="_Toc32045"/>
      <w:bookmarkStart w:id="116" w:name="_Toc25394_WPSOffice_Level1"/>
      <w:bookmarkStart w:id="117" w:name="_Toc25354_WPSOffice_Level1"/>
      <w:bookmarkStart w:id="118" w:name="_Toc26004772"/>
      <w:bookmarkStart w:id="119" w:name="_Toc30707"/>
      <w:bookmarkStart w:id="120" w:name="_Toc17786"/>
      <w:bookmarkStart w:id="121" w:name="_Toc11417"/>
      <w:bookmarkStart w:id="122" w:name="_Toc5120"/>
      <w:bookmarkStart w:id="123" w:name="_Toc22500"/>
      <w:bookmarkStart w:id="124" w:name="_Toc19887_WPSOffice_Level1"/>
      <w:bookmarkStart w:id="125" w:name="_Toc53736354"/>
      <w:bookmarkStart w:id="126" w:name="_Toc22983"/>
      <w:bookmarkStart w:id="127" w:name="_Toc12454"/>
      <w:bookmarkStart w:id="128" w:name="_Toc26004781"/>
      <w:bookmarkStart w:id="129" w:name="_Toc14776"/>
      <w:bookmarkStart w:id="130" w:name="_Toc29431"/>
      <w:bookmarkStart w:id="131" w:name="_Toc29313_WPSOffice_Level1"/>
      <w:bookmarkStart w:id="132" w:name="_Toc19398"/>
      <w:bookmarkStart w:id="133" w:name="_Toc15291"/>
      <w:r>
        <w:rPr>
          <w:rFonts w:hint="eastAsia" w:ascii="宋体" w:hAnsi="宋体" w:eastAsia="宋体" w:cs="宋体"/>
          <w:b w:val="0"/>
          <w:bCs w:val="0"/>
          <w:color w:val="auto"/>
          <w:spacing w:val="0"/>
          <w:kern w:val="2"/>
          <w:sz w:val="28"/>
          <w:szCs w:val="28"/>
          <w:highlight w:val="none"/>
          <w:u w:val="none"/>
          <w:lang w:val="en-US" w:eastAsia="zh-CN" w:bidi="ar-SA"/>
        </w:rPr>
        <w:t>本项目第一阶段所有生产原料，经厂区内来料检验合格后，进入后续各生产工序。具体生产工艺流程如下。</w:t>
      </w:r>
    </w:p>
    <w:p>
      <w:pPr>
        <w:pageBreakBefore w:val="0"/>
        <w:kinsoku/>
        <w:wordWrap/>
        <w:overflowPunct/>
        <w:topLinePunct w:val="0"/>
        <w:bidi w:val="0"/>
        <w:spacing w:line="360" w:lineRule="auto"/>
        <w:ind w:right="0"/>
        <w:rPr>
          <w:rFonts w:hint="eastAsia" w:ascii="宋体" w:hAnsi="宋体" w:eastAsia="宋体" w:cs="宋体"/>
          <w:color w:val="auto"/>
          <w:spacing w:val="0"/>
          <w:sz w:val="28"/>
          <w:szCs w:val="28"/>
          <w:highlight w:val="none"/>
        </w:rPr>
      </w:pPr>
      <w:r>
        <w:rPr>
          <w:rFonts w:hint="eastAsia" w:ascii="宋体" w:hAnsi="宋体" w:eastAsia="宋体" w:cs="宋体"/>
          <w:color w:val="auto"/>
          <w:spacing w:val="0"/>
          <w:position w:val="17"/>
          <w:sz w:val="28"/>
          <w:szCs w:val="28"/>
          <w:highlight w:val="none"/>
        </w:rPr>
        <w:t>（1）95%复硝酚钠生产工艺流程</w:t>
      </w:r>
    </w:p>
    <w:p>
      <w:pPr>
        <w:pageBreakBefore w:val="0"/>
        <w:kinsoku/>
        <w:wordWrap/>
        <w:overflowPunct/>
        <w:topLinePunct w:val="0"/>
        <w:bidi w:val="0"/>
        <w:spacing w:line="360" w:lineRule="auto"/>
        <w:ind w:left="0" w:leftChars="0" w:right="0"/>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rPr>
        <w:t>1）水解钠化工序</w:t>
      </w:r>
    </w:p>
    <w:p>
      <w:pPr>
        <w:pageBreakBefore w:val="0"/>
        <w:kinsoku/>
        <w:wordWrap/>
        <w:overflowPunct/>
        <w:topLinePunct w:val="0"/>
        <w:bidi w:val="0"/>
        <w:spacing w:line="360" w:lineRule="auto"/>
        <w:ind w:left="0" w:leftChars="0" w:right="0" w:firstLine="478"/>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rPr>
        <w:t>将99%氢氧化钠加水调配至40%后，与5-硝基愈创木酚一起加入电加热不锈钢反应釜内，电加热至80℃左右进行水解钠化反应，反应2h后制得5-硝基愈创木酚钠，以5-硝基愈创木酚计，该反应的转化率为99%。</w:t>
      </w:r>
    </w:p>
    <w:p>
      <w:pPr>
        <w:pageBreakBefore w:val="0"/>
        <w:kinsoku/>
        <w:wordWrap/>
        <w:overflowPunct/>
        <w:topLinePunct w:val="0"/>
        <w:bidi w:val="0"/>
        <w:spacing w:line="360" w:lineRule="auto"/>
        <w:ind w:left="0" w:leftChars="0" w:right="0"/>
        <w:jc w:val="left"/>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反应参数：水解钠化反应整个工序每批需要时间约2小时，反应温度为80℃,pH为7.5～9.5。</w:t>
      </w:r>
    </w:p>
    <w:p>
      <w:pPr>
        <w:pageBreakBefore w:val="0"/>
        <w:kinsoku/>
        <w:wordWrap/>
        <w:overflowPunct/>
        <w:topLinePunct w:val="0"/>
        <w:bidi w:val="0"/>
        <w:spacing w:line="360" w:lineRule="auto"/>
        <w:ind w:left="0" w:leftChars="0" w:right="0"/>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rPr>
        <w:t>2）盐析结晶</w:t>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将反应液送入冷却水罐中加入工业盐，由冷却水冷却至室温（20℃左右）条件下进行盐析结晶，5-硝基愈创木酚钠在反应液中结晶析出。</w:t>
      </w:r>
    </w:p>
    <w:p>
      <w:pPr>
        <w:pageBreakBefore w:val="0"/>
        <w:kinsoku/>
        <w:wordWrap/>
        <w:overflowPunct/>
        <w:topLinePunct w:val="0"/>
        <w:bidi w:val="0"/>
        <w:spacing w:line="360" w:lineRule="auto"/>
        <w:ind w:left="0" w:leftChars="0" w:right="0"/>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rPr>
        <w:t>3）离心工序</w:t>
      </w:r>
    </w:p>
    <w:p>
      <w:pPr>
        <w:pageBreakBefore w:val="0"/>
        <w:kinsoku/>
        <w:wordWrap/>
        <w:overflowPunct/>
        <w:topLinePunct w:val="0"/>
        <w:bidi w:val="0"/>
        <w:spacing w:line="360" w:lineRule="auto"/>
        <w:ind w:left="0" w:leftChars="0" w:right="0" w:firstLine="478"/>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rPr>
        <w:t>将盐析结晶后的反应液送离心机进行离心分离，分离得到5-硝基愈创木酚钠，分离出的离心液主要成分为水、工业盐（NaCl）、少量未反应的有机原料和氢氧化钠，大部分回至反应釜作为配料循环使用，少量离心液经蒸发装置蒸发后，冷凝水回用于水解钠化工序，蒸发残液采用专用容器收集后暂存在危废品库。</w:t>
      </w:r>
    </w:p>
    <w:p>
      <w:pPr>
        <w:pageBreakBefore w:val="0"/>
        <w:kinsoku/>
        <w:wordWrap/>
        <w:overflowPunct/>
        <w:topLinePunct w:val="0"/>
        <w:bidi w:val="0"/>
        <w:spacing w:line="360" w:lineRule="auto"/>
        <w:ind w:left="0" w:leftChars="0" w:right="0" w:firstLine="560" w:firstLineChars="200"/>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rPr>
        <w:t>邻硝基苯酚钠和对硝基苯酚钠的制取方法与5-硝基愈创木酚钠相同。</w:t>
      </w:r>
    </w:p>
    <w:p>
      <w:pPr>
        <w:pageBreakBefore w:val="0"/>
        <w:kinsoku/>
        <w:wordWrap/>
        <w:overflowPunct/>
        <w:topLinePunct w:val="0"/>
        <w:bidi w:val="0"/>
        <w:spacing w:line="360" w:lineRule="auto"/>
        <w:ind w:left="0" w:leftChars="0" w:right="0"/>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rPr>
        <w:t>4）混合工序</w:t>
      </w:r>
    </w:p>
    <w:p>
      <w:pPr>
        <w:pageBreakBefore w:val="0"/>
        <w:kinsoku/>
        <w:wordWrap/>
        <w:overflowPunct/>
        <w:topLinePunct w:val="0"/>
        <w:bidi w:val="0"/>
        <w:spacing w:line="360" w:lineRule="auto"/>
        <w:ind w:left="0" w:leftChars="0" w:right="0" w:firstLine="560" w:firstLineChars="200"/>
        <w:jc w:val="left"/>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将制取的5-硝基愈创木酚钠、邻硝基苯酚钠和对硝基苯酚钠按照1：2：3的比例称量后，在混合搅拌机中进行混合搅拌，混合均匀后进入烘干工序。</w:t>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5）烘干、包装工序</w:t>
      </w:r>
    </w:p>
    <w:p>
      <w:pPr>
        <w:pageBreakBefore w:val="0"/>
        <w:kinsoku/>
        <w:wordWrap/>
        <w:overflowPunct/>
        <w:topLinePunct w:val="0"/>
        <w:bidi w:val="0"/>
        <w:spacing w:line="360" w:lineRule="auto"/>
        <w:ind w:left="0" w:leftChars="0" w:right="0" w:firstLine="479"/>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烘干工序采用真空烘干机进行加热，其工作原理是由电提供热源，将水加热至80℃,80℃的热水进入烘干箱中对混合后的物料进行间接加热，加热至混合物料含水≤5%后，即得成品复硝酚钠。成品复硝酚钠采用半自动定量包装机，经准确计量后包装，包装后成品入库。复硝酚钠为片状晶体，在包装过程中无粉尘产生。</w:t>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复硝酚钠生产工艺流程见下图。</w:t>
      </w:r>
    </w:p>
    <w:p>
      <w:pPr>
        <w:pageBreakBefore w:val="0"/>
        <w:kinsoku/>
        <w:wordWrap/>
        <w:overflowPunct/>
        <w:topLinePunct w:val="0"/>
        <w:bidi w:val="0"/>
        <w:spacing w:line="360" w:lineRule="auto"/>
        <w:ind w:left="0" w:leftChars="0" w:right="0" w:firstLine="87"/>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mc:AlternateContent>
          <mc:Choice Requires="wps">
            <w:drawing>
              <wp:anchor distT="0" distB="0" distL="114300" distR="114300" simplePos="0" relativeHeight="251669504" behindDoc="0" locked="0" layoutInCell="0" allowOverlap="1">
                <wp:simplePos x="0" y="0"/>
                <wp:positionH relativeFrom="page">
                  <wp:posOffset>2578735</wp:posOffset>
                </wp:positionH>
                <wp:positionV relativeFrom="page">
                  <wp:posOffset>7361555</wp:posOffset>
                </wp:positionV>
                <wp:extent cx="1905" cy="171450"/>
                <wp:effectExtent l="0" t="0" r="10795" b="6350"/>
                <wp:wrapNone/>
                <wp:docPr id="80" name="矩形 80"/>
                <wp:cNvGraphicFramePr/>
                <a:graphic xmlns:a="http://schemas.openxmlformats.org/drawingml/2006/main">
                  <a:graphicData uri="http://schemas.microsoft.com/office/word/2010/wordprocessingShape">
                    <wps:wsp>
                      <wps:cNvSpPr/>
                      <wps:spPr>
                        <a:xfrm>
                          <a:off x="0" y="0"/>
                          <a:ext cx="1905" cy="17145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203.05pt;margin-top:579.65pt;height:13.5pt;width:0.15pt;mso-position-horizontal-relative:page;mso-position-vertical-relative:page;z-index:251669504;mso-width-relative:page;mso-height-relative:page;" fillcolor="#000000" filled="t" stroked="f" coordsize="21600,21600" o:allowincell="f" o:gfxdata="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9&#10;4/0r2gAAAA0BAAAPAAAAAAAAAAEAIAAAACIAAABkcnMvZG93bnJldi54bWxQSwECFAAUAAAACACH&#10;TuJA3t9cz7ABAABeAwAADgAAAAAAAAABACAAAAApAQAAZHJzL2Uyb0RvYy54bWxQSwUGAAAAAAYA&#10;BgBZAQAASwUAAAAA&#10;">
                <v:fill on="t" focussize="0,0"/>
                <v:stroke on="f"/>
                <v:imagedata o:title=""/>
                <o:lock v:ext="edit" aspectratio="f"/>
              </v:rect>
            </w:pict>
          </mc:Fallback>
        </mc:AlternateContent>
      </w:r>
      <w:r>
        <w:rPr>
          <w:rFonts w:hint="eastAsia" w:ascii="宋体" w:hAnsi="宋体" w:eastAsia="宋体" w:cs="宋体"/>
          <w:b w:val="0"/>
          <w:bCs w:val="0"/>
          <w:color w:val="auto"/>
          <w:spacing w:val="0"/>
          <w:kern w:val="2"/>
          <w:sz w:val="28"/>
          <w:szCs w:val="28"/>
          <w:highlight w:val="none"/>
          <w:u w:val="none"/>
          <w:lang w:val="en-US" w:eastAsia="zh-CN" w:bidi="ar-SA"/>
        </w:rPr>
        <w:drawing>
          <wp:inline distT="0" distB="0" distL="0" distR="0">
            <wp:extent cx="5189220" cy="3230880"/>
            <wp:effectExtent l="0" t="0" r="5080" b="7620"/>
            <wp:docPr id="98" name="IM 16"/>
            <wp:cNvGraphicFramePr/>
            <a:graphic xmlns:a="http://schemas.openxmlformats.org/drawingml/2006/main">
              <a:graphicData uri="http://schemas.openxmlformats.org/drawingml/2006/picture">
                <pic:pic xmlns:pic="http://schemas.openxmlformats.org/drawingml/2006/picture">
                  <pic:nvPicPr>
                    <pic:cNvPr id="98" name="IM 16"/>
                    <pic:cNvPicPr/>
                  </pic:nvPicPr>
                  <pic:blipFill>
                    <a:blip r:embed="rId16"/>
                    <a:stretch>
                      <a:fillRect/>
                    </a:stretch>
                  </pic:blipFill>
                  <pic:spPr>
                    <a:xfrm>
                      <a:off x="0" y="0"/>
                      <a:ext cx="5189518" cy="3231111"/>
                    </a:xfrm>
                    <a:prstGeom prst="rect">
                      <a:avLst/>
                    </a:prstGeom>
                  </pic:spPr>
                </pic:pic>
              </a:graphicData>
            </a:graphic>
          </wp:inline>
        </w:drawing>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（2）α-萘乙酸钠原药生产工艺流程</w:t>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1）水解钠化工序</w:t>
      </w:r>
    </w:p>
    <w:p>
      <w:pPr>
        <w:pageBreakBefore w:val="0"/>
        <w:kinsoku/>
        <w:wordWrap/>
        <w:overflowPunct/>
        <w:topLinePunct w:val="0"/>
        <w:bidi w:val="0"/>
        <w:spacing w:line="360" w:lineRule="auto"/>
        <w:ind w:left="0" w:leftChars="0" w:right="0" w:firstLine="478"/>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将99%氢氧化钠加水调配至40%后，与α-萘乙酸一起加入电加热不锈钢反应釜内，电加热至80℃左右进行水解钠化反应，反应2h后制得α-萘乙酸钠，以α-萘乙酸计，该反应的转化率为99%。</w:t>
      </w:r>
    </w:p>
    <w:p>
      <w:pPr>
        <w:pageBreakBefore w:val="0"/>
        <w:kinsoku/>
        <w:wordWrap/>
        <w:overflowPunct/>
        <w:topLinePunct w:val="0"/>
        <w:bidi w:val="0"/>
        <w:spacing w:line="360" w:lineRule="auto"/>
        <w:ind w:left="0" w:leftChars="0" w:right="0"/>
        <w:jc w:val="left"/>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反应参数：水解钠化反应整个工序每批需要时间约2小时，反应温度为80℃,pH为7.5～9.5。</w:t>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2）盐析结晶</w:t>
      </w:r>
    </w:p>
    <w:p>
      <w:pPr>
        <w:pageBreakBefore w:val="0"/>
        <w:kinsoku/>
        <w:wordWrap/>
        <w:overflowPunct/>
        <w:topLinePunct w:val="0"/>
        <w:bidi w:val="0"/>
        <w:spacing w:line="360" w:lineRule="auto"/>
        <w:ind w:left="0" w:leftChars="0" w:right="0"/>
        <w:jc w:val="both"/>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将反应液送入冷却水罐中加入工业盐，由冷却水冷却至室温（20℃左右）条件下进行盐析结晶，α-萘乙酸钠在反应液中结晶析出。</w:t>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3）离心工序</w:t>
      </w:r>
    </w:p>
    <w:p>
      <w:pPr>
        <w:pageBreakBefore w:val="0"/>
        <w:kinsoku/>
        <w:wordWrap/>
        <w:overflowPunct/>
        <w:topLinePunct w:val="0"/>
        <w:bidi w:val="0"/>
        <w:spacing w:line="360" w:lineRule="auto"/>
        <w:ind w:left="0" w:leftChars="0" w:right="0" w:firstLine="475"/>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将盐析结晶后的反应液送离心机进行离心分离，分离得到α-萘乙酸钠，分离出的离心液主要成分为水、工业盐（NaCl）、少量未反应的有机原料和氢氧化钠，大部分回至反应釜作为配料循环使用，少量离心液经蒸发装置蒸发后，冷凝水回用于水解钠化工序，蒸发残液采用专用容器收集后暂存在危废品库。</w:t>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4）烘干、包装工序</w:t>
      </w:r>
    </w:p>
    <w:p>
      <w:pPr>
        <w:pageBreakBefore w:val="0"/>
        <w:kinsoku/>
        <w:wordWrap/>
        <w:overflowPunct/>
        <w:topLinePunct w:val="0"/>
        <w:bidi w:val="0"/>
        <w:spacing w:line="360" w:lineRule="auto"/>
        <w:ind w:left="0" w:leftChars="0" w:right="0" w:firstLine="479"/>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烘干工序采用真空烘干机进行加热，其工作原理是由电提供热源，将水加热至80℃,80℃的热水进入烘干箱中对制取的α-萘乙酸钠物料进行间接加热，加热至物料含水≤2%后，即得成品α-萘乙酸钠。成品α-萘乙酸钠采用半自动定量包装机，经准确计量后包装，包装后成品入库。α-萘乙酸钠为片状晶体，在包装过程中无粉尘产生。</w:t>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α-萘乙酸钠生产工艺流程见下图。</w:t>
      </w:r>
    </w:p>
    <w:p>
      <w:pPr>
        <w:pStyle w:val="6"/>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p>
    <w:p>
      <w:pPr>
        <w:pageBreakBefore w:val="0"/>
        <w:kinsoku/>
        <w:wordWrap/>
        <w:overflowPunct/>
        <w:topLinePunct w:val="0"/>
        <w:bidi w:val="0"/>
        <w:spacing w:line="360" w:lineRule="auto"/>
        <w:ind w:left="0" w:leftChars="0" w:right="0" w:firstLine="127"/>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drawing>
          <wp:inline distT="0" distB="0" distL="0" distR="0">
            <wp:extent cx="5137150" cy="1228725"/>
            <wp:effectExtent l="0" t="0" r="6350" b="3175"/>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7"/>
                    <a:stretch>
                      <a:fillRect/>
                    </a:stretch>
                  </pic:blipFill>
                  <pic:spPr>
                    <a:xfrm>
                      <a:off x="0" y="0"/>
                      <a:ext cx="5137405" cy="1228749"/>
                    </a:xfrm>
                    <a:prstGeom prst="rect">
                      <a:avLst/>
                    </a:prstGeom>
                  </pic:spPr>
                </pic:pic>
              </a:graphicData>
            </a:graphic>
          </wp:inline>
        </w:drawing>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（3）98%胺鲜酯原药生产工艺流程</w:t>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1）酯化反应</w:t>
      </w:r>
    </w:p>
    <w:p>
      <w:pPr>
        <w:pageBreakBefore w:val="0"/>
        <w:kinsoku/>
        <w:wordWrap/>
        <w:overflowPunct/>
        <w:topLinePunct w:val="0"/>
        <w:bidi w:val="0"/>
        <w:spacing w:line="360" w:lineRule="auto"/>
        <w:ind w:left="0" w:leftChars="0" w:right="0" w:firstLine="479"/>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将正己酸和二乙氨基乙醇泵入电加热反应釜中，加入催化剂碳酸氢钠开始加热，直至温度升至190℃停止加热，以二乙氨基乙醇计，该反应的转化率为94%。反应完成后静置30min，反应液自动分层，上层为胺鲜酯等有机物，下层为水，将下层水相排放至废水收集桶，再将胺鲜酯母液（有机相）用泵抽送到分馏罐。水层为反应生成的水、催化剂（碳酸氢钠）和少量未反应的原料正己酸、二乙氨基乙醇。</w:t>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反应参数：酯化反应是一个放热反应，整个工序每批需要时间约3小时。</w:t>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2）分馏工序</w:t>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①分馏原理</w:t>
      </w:r>
    </w:p>
    <w:p>
      <w:pPr>
        <w:pageBreakBefore w:val="0"/>
        <w:kinsoku/>
        <w:wordWrap/>
        <w:overflowPunct/>
        <w:topLinePunct w:val="0"/>
        <w:bidi w:val="0"/>
        <w:spacing w:line="360" w:lineRule="auto"/>
        <w:ind w:left="0" w:leftChars="0" w:right="0" w:firstLine="478"/>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在负压条件（-100Kpa）下胺鲜酯沸点约130℃,正己酸沸点约110℃,二乙氨基乙醇沸点约95℃。当分馏温度小于130℃时，胺鲜酯不能蒸出，实现胺鲜酯与水和其他有机物的分离。</w:t>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②二级分馏工序</w:t>
      </w:r>
    </w:p>
    <w:p>
      <w:pPr>
        <w:pageBreakBefore w:val="0"/>
        <w:kinsoku/>
        <w:wordWrap/>
        <w:overflowPunct/>
        <w:topLinePunct w:val="0"/>
        <w:bidi w:val="0"/>
        <w:spacing w:line="360" w:lineRule="auto"/>
        <w:ind w:left="0" w:leftChars="0" w:right="0" w:firstLine="482"/>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一级分馏：酯化反应后静置分层的母液用泵抽送到分馏罐中，通过蒸汽加热使温度达到130℃,恒温1小时，将蒸馏出来的气体冷凝后放至贮桶，此馏液主要成分为微量未反应的正己酸、二乙氨基乙醇和反应产生的水。</w:t>
      </w:r>
    </w:p>
    <w:p>
      <w:pPr>
        <w:pageBreakBefore w:val="0"/>
        <w:kinsoku/>
        <w:wordWrap/>
        <w:overflowPunct/>
        <w:topLinePunct w:val="0"/>
        <w:bidi w:val="0"/>
        <w:spacing w:line="360" w:lineRule="auto"/>
        <w:ind w:left="0" w:leftChars="0" w:right="0" w:firstLine="483"/>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二级分馏：一级分馏后剩余的母液继续蒸馏，提高蒸馏温度到160℃,待检测到出口气体温度低于130℃（蒸馏釜中液体基本蒸干）时，停止蒸馏，将蒸馏出来的气体冷凝后放至产品贮桶，此馏液则为胺鲜酯原油。蒸馏罐底的重组分残渣其主要成分为胺鲜酯，其他成分为微量未反应的己酸、二乙氨基乙醇，经收集桶收集后委托送有资质单位安全处置。</w:t>
      </w:r>
    </w:p>
    <w:p>
      <w:pPr>
        <w:pageBreakBefore w:val="0"/>
        <w:kinsoku/>
        <w:wordWrap/>
        <w:overflowPunct/>
        <w:topLinePunct w:val="0"/>
        <w:bidi w:val="0"/>
        <w:spacing w:line="360" w:lineRule="auto"/>
        <w:ind w:left="0" w:leftChars="0" w:right="0" w:firstLine="560" w:firstLineChars="20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反应参数：整个工序每批需要时间约3小时。</w:t>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3）酸酯反应</w:t>
      </w:r>
    </w:p>
    <w:p>
      <w:pPr>
        <w:pageBreakBefore w:val="0"/>
        <w:kinsoku/>
        <w:wordWrap/>
        <w:overflowPunct/>
        <w:topLinePunct w:val="0"/>
        <w:bidi w:val="0"/>
        <w:spacing w:line="360" w:lineRule="auto"/>
        <w:ind w:left="0" w:leftChars="0" w:right="0" w:firstLine="478"/>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将一水柠檬酸加入圆盘搅拌机中，加入胺鲜酯原油，在常温常压条件下边加边搅拌，此过程为放热过程，搅拌至白色疏松结晶粉，即为胺鲜酯原药成品。胺鲜酯原药成品采用半自动定量包装机，经准确计量后包装，包装后成品入库。胺鲜酯为片状晶体，在包装过程中无粉尘产生。</w:t>
      </w:r>
    </w:p>
    <w:p>
      <w:pPr>
        <w:pageBreakBefore w:val="0"/>
        <w:kinsoku/>
        <w:wordWrap/>
        <w:overflowPunct/>
        <w:topLinePunct w:val="0"/>
        <w:bidi w:val="0"/>
        <w:spacing w:line="360" w:lineRule="auto"/>
        <w:ind w:left="0" w:leftChars="0" w:right="0" w:firstLine="560" w:firstLineChars="20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反应参数：整个反应每批需要时间1小时。</w:t>
      </w:r>
    </w:p>
    <w:p>
      <w:pPr>
        <w:pageBreakBefore w:val="0"/>
        <w:kinsoku/>
        <w:wordWrap/>
        <w:overflowPunct/>
        <w:topLinePunct w:val="0"/>
        <w:bidi w:val="0"/>
        <w:spacing w:line="360" w:lineRule="auto"/>
        <w:ind w:left="0" w:leftChars="0" w:right="0" w:firstLine="560" w:firstLineChars="20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胺鲜酯生产工艺见下图。</w:t>
      </w:r>
    </w:p>
    <w:p>
      <w:pPr>
        <w:pageBreakBefore w:val="0"/>
        <w:kinsoku/>
        <w:wordWrap/>
        <w:overflowPunct/>
        <w:topLinePunct w:val="0"/>
        <w:bidi w:val="0"/>
        <w:spacing w:line="360" w:lineRule="auto"/>
        <w:ind w:left="0" w:leftChars="0" w:right="0" w:firstLine="1225"/>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drawing>
          <wp:inline distT="0" distB="0" distL="0" distR="0">
            <wp:extent cx="3705860" cy="4121150"/>
            <wp:effectExtent l="0" t="0" r="2540" b="6350"/>
            <wp:docPr id="99" name="IM 64"/>
            <wp:cNvGraphicFramePr/>
            <a:graphic xmlns:a="http://schemas.openxmlformats.org/drawingml/2006/main">
              <a:graphicData uri="http://schemas.openxmlformats.org/drawingml/2006/picture">
                <pic:pic xmlns:pic="http://schemas.openxmlformats.org/drawingml/2006/picture">
                  <pic:nvPicPr>
                    <pic:cNvPr id="99" name="IM 64"/>
                    <pic:cNvPicPr/>
                  </pic:nvPicPr>
                  <pic:blipFill>
                    <a:blip r:embed="rId18"/>
                    <a:stretch>
                      <a:fillRect/>
                    </a:stretch>
                  </pic:blipFill>
                  <pic:spPr>
                    <a:xfrm>
                      <a:off x="0" y="0"/>
                      <a:ext cx="3706065" cy="4121320"/>
                    </a:xfrm>
                    <a:prstGeom prst="rect">
                      <a:avLst/>
                    </a:prstGeom>
                  </pic:spPr>
                </pic:pic>
              </a:graphicData>
            </a:graphic>
          </wp:inline>
        </w:drawing>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（4）1.4%复硝酚钠可溶粉剂生产工艺流程</w:t>
      </w:r>
    </w:p>
    <w:p>
      <w:pPr>
        <w:pageBreakBefore w:val="0"/>
        <w:kinsoku/>
        <w:wordWrap/>
        <w:overflowPunct/>
        <w:topLinePunct w:val="0"/>
        <w:bidi w:val="0"/>
        <w:spacing w:line="360" w:lineRule="auto"/>
        <w:ind w:right="0"/>
        <w:jc w:val="left"/>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将95%复硝酚钠原药、速溶硼和十二烷基苯磺酸钠按一定比例人工投入双螺旋锥形混合机内，搅拌均匀后投入万能粉碎机进行粉碎，粉碎后的物料再投入双螺旋锥形混合机混合均匀，经抽样检验合格后通过自动包装机包装，包装后成品入库。整个产品生产过程均处于全封闭状态下进行，生产设备为剂型专用设备，不清洗。混合机采取全封闭搅拌方式，搅拌过程无粉尘产生，速溶硼、十二烷基苯磺酸钠和粉碎后的95%复硝酚钠原药为粉状物料，在投料过程中会有一定的粉尘产生。</w:t>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1.4%复硝酚钠可溶粉剂生产工艺见下图。</w:t>
      </w:r>
    </w:p>
    <w:p>
      <w:pPr>
        <w:pageBreakBefore w:val="0"/>
        <w:kinsoku/>
        <w:wordWrap/>
        <w:overflowPunct/>
        <w:topLinePunct w:val="0"/>
        <w:bidi w:val="0"/>
        <w:spacing w:line="360" w:lineRule="auto"/>
        <w:ind w:left="0" w:leftChars="0" w:right="0" w:firstLine="968"/>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drawing>
          <wp:inline distT="0" distB="0" distL="0" distR="0">
            <wp:extent cx="4057650" cy="1027430"/>
            <wp:effectExtent l="0" t="0" r="6350" b="1270"/>
            <wp:docPr id="100" name="IM 66"/>
            <wp:cNvGraphicFramePr/>
            <a:graphic xmlns:a="http://schemas.openxmlformats.org/drawingml/2006/main">
              <a:graphicData uri="http://schemas.openxmlformats.org/drawingml/2006/picture">
                <pic:pic xmlns:pic="http://schemas.openxmlformats.org/drawingml/2006/picture">
                  <pic:nvPicPr>
                    <pic:cNvPr id="100" name="IM 66"/>
                    <pic:cNvPicPr/>
                  </pic:nvPicPr>
                  <pic:blipFill>
                    <a:blip r:embed="rId19"/>
                    <a:stretch>
                      <a:fillRect/>
                    </a:stretch>
                  </pic:blipFill>
                  <pic:spPr>
                    <a:xfrm>
                      <a:off x="0" y="0"/>
                      <a:ext cx="4057724" cy="1027697"/>
                    </a:xfrm>
                    <a:prstGeom prst="rect">
                      <a:avLst/>
                    </a:prstGeom>
                  </pic:spPr>
                </pic:pic>
              </a:graphicData>
            </a:graphic>
          </wp:inline>
        </w:drawing>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（5）农药制剂水剂生产工艺流程</w:t>
      </w:r>
    </w:p>
    <w:p>
      <w:pPr>
        <w:pageBreakBefore w:val="0"/>
        <w:kinsoku/>
        <w:wordWrap/>
        <w:overflowPunct/>
        <w:topLinePunct w:val="0"/>
        <w:bidi w:val="0"/>
        <w:spacing w:line="360" w:lineRule="auto"/>
        <w:ind w:left="0" w:leftChars="0" w:right="0" w:firstLine="486"/>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本项目农药制剂水剂产品有2.85%硝钠萘乙酸水剂、250g/L甲哌鎓水剂和40%乙烯利水剂，各产品生产工艺流程相同，只是原辅料不同。农药制剂水剂生产工艺主要有调制、沉降、质检、灌装、装箱5个工序。</w:t>
      </w:r>
    </w:p>
    <w:p>
      <w:pPr>
        <w:pageBreakBefore w:val="0"/>
        <w:kinsoku/>
        <w:wordWrap/>
        <w:overflowPunct/>
        <w:topLinePunct w:val="0"/>
        <w:bidi w:val="0"/>
        <w:spacing w:line="360" w:lineRule="auto"/>
        <w:ind w:left="0" w:leftChars="0" w:right="0" w:firstLine="477"/>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调制工序：根据配方将生产所需的各物料计量后，用泵先把自来水加入调制釜内，然后在搅拌下人工投入原药，原辅料在调制釜内充分搅拌混合。本项目水剂生产投入的原药为液体和片状晶体，在投料过程中无粉尘产生。</w:t>
      </w:r>
    </w:p>
    <w:p>
      <w:pPr>
        <w:pageBreakBefore w:val="0"/>
        <w:kinsoku/>
        <w:wordWrap/>
        <w:overflowPunct/>
        <w:topLinePunct w:val="0"/>
        <w:bidi w:val="0"/>
        <w:spacing w:line="360" w:lineRule="auto"/>
        <w:ind w:left="0" w:leftChars="0" w:right="0" w:firstLine="478"/>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沉降、质检工序：配好的水剂产品因含有来自原药的不溶物等杂质而影响水剂产品外观质量，为保证产品质量，将配好的水剂产品于沉降罐静置2小时，待沉降罐的水剂产品完全透明并经取样质检合格后进入灌装工序。</w:t>
      </w:r>
    </w:p>
    <w:p>
      <w:pPr>
        <w:pageBreakBefore w:val="0"/>
        <w:kinsoku/>
        <w:wordWrap/>
        <w:overflowPunct/>
        <w:topLinePunct w:val="0"/>
        <w:bidi w:val="0"/>
        <w:spacing w:line="360" w:lineRule="auto"/>
        <w:ind w:left="0" w:leftChars="0" w:right="0" w:firstLine="48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灌装、装箱工序：水剂产品灌装采用全自动液体灌装机，经准确计量后包装，再进行装箱。整个产品生产过程均处于全封闭状态下进行，生产设备为剂型专用设备，不清洗。</w:t>
      </w:r>
    </w:p>
    <w:p>
      <w:pPr>
        <w:pageBreakBefore w:val="0"/>
        <w:kinsoku/>
        <w:wordWrap/>
        <w:overflowPunct/>
        <w:topLinePunct w:val="0"/>
        <w:bidi w:val="0"/>
        <w:spacing w:line="360" w:lineRule="auto"/>
        <w:ind w:left="0" w:leftChars="0" w:right="0"/>
        <w:jc w:val="left"/>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2.85%硝钠萘乙酸水剂、250g/L甲哌鎓水剂和40%乙烯利水剂生产工艺流程见下图。</w:t>
      </w:r>
    </w:p>
    <w:p>
      <w:pPr>
        <w:pageBreakBefore w:val="0"/>
        <w:kinsoku/>
        <w:wordWrap/>
        <w:overflowPunct/>
        <w:topLinePunct w:val="0"/>
        <w:bidi w:val="0"/>
        <w:spacing w:line="360" w:lineRule="auto"/>
        <w:ind w:left="0" w:leftChars="0" w:right="0" w:firstLine="533"/>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drawing>
          <wp:inline distT="0" distB="0" distL="0" distR="0">
            <wp:extent cx="4610100" cy="1036320"/>
            <wp:effectExtent l="0" t="0" r="0" b="5080"/>
            <wp:docPr id="101" name="IM 68"/>
            <wp:cNvGraphicFramePr/>
            <a:graphic xmlns:a="http://schemas.openxmlformats.org/drawingml/2006/main">
              <a:graphicData uri="http://schemas.openxmlformats.org/drawingml/2006/picture">
                <pic:pic xmlns:pic="http://schemas.openxmlformats.org/drawingml/2006/picture">
                  <pic:nvPicPr>
                    <pic:cNvPr id="101" name="IM 68"/>
                    <pic:cNvPicPr/>
                  </pic:nvPicPr>
                  <pic:blipFill>
                    <a:blip r:embed="rId20"/>
                    <a:stretch>
                      <a:fillRect/>
                    </a:stretch>
                  </pic:blipFill>
                  <pic:spPr>
                    <a:xfrm>
                      <a:off x="0" y="0"/>
                      <a:ext cx="4610505" cy="1036414"/>
                    </a:xfrm>
                    <a:prstGeom prst="rect">
                      <a:avLst/>
                    </a:prstGeom>
                  </pic:spPr>
                </pic:pic>
              </a:graphicData>
            </a:graphic>
          </wp:inline>
        </w:drawing>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（6）农药制剂乳油生产工艺流程</w:t>
      </w:r>
    </w:p>
    <w:p>
      <w:pPr>
        <w:pageBreakBefore w:val="0"/>
        <w:kinsoku/>
        <w:wordWrap/>
        <w:overflowPunct/>
        <w:topLinePunct w:val="0"/>
        <w:bidi w:val="0"/>
        <w:spacing w:line="360" w:lineRule="auto"/>
        <w:ind w:left="0" w:leftChars="0" w:right="0"/>
        <w:jc w:val="left"/>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本项目农药制剂乳油产品有30%乙蒜素乳油、20%氰戊·马拉松乳油和3.2%阿维·哒乳油，各产品生产工艺流程相同，只是原辅料不同。农药制剂乳油生产工艺主要有调制、沉降、质检、灌装、装箱5个工序。</w:t>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调制工序：根据配方将生产所需的各物料计量后，用泵把原药、乳化剂和溶剂加至调制釜内进行搅拌。搅拌一定时间后，便得到配好的乳油产品。</w:t>
      </w:r>
    </w:p>
    <w:p>
      <w:pPr>
        <w:pageBreakBefore w:val="0"/>
        <w:kinsoku/>
        <w:wordWrap/>
        <w:overflowPunct/>
        <w:topLinePunct w:val="0"/>
        <w:bidi w:val="0"/>
        <w:spacing w:line="360" w:lineRule="auto"/>
        <w:ind w:left="0" w:leftChars="0" w:right="0" w:firstLine="478"/>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沉降、质检工序：配好的乳油产品因含有来自原药和乳化剂的不溶物等杂质而影响乳油产品外观质量，为保证产品质量，将配好的乳油产品于沉降罐静置4小时，待沉降罐的乳油产品完全透明并经取样质检合格后进入灌装工序。</w:t>
      </w:r>
    </w:p>
    <w:p>
      <w:pPr>
        <w:pageBreakBefore w:val="0"/>
        <w:kinsoku/>
        <w:wordWrap/>
        <w:overflowPunct/>
        <w:topLinePunct w:val="0"/>
        <w:bidi w:val="0"/>
        <w:spacing w:line="360" w:lineRule="auto"/>
        <w:ind w:left="0" w:leftChars="0" w:right="0" w:firstLine="48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灌装、装箱工序：乳油产品灌装采用全自动液体灌装机，经准确计量后包装，再进行装箱。整个产品生产过程均处于全封闭状态下进行，生产设备为剂型专用设备，不清洗。</w:t>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30%乙蒜素乳油、20%氰戊·马拉松乳油和3.2%阿维·哒乳油生产工艺流程见下图。</w:t>
      </w:r>
    </w:p>
    <w:p>
      <w:pPr>
        <w:pageBreakBefore w:val="0"/>
        <w:kinsoku/>
        <w:wordWrap/>
        <w:overflowPunct/>
        <w:topLinePunct w:val="0"/>
        <w:bidi w:val="0"/>
        <w:spacing w:line="360" w:lineRule="auto"/>
        <w:ind w:left="0" w:leftChars="0" w:right="0" w:firstLine="428"/>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drawing>
          <wp:inline distT="0" distB="0" distL="0" distR="0">
            <wp:extent cx="4743450" cy="1063625"/>
            <wp:effectExtent l="0" t="0" r="6350" b="3175"/>
            <wp:docPr id="102" name="IM 70"/>
            <wp:cNvGraphicFramePr/>
            <a:graphic xmlns:a="http://schemas.openxmlformats.org/drawingml/2006/main">
              <a:graphicData uri="http://schemas.openxmlformats.org/drawingml/2006/picture">
                <pic:pic xmlns:pic="http://schemas.openxmlformats.org/drawingml/2006/picture">
                  <pic:nvPicPr>
                    <pic:cNvPr id="102" name="IM 70"/>
                    <pic:cNvPicPr/>
                  </pic:nvPicPr>
                  <pic:blipFill>
                    <a:blip r:embed="rId21"/>
                    <a:stretch>
                      <a:fillRect/>
                    </a:stretch>
                  </pic:blipFill>
                  <pic:spPr>
                    <a:xfrm>
                      <a:off x="0" y="0"/>
                      <a:ext cx="4744040" cy="1064078"/>
                    </a:xfrm>
                    <a:prstGeom prst="rect">
                      <a:avLst/>
                    </a:prstGeom>
                  </pic:spPr>
                </pic:pic>
              </a:graphicData>
            </a:graphic>
          </wp:inline>
        </w:drawing>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（7）水溶肥（固体颗粒）生产工艺流程</w:t>
      </w:r>
    </w:p>
    <w:p>
      <w:pPr>
        <w:pageBreakBefore w:val="0"/>
        <w:kinsoku/>
        <w:wordWrap/>
        <w:overflowPunct/>
        <w:topLinePunct w:val="0"/>
        <w:bidi w:val="0"/>
        <w:spacing w:line="360" w:lineRule="auto"/>
        <w:ind w:left="0" w:leftChars="0" w:right="0" w:firstLine="484"/>
        <w:jc w:val="both"/>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首先将硫酸钾、甘氨酸等颗粒大和放置易结块的物料人工投入粉碎机进行粉碎，将粉碎后的物料和其它生产所需的各物料按一定比例人工投入投入双螺旋锥形混合机内，在混合机内搅拌均匀，混合机采取全封闭搅拌方式，搅拌过程无粉尘产生，投入的部分原料为粉料，在投料过程中会有一定的粉尘产生。物料在混合机内搅拌均匀后抽样检验合格后再通过自动包装机包装，包装后成品入库。整个产品生产过程均处于全封闭状态下进行，生产设备为剂型专用设备，不清洗。</w:t>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sectPr>
          <w:headerReference r:id="rId5" w:type="default"/>
          <w:footerReference r:id="rId6" w:type="default"/>
          <w:pgSz w:w="11907" w:h="16839"/>
          <w:pgMar w:top="1353" w:right="1715" w:bottom="1588" w:left="1769" w:header="877" w:footer="1427" w:gutter="0"/>
          <w:pgBorders>
            <w:top w:val="none" w:sz="0" w:space="0"/>
            <w:left w:val="none" w:sz="0" w:space="0"/>
            <w:bottom w:val="none" w:sz="0" w:space="0"/>
            <w:right w:val="none" w:sz="0" w:space="0"/>
          </w:pgBorders>
          <w:pgNumType w:fmt="decimal" w:start="1"/>
          <w:cols w:space="720" w:num="1"/>
        </w:sectPr>
      </w:pP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水溶肥（固体颗粒）生产工艺流程见下图。</w:t>
      </w:r>
    </w:p>
    <w:p>
      <w:pPr>
        <w:pageBreakBefore w:val="0"/>
        <w:kinsoku/>
        <w:wordWrap/>
        <w:overflowPunct/>
        <w:topLinePunct w:val="0"/>
        <w:bidi w:val="0"/>
        <w:spacing w:line="360" w:lineRule="auto"/>
        <w:ind w:left="0" w:leftChars="0" w:right="0" w:firstLine="728"/>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drawing>
          <wp:inline distT="0" distB="0" distL="0" distR="0">
            <wp:extent cx="4363085" cy="1450975"/>
            <wp:effectExtent l="0" t="0" r="5715" b="9525"/>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22"/>
                    <a:stretch>
                      <a:fillRect/>
                    </a:stretch>
                  </pic:blipFill>
                  <pic:spPr>
                    <a:xfrm>
                      <a:off x="0" y="0"/>
                      <a:ext cx="4363090" cy="1451371"/>
                    </a:xfrm>
                    <a:prstGeom prst="rect">
                      <a:avLst/>
                    </a:prstGeom>
                  </pic:spPr>
                </pic:pic>
              </a:graphicData>
            </a:graphic>
          </wp:inline>
        </w:drawing>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（8）水溶肥（液体）生产工艺流程</w:t>
      </w:r>
    </w:p>
    <w:p>
      <w:pPr>
        <w:pageBreakBefore w:val="0"/>
        <w:kinsoku/>
        <w:wordWrap/>
        <w:overflowPunct/>
        <w:topLinePunct w:val="0"/>
        <w:bidi w:val="0"/>
        <w:spacing w:line="360" w:lineRule="auto"/>
        <w:ind w:left="0" w:leftChars="0" w:right="0" w:firstLine="480"/>
        <w:jc w:val="both"/>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本项目水溶肥（液体）的生产工艺流程同农药制剂水剂的生产工艺流程基本相同，只是原辅料不同。水溶肥（液体）生产工艺主要有调制、沉降、质检、灌装、装箱5个工序。</w:t>
      </w:r>
    </w:p>
    <w:p>
      <w:pPr>
        <w:pageBreakBefore w:val="0"/>
        <w:kinsoku/>
        <w:wordWrap/>
        <w:overflowPunct/>
        <w:topLinePunct w:val="0"/>
        <w:bidi w:val="0"/>
        <w:spacing w:line="360" w:lineRule="auto"/>
        <w:ind w:left="0" w:leftChars="0" w:right="0" w:firstLine="478"/>
        <w:jc w:val="both"/>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调制工序：将生产所需的各物料按一定比例投入调制釜，原辅料在调制釜内充分搅拌混合。混合机采取全封闭搅拌方式，搅拌过程无粉尘产生，投入的部分原料为粉料，在投料过程中会有一定的粉尘产生。</w:t>
      </w:r>
    </w:p>
    <w:p>
      <w:pPr>
        <w:pageBreakBefore w:val="0"/>
        <w:kinsoku/>
        <w:wordWrap/>
        <w:overflowPunct/>
        <w:topLinePunct w:val="0"/>
        <w:bidi w:val="0"/>
        <w:spacing w:line="360" w:lineRule="auto"/>
        <w:ind w:left="0" w:leftChars="0" w:right="0" w:firstLine="478"/>
        <w:jc w:val="both"/>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沉降、质检工序：配好的水溶肥（液体）产品因含有来自原料的不溶物等杂质而影响产品外观质量，为保证产品质量，将配好的产品于沉降罐静置2小时，待沉降罐的产品完全透明并经取样质检合格后进入灌装工序。</w:t>
      </w:r>
    </w:p>
    <w:p>
      <w:pPr>
        <w:pageBreakBefore w:val="0"/>
        <w:kinsoku/>
        <w:wordWrap/>
        <w:overflowPunct/>
        <w:topLinePunct w:val="0"/>
        <w:bidi w:val="0"/>
        <w:spacing w:line="360" w:lineRule="auto"/>
        <w:ind w:left="0" w:leftChars="0" w:right="0" w:firstLine="482"/>
        <w:jc w:val="both"/>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灌装、装箱工序：水溶肥（液体）产品灌装采用全自动液体灌装机，经准确计量后包装，再进行装箱。整个产品生产过程均处于全封闭状态下进行，生产设备为剂型专用设备，不清洗。</w:t>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t>水溶肥（液体）生产工艺流程见下图。</w:t>
      </w:r>
    </w:p>
    <w:p>
      <w:pPr>
        <w:pageBreakBefore w:val="0"/>
        <w:kinsoku/>
        <w:wordWrap/>
        <w:overflowPunct/>
        <w:topLinePunct w:val="0"/>
        <w:bidi w:val="0"/>
        <w:spacing w:line="360" w:lineRule="auto"/>
        <w:ind w:left="0" w:leftChars="0" w:right="0"/>
        <w:rPr>
          <w:rFonts w:hint="eastAsia" w:ascii="宋体" w:hAnsi="宋体" w:eastAsia="宋体" w:cs="宋体"/>
          <w:b w:val="0"/>
          <w:bCs w:val="0"/>
          <w:color w:val="auto"/>
          <w:spacing w:val="0"/>
          <w:kern w:val="2"/>
          <w:sz w:val="28"/>
          <w:szCs w:val="28"/>
          <w:highlight w:val="none"/>
          <w:u w:val="none"/>
          <w:lang w:val="en-US" w:eastAsia="zh-CN" w:bidi="ar-SA"/>
        </w:rPr>
      </w:pPr>
      <w:r>
        <w:rPr>
          <w:rFonts w:hint="eastAsia" w:ascii="宋体" w:hAnsi="宋体" w:eastAsia="宋体" w:cs="宋体"/>
          <w:b w:val="0"/>
          <w:bCs w:val="0"/>
          <w:color w:val="auto"/>
          <w:spacing w:val="0"/>
          <w:kern w:val="2"/>
          <w:sz w:val="28"/>
          <w:szCs w:val="28"/>
          <w:highlight w:val="none"/>
          <w:u w:val="none"/>
          <w:lang w:val="en-US" w:eastAsia="zh-CN" w:bidi="ar-SA"/>
        </w:rPr>
        <w:drawing>
          <wp:inline distT="0" distB="0" distL="0" distR="0">
            <wp:extent cx="4527550" cy="1049020"/>
            <wp:effectExtent l="0" t="0" r="6350" b="5080"/>
            <wp:docPr id="37" name="IM 74"/>
            <wp:cNvGraphicFramePr/>
            <a:graphic xmlns:a="http://schemas.openxmlformats.org/drawingml/2006/main">
              <a:graphicData uri="http://schemas.openxmlformats.org/drawingml/2006/picture">
                <pic:pic xmlns:pic="http://schemas.openxmlformats.org/drawingml/2006/picture">
                  <pic:nvPicPr>
                    <pic:cNvPr id="37" name="IM 74"/>
                    <pic:cNvPicPr/>
                  </pic:nvPicPr>
                  <pic:blipFill>
                    <a:blip r:embed="rId23"/>
                    <a:stretch>
                      <a:fillRect/>
                    </a:stretch>
                  </pic:blipFill>
                  <pic:spPr>
                    <a:xfrm>
                      <a:off x="0" y="0"/>
                      <a:ext cx="4527886" cy="1049614"/>
                    </a:xfrm>
                    <a:prstGeom prst="rect">
                      <a:avLst/>
                    </a:prstGeom>
                  </pic:spPr>
                </pic:pic>
              </a:graphicData>
            </a:graphic>
          </wp:inline>
        </w:drawing>
      </w:r>
    </w:p>
    <w:p>
      <w:pPr>
        <w:pStyle w:val="9"/>
        <w:rPr>
          <w:rFonts w:hint="eastAsia"/>
          <w:color w:val="auto"/>
          <w:spacing w:val="0"/>
          <w:highlight w:val="none"/>
        </w:rPr>
      </w:pPr>
    </w:p>
    <w:p>
      <w:pPr>
        <w:pStyle w:val="3"/>
        <w:pageBreakBefore w:val="0"/>
        <w:numPr>
          <w:ilvl w:val="1"/>
          <w:numId w:val="0"/>
        </w:numPr>
        <w:kinsoku/>
        <w:wordWrap/>
        <w:overflowPunct/>
        <w:topLinePunct w:val="0"/>
        <w:bidi w:val="0"/>
        <w:spacing w:before="0" w:after="0" w:line="360" w:lineRule="auto"/>
        <w:ind w:left="0" w:leftChars="0" w:right="0"/>
        <w:rPr>
          <w:rFonts w:hint="eastAsia" w:ascii="宋体" w:hAnsi="宋体" w:eastAsia="宋体" w:cs="宋体"/>
          <w:color w:val="auto"/>
          <w:spacing w:val="0"/>
          <w:highlight w:val="none"/>
          <w:u w:val="none"/>
        </w:rPr>
      </w:pPr>
      <w:bookmarkStart w:id="134" w:name="_Toc3879"/>
      <w:bookmarkStart w:id="135" w:name="_Toc14496"/>
      <w:bookmarkStart w:id="136" w:name="_Toc31035"/>
      <w:r>
        <w:rPr>
          <w:rFonts w:hint="eastAsia" w:ascii="宋体" w:hAnsi="宋体" w:eastAsia="宋体" w:cs="宋体"/>
          <w:color w:val="auto"/>
          <w:spacing w:val="0"/>
          <w:highlight w:val="none"/>
          <w:u w:val="none"/>
          <w:lang w:val="en-US" w:eastAsia="zh-CN"/>
        </w:rPr>
        <w:t>4.3</w:t>
      </w:r>
      <w:r>
        <w:rPr>
          <w:rFonts w:hint="eastAsia" w:ascii="宋体" w:hAnsi="宋体" w:eastAsia="宋体" w:cs="宋体"/>
          <w:color w:val="auto"/>
          <w:spacing w:val="0"/>
          <w:highlight w:val="none"/>
          <w:u w:val="none"/>
        </w:rPr>
        <w:t>“三废”的产生及治理</w:t>
      </w:r>
      <w:bookmarkEnd w:id="115"/>
      <w:bookmarkEnd w:id="116"/>
      <w:bookmarkEnd w:id="117"/>
      <w:bookmarkEnd w:id="118"/>
      <w:bookmarkEnd w:id="134"/>
      <w:bookmarkEnd w:id="135"/>
      <w:bookmarkEnd w:id="136"/>
    </w:p>
    <w:p>
      <w:pPr>
        <w:pageBreakBefore w:val="0"/>
        <w:kinsoku/>
        <w:wordWrap/>
        <w:overflowPunct/>
        <w:topLinePunct w:val="0"/>
        <w:bidi w:val="0"/>
        <w:spacing w:line="360" w:lineRule="auto"/>
        <w:ind w:left="0" w:leftChars="0" w:right="0" w:firstLine="0" w:firstLineChars="0"/>
        <w:jc w:val="both"/>
        <w:outlineLvl w:val="2"/>
        <w:rPr>
          <w:rFonts w:hint="eastAsia" w:ascii="宋体" w:hAnsi="宋体" w:eastAsia="宋体" w:cs="宋体"/>
          <w:b/>
          <w:bCs/>
          <w:color w:val="auto"/>
          <w:spacing w:val="0"/>
          <w:kern w:val="2"/>
          <w:sz w:val="28"/>
          <w:szCs w:val="28"/>
          <w:highlight w:val="none"/>
          <w:u w:val="none"/>
          <w:lang w:val="en-US" w:eastAsia="zh-CN" w:bidi="ar-SA"/>
        </w:rPr>
      </w:pPr>
      <w:bookmarkStart w:id="137" w:name="bookmark15"/>
      <w:bookmarkEnd w:id="137"/>
      <w:r>
        <w:rPr>
          <w:rFonts w:hint="eastAsia" w:ascii="宋体" w:hAnsi="宋体" w:eastAsia="宋体" w:cs="宋体"/>
          <w:b/>
          <w:bCs/>
          <w:color w:val="auto"/>
          <w:spacing w:val="0"/>
          <w:kern w:val="2"/>
          <w:sz w:val="28"/>
          <w:szCs w:val="28"/>
          <w:highlight w:val="none"/>
          <w:u w:val="none"/>
          <w:lang w:val="en-US" w:eastAsia="zh-CN" w:bidi="ar-SA"/>
        </w:rPr>
        <w:t>4.3.1废水</w:t>
      </w:r>
    </w:p>
    <w:p>
      <w:pPr>
        <w:pageBreakBefore w:val="0"/>
        <w:kinsoku/>
        <w:wordWrap/>
        <w:overflowPunct/>
        <w:topLinePunct w:val="0"/>
        <w:bidi w:val="0"/>
        <w:spacing w:line="360" w:lineRule="auto"/>
        <w:ind w:left="0" w:leftChars="0" w:right="0" w:firstLine="479"/>
        <w:jc w:val="both"/>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rPr>
        <w:t>本项目第一阶段废水为车间地面冲洗废水、设备清洗废水、真空泵废水、纯水制备废水、循环冷却水排水、蒸汽冷凝水和生活污水。废水合并进入污水处理站调节池，污水处理采用“水解酸化+接触氧化”工艺，处理达标后排放市政污水管网。</w:t>
      </w:r>
    </w:p>
    <w:p>
      <w:pPr>
        <w:pageBreakBefore w:val="0"/>
        <w:kinsoku/>
        <w:wordWrap/>
        <w:overflowPunct/>
        <w:topLinePunct w:val="0"/>
        <w:bidi w:val="0"/>
        <w:spacing w:line="360" w:lineRule="auto"/>
        <w:ind w:left="0" w:leftChars="0" w:right="0" w:firstLine="0" w:firstLineChars="0"/>
        <w:jc w:val="both"/>
        <w:outlineLvl w:val="2"/>
        <w:rPr>
          <w:rFonts w:hint="eastAsia" w:ascii="宋体" w:hAnsi="宋体" w:eastAsia="宋体" w:cs="宋体"/>
          <w:b/>
          <w:bCs/>
          <w:color w:val="auto"/>
          <w:spacing w:val="0"/>
          <w:kern w:val="2"/>
          <w:sz w:val="28"/>
          <w:szCs w:val="28"/>
          <w:highlight w:val="none"/>
          <w:u w:val="none"/>
          <w:lang w:val="en-US" w:eastAsia="zh-CN" w:bidi="ar-SA"/>
        </w:rPr>
      </w:pPr>
      <w:r>
        <w:rPr>
          <w:rFonts w:hint="eastAsia" w:ascii="宋体" w:hAnsi="宋体" w:eastAsia="宋体" w:cs="宋体"/>
          <w:b/>
          <w:bCs/>
          <w:color w:val="auto"/>
          <w:spacing w:val="0"/>
          <w:kern w:val="2"/>
          <w:sz w:val="28"/>
          <w:szCs w:val="28"/>
          <w:highlight w:val="none"/>
          <w:u w:val="none"/>
          <w:lang w:val="en-US" w:eastAsia="zh-CN" w:bidi="ar-SA"/>
        </w:rPr>
        <w:t>4.3.2废气</w:t>
      </w:r>
    </w:p>
    <w:p>
      <w:pPr>
        <w:pageBreakBefore w:val="0"/>
        <w:kinsoku/>
        <w:wordWrap/>
        <w:overflowPunct/>
        <w:topLinePunct w:val="0"/>
        <w:bidi w:val="0"/>
        <w:spacing w:line="360" w:lineRule="auto"/>
        <w:ind w:left="0" w:leftChars="0" w:right="0" w:firstLine="481"/>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rPr>
        <w:t>本项目废气主要有合成车间酯化尾气、真空尾气和干燥废气，粉剂车间投料粉尘、粉碎粉尘和包装粉尘；乳油车间复配废气；水剂车间投料粉尘；污水处理站有机废气及恶臭等。合成车间酯化尾气、真空尾气和干燥废气通过套管连接收集，经“冷凝+UV光氧催化+活性炭吸附”装置处理后，由1根15m排气筒排放。粉剂车间投料粉尘经集气罩收集后，采用袋式除尘器处理后，由1根15m排气筒排放；粉剂车间粉碎粉尘、包装粉尘经自带除尘器处理后，与投料粉尘公用1台袋式除尘器处理后，通过15m排气筒排放。乳油车间复配废气经收集后引入1套“UV光氧催化+活性炭吸附”装置处理后，由1根15m排气筒排放。水剂车间投料粉尘经集气罩收集后，采用袋式除尘器处理后，由1根15m排气筒排放。污水处理站对曝气池前端的污水处理单元加盖处理，废气经收集后，引入生物滤塔处理后，由1根15m排气筒排放。废气排放情况见下表。</w:t>
      </w:r>
    </w:p>
    <w:p>
      <w:pPr>
        <w:pageBreakBefore w:val="0"/>
        <w:kinsoku/>
        <w:wordWrap/>
        <w:overflowPunct/>
        <w:topLinePunct w:val="0"/>
        <w:bidi w:val="0"/>
        <w:spacing w:line="360" w:lineRule="auto"/>
        <w:ind w:left="0" w:leftChars="0" w:right="0"/>
        <w:rPr>
          <w:rFonts w:hint="eastAsia" w:ascii="宋体" w:hAnsi="宋体" w:eastAsia="宋体" w:cs="宋体"/>
          <w:color w:val="auto"/>
          <w:spacing w:val="0"/>
          <w:sz w:val="28"/>
          <w:szCs w:val="28"/>
          <w:highlight w:val="none"/>
        </w:rPr>
        <w:sectPr>
          <w:headerReference r:id="rId7" w:type="default"/>
          <w:footerReference r:id="rId8" w:type="default"/>
          <w:type w:val="continuous"/>
          <w:pgSz w:w="11907" w:h="16839"/>
          <w:pgMar w:top="1353" w:right="1708" w:bottom="1588" w:left="1769" w:header="877" w:footer="1428" w:gutter="0"/>
          <w:pgBorders>
            <w:top w:val="none" w:sz="0" w:space="0"/>
            <w:left w:val="none" w:sz="0" w:space="0"/>
            <w:bottom w:val="none" w:sz="0" w:space="0"/>
            <w:right w:val="none" w:sz="0" w:space="0"/>
          </w:pgBorders>
          <w:pgNumType w:fmt="decimal"/>
          <w:cols w:space="720" w:num="1"/>
        </w:sect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8"/>
          <w:szCs w:val="28"/>
          <w:highlight w:val="none"/>
          <w:lang w:val="en-US" w:eastAsia="zh-CN"/>
        </w:rPr>
      </w:pPr>
      <w:r>
        <w:rPr>
          <w:rFonts w:hint="eastAsia" w:ascii="宋体" w:hAnsi="宋体" w:eastAsia="宋体" w:cs="宋体"/>
          <w:b/>
          <w:bCs/>
          <w:color w:val="auto"/>
          <w:spacing w:val="0"/>
          <w:sz w:val="28"/>
          <w:szCs w:val="28"/>
          <w:highlight w:val="none"/>
          <w:lang w:val="en-US" w:eastAsia="zh-CN"/>
        </w:rPr>
        <w:t>表5 废气产生、治理措施及排放情况汇总表</w:t>
      </w:r>
    </w:p>
    <w:p>
      <w:pPr>
        <w:pageBreakBefore w:val="0"/>
        <w:kinsoku/>
        <w:wordWrap/>
        <w:overflowPunct/>
        <w:topLinePunct w:val="0"/>
        <w:bidi w:val="0"/>
        <w:spacing w:line="240" w:lineRule="auto"/>
        <w:ind w:left="0" w:leftChars="0" w:right="0"/>
        <w:rPr>
          <w:rFonts w:hint="eastAsia" w:ascii="宋体" w:hAnsi="宋体" w:eastAsia="宋体" w:cs="宋体"/>
          <w:color w:val="auto"/>
          <w:spacing w:val="0"/>
          <w:sz w:val="2"/>
          <w:highlight w:val="none"/>
        </w:rPr>
      </w:pPr>
    </w:p>
    <w:tbl>
      <w:tblPr>
        <w:tblStyle w:val="44"/>
        <w:tblW w:w="13875" w:type="dxa"/>
        <w:tblInd w:w="28" w:type="dxa"/>
        <w:tblBorders>
          <w:top w:val="single" w:color="000000" w:sz="2" w:space="0"/>
          <w:left w:val="single" w:color="000000" w:sz="2" w:space="0"/>
          <w:bottom w:val="single" w:color="000000" w:sz="4"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6"/>
        <w:gridCol w:w="1258"/>
        <w:gridCol w:w="1733"/>
        <w:gridCol w:w="1415"/>
        <w:gridCol w:w="2051"/>
        <w:gridCol w:w="1400"/>
        <w:gridCol w:w="1264"/>
        <w:gridCol w:w="1002"/>
        <w:gridCol w:w="1168"/>
        <w:gridCol w:w="1008"/>
      </w:tblGrid>
      <w:tr>
        <w:tblPrEx>
          <w:tblBorders>
            <w:top w:val="single" w:color="000000" w:sz="2" w:space="0"/>
            <w:left w:val="single" w:color="000000" w:sz="2" w:space="0"/>
            <w:bottom w:val="single" w:color="000000"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57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废气名称</w:t>
            </w:r>
          </w:p>
        </w:tc>
        <w:tc>
          <w:tcPr>
            <w:tcW w:w="125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来源</w:t>
            </w:r>
          </w:p>
        </w:tc>
        <w:tc>
          <w:tcPr>
            <w:tcW w:w="173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污染物种类</w:t>
            </w:r>
          </w:p>
        </w:tc>
        <w:tc>
          <w:tcPr>
            <w:tcW w:w="141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排放方式</w:t>
            </w:r>
          </w:p>
        </w:tc>
        <w:tc>
          <w:tcPr>
            <w:tcW w:w="205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治理设施</w:t>
            </w:r>
          </w:p>
        </w:tc>
        <w:tc>
          <w:tcPr>
            <w:tcW w:w="140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工艺与规模</w:t>
            </w:r>
          </w:p>
        </w:tc>
        <w:tc>
          <w:tcPr>
            <w:tcW w:w="126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设计指标</w:t>
            </w:r>
          </w:p>
        </w:tc>
        <w:tc>
          <w:tcPr>
            <w:tcW w:w="217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排气筒</w:t>
            </w:r>
          </w:p>
        </w:tc>
        <w:tc>
          <w:tcPr>
            <w:tcW w:w="100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排放去向</w:t>
            </w:r>
          </w:p>
        </w:tc>
      </w:tr>
      <w:tr>
        <w:tblPrEx>
          <w:tblBorders>
            <w:top w:val="single" w:color="000000" w:sz="2" w:space="0"/>
            <w:left w:val="single" w:color="000000" w:sz="2" w:space="0"/>
            <w:bottom w:val="single" w:color="000000"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57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p>
        </w:tc>
        <w:tc>
          <w:tcPr>
            <w:tcW w:w="12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p>
        </w:tc>
        <w:tc>
          <w:tcPr>
            <w:tcW w:w="1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p>
        </w:tc>
        <w:tc>
          <w:tcPr>
            <w:tcW w:w="141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p>
        </w:tc>
        <w:tc>
          <w:tcPr>
            <w:tcW w:w="205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p>
        </w:tc>
        <w:tc>
          <w:tcPr>
            <w:tcW w:w="14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p>
        </w:tc>
        <w:tc>
          <w:tcPr>
            <w:tcW w:w="126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p>
        </w:tc>
        <w:tc>
          <w:tcPr>
            <w:tcW w:w="10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高度m</w:t>
            </w:r>
          </w:p>
        </w:tc>
        <w:tc>
          <w:tcPr>
            <w:tcW w:w="11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内径m</w:t>
            </w:r>
          </w:p>
        </w:tc>
        <w:tc>
          <w:tcPr>
            <w:tcW w:w="10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p>
        </w:tc>
      </w:tr>
      <w:tr>
        <w:tblPrEx>
          <w:tblBorders>
            <w:top w:val="single" w:color="000000" w:sz="2" w:space="0"/>
            <w:left w:val="single" w:color="000000" w:sz="2" w:space="0"/>
            <w:bottom w:val="single" w:color="000000"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576"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酯化尾气</w:t>
            </w:r>
          </w:p>
        </w:tc>
        <w:tc>
          <w:tcPr>
            <w:tcW w:w="1258" w:type="dxa"/>
            <w:vMerge w:val="restart"/>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合成车间</w:t>
            </w:r>
          </w:p>
        </w:tc>
        <w:tc>
          <w:tcPr>
            <w:tcW w:w="1733" w:type="dxa"/>
            <w:vMerge w:val="restart"/>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非甲烷总烃</w:t>
            </w:r>
          </w:p>
        </w:tc>
        <w:tc>
          <w:tcPr>
            <w:tcW w:w="1415" w:type="dxa"/>
            <w:vMerge w:val="restart"/>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有组织排放</w:t>
            </w:r>
          </w:p>
        </w:tc>
        <w:tc>
          <w:tcPr>
            <w:tcW w:w="2051" w:type="dxa"/>
            <w:vMerge w:val="restart"/>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1套“冷凝+UV光氧催化+活性炭吸附”</w:t>
            </w:r>
          </w:p>
        </w:tc>
        <w:tc>
          <w:tcPr>
            <w:tcW w:w="1400" w:type="dxa"/>
            <w:vMerge w:val="restart"/>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回收+催化氧化+活性炭吸附</w:t>
            </w:r>
          </w:p>
        </w:tc>
        <w:tc>
          <w:tcPr>
            <w:tcW w:w="1264" w:type="dxa"/>
            <w:vMerge w:val="restart"/>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废气量8000</w:t>
            </w:r>
            <w:r>
              <w:rPr>
                <w:rFonts w:hint="eastAsia" w:cs="宋体"/>
                <w:color w:val="auto"/>
                <w:spacing w:val="0"/>
                <w:sz w:val="24"/>
                <w:szCs w:val="24"/>
                <w:highlight w:val="none"/>
                <w:lang w:eastAsia="zh-CN"/>
              </w:rPr>
              <w:t>m³</w:t>
            </w:r>
            <w:r>
              <w:rPr>
                <w:rFonts w:hint="eastAsia" w:ascii="宋体" w:hAnsi="宋体" w:eastAsia="宋体" w:cs="宋体"/>
                <w:color w:val="auto"/>
                <w:spacing w:val="0"/>
                <w:sz w:val="24"/>
                <w:szCs w:val="24"/>
                <w:highlight w:val="none"/>
              </w:rPr>
              <w:t>/h</w:t>
            </w:r>
          </w:p>
        </w:tc>
        <w:tc>
          <w:tcPr>
            <w:tcW w:w="100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15</w:t>
            </w:r>
          </w:p>
        </w:tc>
        <w:tc>
          <w:tcPr>
            <w:tcW w:w="116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0.4</w:t>
            </w:r>
          </w:p>
        </w:tc>
        <w:tc>
          <w:tcPr>
            <w:tcW w:w="1008" w:type="dxa"/>
            <w:vMerge w:val="restart"/>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大气</w:t>
            </w:r>
          </w:p>
        </w:tc>
      </w:tr>
      <w:tr>
        <w:tblPrEx>
          <w:tblBorders>
            <w:top w:val="single" w:color="000000" w:sz="2" w:space="0"/>
            <w:left w:val="single" w:color="000000" w:sz="2" w:space="0"/>
            <w:bottom w:val="single" w:color="000000"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576"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真空尾气</w:t>
            </w:r>
          </w:p>
        </w:tc>
        <w:tc>
          <w:tcPr>
            <w:tcW w:w="12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41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205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4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26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0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0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r>
      <w:tr>
        <w:tblPrEx>
          <w:tblBorders>
            <w:top w:val="single" w:color="000000" w:sz="2" w:space="0"/>
            <w:left w:val="single" w:color="000000" w:sz="2" w:space="0"/>
            <w:bottom w:val="single" w:color="000000"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576"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干燥废气</w:t>
            </w:r>
          </w:p>
        </w:tc>
        <w:tc>
          <w:tcPr>
            <w:tcW w:w="12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41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205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4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26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0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0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r>
      <w:tr>
        <w:tblPrEx>
          <w:tblBorders>
            <w:top w:val="single" w:color="000000" w:sz="2" w:space="0"/>
            <w:left w:val="single" w:color="000000" w:sz="2" w:space="0"/>
            <w:bottom w:val="single" w:color="000000"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576"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投料粉尘</w:t>
            </w:r>
          </w:p>
        </w:tc>
        <w:tc>
          <w:tcPr>
            <w:tcW w:w="1258" w:type="dxa"/>
            <w:vMerge w:val="restart"/>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粉剂车间</w:t>
            </w:r>
          </w:p>
        </w:tc>
        <w:tc>
          <w:tcPr>
            <w:tcW w:w="1733" w:type="dxa"/>
            <w:vMerge w:val="restart"/>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颗粒物</w:t>
            </w:r>
          </w:p>
        </w:tc>
        <w:tc>
          <w:tcPr>
            <w:tcW w:w="1415" w:type="dxa"/>
            <w:vMerge w:val="restart"/>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有组织排放</w:t>
            </w:r>
          </w:p>
        </w:tc>
        <w:tc>
          <w:tcPr>
            <w:tcW w:w="2051" w:type="dxa"/>
            <w:vMerge w:val="restart"/>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1套袋式除尘器</w:t>
            </w:r>
          </w:p>
        </w:tc>
        <w:tc>
          <w:tcPr>
            <w:tcW w:w="1400" w:type="dxa"/>
            <w:vMerge w:val="restart"/>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袋式除尘</w:t>
            </w:r>
          </w:p>
        </w:tc>
        <w:tc>
          <w:tcPr>
            <w:tcW w:w="1264" w:type="dxa"/>
            <w:vMerge w:val="restart"/>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废气量4000</w:t>
            </w:r>
            <w:r>
              <w:rPr>
                <w:rFonts w:hint="eastAsia" w:cs="宋体"/>
                <w:color w:val="auto"/>
                <w:spacing w:val="0"/>
                <w:sz w:val="24"/>
                <w:szCs w:val="24"/>
                <w:highlight w:val="none"/>
                <w:lang w:eastAsia="zh-CN"/>
              </w:rPr>
              <w:t>m³</w:t>
            </w:r>
            <w:r>
              <w:rPr>
                <w:rFonts w:hint="eastAsia" w:ascii="宋体" w:hAnsi="宋体" w:eastAsia="宋体" w:cs="宋体"/>
                <w:color w:val="auto"/>
                <w:spacing w:val="0"/>
                <w:sz w:val="24"/>
                <w:szCs w:val="24"/>
                <w:highlight w:val="none"/>
              </w:rPr>
              <w:t>/h</w:t>
            </w:r>
          </w:p>
        </w:tc>
        <w:tc>
          <w:tcPr>
            <w:tcW w:w="100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15</w:t>
            </w:r>
          </w:p>
        </w:tc>
        <w:tc>
          <w:tcPr>
            <w:tcW w:w="116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0.3</w:t>
            </w:r>
          </w:p>
        </w:tc>
        <w:tc>
          <w:tcPr>
            <w:tcW w:w="1008" w:type="dxa"/>
            <w:vMerge w:val="restart"/>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大气</w:t>
            </w:r>
          </w:p>
        </w:tc>
      </w:tr>
      <w:tr>
        <w:tblPrEx>
          <w:tblBorders>
            <w:top w:val="single" w:color="000000" w:sz="2" w:space="0"/>
            <w:left w:val="single" w:color="000000" w:sz="2" w:space="0"/>
            <w:bottom w:val="single" w:color="000000"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576"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粉碎粉尘</w:t>
            </w:r>
          </w:p>
        </w:tc>
        <w:tc>
          <w:tcPr>
            <w:tcW w:w="12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41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205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4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26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0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0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r>
      <w:tr>
        <w:tblPrEx>
          <w:tblBorders>
            <w:top w:val="single" w:color="000000" w:sz="2" w:space="0"/>
            <w:left w:val="single" w:color="000000" w:sz="2" w:space="0"/>
            <w:bottom w:val="single" w:color="000000"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576"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包装粉尘</w:t>
            </w:r>
          </w:p>
        </w:tc>
        <w:tc>
          <w:tcPr>
            <w:tcW w:w="12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41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205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4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26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0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c>
          <w:tcPr>
            <w:tcW w:w="10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p>
        </w:tc>
      </w:tr>
      <w:tr>
        <w:tblPrEx>
          <w:tblBorders>
            <w:top w:val="single" w:color="000000" w:sz="2" w:space="0"/>
            <w:left w:val="single" w:color="000000" w:sz="2" w:space="0"/>
            <w:bottom w:val="single" w:color="000000"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1576"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投料粉尘</w:t>
            </w:r>
          </w:p>
        </w:tc>
        <w:tc>
          <w:tcPr>
            <w:tcW w:w="125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水剂车间</w:t>
            </w:r>
          </w:p>
        </w:tc>
        <w:tc>
          <w:tcPr>
            <w:tcW w:w="173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颗粒物</w:t>
            </w:r>
          </w:p>
        </w:tc>
        <w:tc>
          <w:tcPr>
            <w:tcW w:w="1415"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有组织排放</w:t>
            </w:r>
          </w:p>
        </w:tc>
        <w:tc>
          <w:tcPr>
            <w:tcW w:w="2051"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1套袋式除尘器</w:t>
            </w:r>
          </w:p>
        </w:tc>
        <w:tc>
          <w:tcPr>
            <w:tcW w:w="140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袋式除尘</w:t>
            </w:r>
          </w:p>
        </w:tc>
        <w:tc>
          <w:tcPr>
            <w:tcW w:w="1264"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废气量3000</w:t>
            </w:r>
            <w:r>
              <w:rPr>
                <w:rFonts w:hint="eastAsia" w:cs="宋体"/>
                <w:color w:val="auto"/>
                <w:spacing w:val="0"/>
                <w:sz w:val="24"/>
                <w:szCs w:val="24"/>
                <w:highlight w:val="none"/>
                <w:lang w:eastAsia="zh-CN"/>
              </w:rPr>
              <w:t>m³</w:t>
            </w:r>
            <w:r>
              <w:rPr>
                <w:rFonts w:hint="eastAsia" w:ascii="宋体" w:hAnsi="宋体" w:eastAsia="宋体" w:cs="宋体"/>
                <w:color w:val="auto"/>
                <w:spacing w:val="0"/>
                <w:sz w:val="24"/>
                <w:szCs w:val="24"/>
                <w:highlight w:val="none"/>
              </w:rPr>
              <w:t>/h</w:t>
            </w:r>
          </w:p>
        </w:tc>
        <w:tc>
          <w:tcPr>
            <w:tcW w:w="10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15</w:t>
            </w:r>
          </w:p>
        </w:tc>
        <w:tc>
          <w:tcPr>
            <w:tcW w:w="11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0.3</w:t>
            </w:r>
          </w:p>
        </w:tc>
        <w:tc>
          <w:tcPr>
            <w:tcW w:w="100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大气</w:t>
            </w:r>
          </w:p>
        </w:tc>
      </w:tr>
      <w:tr>
        <w:tblPrEx>
          <w:tblBorders>
            <w:top w:val="single" w:color="000000" w:sz="2" w:space="0"/>
            <w:left w:val="single" w:color="000000" w:sz="2" w:space="0"/>
            <w:bottom w:val="single" w:color="000000"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5" w:hRule="atLeast"/>
        </w:trPr>
        <w:tc>
          <w:tcPr>
            <w:tcW w:w="1576"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复配废气</w:t>
            </w:r>
          </w:p>
        </w:tc>
        <w:tc>
          <w:tcPr>
            <w:tcW w:w="125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乳油车间</w:t>
            </w:r>
          </w:p>
        </w:tc>
        <w:tc>
          <w:tcPr>
            <w:tcW w:w="173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非甲烷总烃</w:t>
            </w:r>
          </w:p>
        </w:tc>
        <w:tc>
          <w:tcPr>
            <w:tcW w:w="1415"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有组织排放</w:t>
            </w:r>
          </w:p>
        </w:tc>
        <w:tc>
          <w:tcPr>
            <w:tcW w:w="2051"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1套“UV光氧催化+活性炭吸附”</w:t>
            </w:r>
          </w:p>
        </w:tc>
        <w:tc>
          <w:tcPr>
            <w:tcW w:w="140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催化氧化+</w:t>
            </w:r>
          </w:p>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活性炭吸</w:t>
            </w:r>
          </w:p>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附</w:t>
            </w:r>
          </w:p>
        </w:tc>
        <w:tc>
          <w:tcPr>
            <w:tcW w:w="1264"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废气量10000</w:t>
            </w:r>
            <w:r>
              <w:rPr>
                <w:rFonts w:hint="eastAsia" w:cs="宋体"/>
                <w:color w:val="auto"/>
                <w:spacing w:val="0"/>
                <w:sz w:val="24"/>
                <w:szCs w:val="24"/>
                <w:highlight w:val="none"/>
                <w:lang w:eastAsia="zh-CN"/>
              </w:rPr>
              <w:t>m³</w:t>
            </w:r>
            <w:r>
              <w:rPr>
                <w:rFonts w:hint="eastAsia" w:ascii="宋体" w:hAnsi="宋体" w:eastAsia="宋体" w:cs="宋体"/>
                <w:color w:val="auto"/>
                <w:spacing w:val="0"/>
                <w:sz w:val="24"/>
                <w:szCs w:val="24"/>
                <w:highlight w:val="none"/>
              </w:rPr>
              <w:t>/h</w:t>
            </w:r>
          </w:p>
        </w:tc>
        <w:tc>
          <w:tcPr>
            <w:tcW w:w="10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15</w:t>
            </w:r>
          </w:p>
        </w:tc>
        <w:tc>
          <w:tcPr>
            <w:tcW w:w="11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0.4</w:t>
            </w:r>
          </w:p>
        </w:tc>
        <w:tc>
          <w:tcPr>
            <w:tcW w:w="100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大气</w:t>
            </w:r>
          </w:p>
        </w:tc>
      </w:tr>
      <w:tr>
        <w:tblPrEx>
          <w:tblBorders>
            <w:top w:val="single" w:color="000000" w:sz="2" w:space="0"/>
            <w:left w:val="single" w:color="000000" w:sz="2" w:space="0"/>
            <w:bottom w:val="single" w:color="000000"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576" w:type="dxa"/>
            <w:vMerge w:val="restart"/>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污水处理站废气</w:t>
            </w:r>
          </w:p>
        </w:tc>
        <w:tc>
          <w:tcPr>
            <w:tcW w:w="1258" w:type="dxa"/>
            <w:vMerge w:val="restart"/>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污水处理站</w:t>
            </w:r>
          </w:p>
        </w:tc>
        <w:tc>
          <w:tcPr>
            <w:tcW w:w="173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非甲烷总烃</w:t>
            </w:r>
          </w:p>
        </w:tc>
        <w:tc>
          <w:tcPr>
            <w:tcW w:w="1415" w:type="dxa"/>
            <w:vMerge w:val="restart"/>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有组织排放</w:t>
            </w:r>
          </w:p>
        </w:tc>
        <w:tc>
          <w:tcPr>
            <w:tcW w:w="2051" w:type="dxa"/>
            <w:vMerge w:val="restart"/>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1座生物滤池</w:t>
            </w:r>
          </w:p>
        </w:tc>
        <w:tc>
          <w:tcPr>
            <w:tcW w:w="1400" w:type="dxa"/>
            <w:vMerge w:val="restart"/>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生物滤池</w:t>
            </w:r>
          </w:p>
        </w:tc>
        <w:tc>
          <w:tcPr>
            <w:tcW w:w="1264" w:type="dxa"/>
            <w:vMerge w:val="restart"/>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废气量3000</w:t>
            </w:r>
            <w:r>
              <w:rPr>
                <w:rFonts w:hint="eastAsia" w:cs="宋体"/>
                <w:color w:val="auto"/>
                <w:spacing w:val="0"/>
                <w:sz w:val="24"/>
                <w:szCs w:val="24"/>
                <w:highlight w:val="none"/>
                <w:lang w:eastAsia="zh-CN"/>
              </w:rPr>
              <w:t>m³</w:t>
            </w:r>
            <w:r>
              <w:rPr>
                <w:rFonts w:hint="eastAsia" w:ascii="宋体" w:hAnsi="宋体" w:eastAsia="宋体" w:cs="宋体"/>
                <w:color w:val="auto"/>
                <w:spacing w:val="0"/>
                <w:sz w:val="24"/>
                <w:szCs w:val="24"/>
                <w:highlight w:val="none"/>
              </w:rPr>
              <w:t>/h</w:t>
            </w:r>
          </w:p>
        </w:tc>
        <w:tc>
          <w:tcPr>
            <w:tcW w:w="100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15</w:t>
            </w:r>
          </w:p>
        </w:tc>
        <w:tc>
          <w:tcPr>
            <w:tcW w:w="116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0.4</w:t>
            </w:r>
          </w:p>
        </w:tc>
        <w:tc>
          <w:tcPr>
            <w:tcW w:w="1008" w:type="dxa"/>
            <w:vMerge w:val="restart"/>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大气</w:t>
            </w:r>
          </w:p>
        </w:tc>
      </w:tr>
      <w:tr>
        <w:tblPrEx>
          <w:tblBorders>
            <w:top w:val="single" w:color="000000" w:sz="2" w:space="0"/>
            <w:left w:val="single" w:color="000000" w:sz="2" w:space="0"/>
            <w:bottom w:val="single" w:color="000000" w:sz="4"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57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1"/>
                <w:highlight w:val="none"/>
              </w:rPr>
            </w:pPr>
          </w:p>
        </w:tc>
        <w:tc>
          <w:tcPr>
            <w:tcW w:w="125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1"/>
                <w:highlight w:val="none"/>
              </w:rPr>
            </w:pPr>
          </w:p>
        </w:tc>
        <w:tc>
          <w:tcPr>
            <w:tcW w:w="173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臭气浓度</w:t>
            </w:r>
          </w:p>
        </w:tc>
        <w:tc>
          <w:tcPr>
            <w:tcW w:w="141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1"/>
                <w:highlight w:val="none"/>
              </w:rPr>
            </w:pPr>
          </w:p>
        </w:tc>
        <w:tc>
          <w:tcPr>
            <w:tcW w:w="205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1"/>
                <w:highlight w:val="none"/>
              </w:rPr>
            </w:pPr>
          </w:p>
        </w:tc>
        <w:tc>
          <w:tcPr>
            <w:tcW w:w="14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1"/>
                <w:highlight w:val="none"/>
              </w:rPr>
            </w:pPr>
          </w:p>
        </w:tc>
        <w:tc>
          <w:tcPr>
            <w:tcW w:w="126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1"/>
                <w:highlight w:val="none"/>
              </w:rPr>
            </w:pPr>
          </w:p>
        </w:tc>
        <w:tc>
          <w:tcPr>
            <w:tcW w:w="10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1"/>
                <w:highlight w:val="none"/>
              </w:rPr>
            </w:pPr>
          </w:p>
        </w:tc>
        <w:tc>
          <w:tcPr>
            <w:tcW w:w="116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1"/>
                <w:highlight w:val="none"/>
              </w:rPr>
            </w:pPr>
          </w:p>
        </w:tc>
        <w:tc>
          <w:tcPr>
            <w:tcW w:w="100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1"/>
                <w:highlight w:val="none"/>
              </w:rPr>
            </w:pPr>
          </w:p>
        </w:tc>
      </w:tr>
    </w:tbl>
    <w:p>
      <w:pPr>
        <w:pStyle w:val="6"/>
        <w:pageBreakBefore w:val="0"/>
        <w:kinsoku/>
        <w:wordWrap/>
        <w:overflowPunct/>
        <w:topLinePunct w:val="0"/>
        <w:bidi w:val="0"/>
        <w:spacing w:line="240" w:lineRule="auto"/>
        <w:ind w:left="0" w:leftChars="0" w:right="0"/>
        <w:rPr>
          <w:rFonts w:hint="eastAsia" w:ascii="宋体" w:hAnsi="宋体" w:eastAsia="宋体" w:cs="宋体"/>
          <w:color w:val="auto"/>
          <w:spacing w:val="0"/>
          <w:highlight w:val="none"/>
        </w:rPr>
      </w:pPr>
    </w:p>
    <w:p>
      <w:pPr>
        <w:pageBreakBefore w:val="0"/>
        <w:kinsoku/>
        <w:wordWrap/>
        <w:overflowPunct/>
        <w:topLinePunct w:val="0"/>
        <w:bidi w:val="0"/>
        <w:spacing w:line="240" w:lineRule="auto"/>
        <w:ind w:left="0" w:leftChars="0" w:right="0"/>
        <w:rPr>
          <w:rFonts w:hint="eastAsia" w:ascii="宋体" w:hAnsi="宋体" w:eastAsia="宋体" w:cs="宋体"/>
          <w:color w:val="auto"/>
          <w:spacing w:val="0"/>
          <w:highlight w:val="none"/>
        </w:rPr>
        <w:sectPr>
          <w:headerReference r:id="rId9" w:type="default"/>
          <w:footerReference r:id="rId10" w:type="default"/>
          <w:pgSz w:w="16839" w:h="11907"/>
          <w:pgMar w:top="1118" w:right="1409" w:bottom="1588" w:left="1411" w:header="877" w:footer="1428" w:gutter="0"/>
          <w:pgBorders>
            <w:top w:val="none" w:sz="0" w:space="0"/>
            <w:left w:val="none" w:sz="0" w:space="0"/>
            <w:bottom w:val="none" w:sz="0" w:space="0"/>
            <w:right w:val="none" w:sz="0" w:space="0"/>
          </w:pgBorders>
          <w:pgNumType w:fmt="decimal"/>
          <w:cols w:space="720" w:num="1"/>
        </w:sectPr>
      </w:pPr>
    </w:p>
    <w:p>
      <w:pPr>
        <w:pageBreakBefore w:val="0"/>
        <w:kinsoku/>
        <w:wordWrap/>
        <w:overflowPunct/>
        <w:topLinePunct w:val="0"/>
        <w:bidi w:val="0"/>
        <w:spacing w:line="360" w:lineRule="auto"/>
        <w:ind w:left="0" w:leftChars="0" w:right="0"/>
        <w:rPr>
          <w:rFonts w:hint="eastAsia" w:ascii="宋体" w:hAnsi="宋体" w:eastAsia="宋体" w:cs="宋体"/>
          <w:color w:val="auto"/>
          <w:spacing w:val="0"/>
          <w:sz w:val="28"/>
          <w:szCs w:val="28"/>
          <w:highlight w:val="none"/>
        </w:rPr>
      </w:pPr>
      <w:r>
        <w:rPr>
          <w:rFonts w:hint="eastAsia" w:ascii="宋体" w:hAnsi="宋体" w:eastAsia="宋体" w:cs="宋体"/>
          <w:color w:val="auto"/>
          <w:spacing w:val="0"/>
          <w:position w:val="22"/>
          <w:sz w:val="28"/>
          <w:szCs w:val="28"/>
          <w:highlight w:val="none"/>
        </w:rPr>
        <w:t>主要废气治理工艺流程见下图。</w:t>
      </w:r>
    </w:p>
    <w:p>
      <w:pPr>
        <w:pageBreakBefore w:val="0"/>
        <w:kinsoku/>
        <w:wordWrap/>
        <w:overflowPunct/>
        <w:topLinePunct w:val="0"/>
        <w:bidi w:val="0"/>
        <w:spacing w:line="360" w:lineRule="auto"/>
        <w:ind w:left="0" w:leftChars="0" w:right="0"/>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rPr>
        <w:t>1）合成车间有机废气</w:t>
      </w:r>
    </w:p>
    <w:p>
      <w:pPr>
        <w:pageBreakBefore w:val="0"/>
        <w:kinsoku/>
        <w:wordWrap/>
        <w:overflowPunct/>
        <w:topLinePunct w:val="0"/>
        <w:bidi w:val="0"/>
        <w:spacing w:line="360" w:lineRule="auto"/>
        <w:ind w:left="0" w:leftChars="0" w:right="0" w:firstLine="778"/>
        <w:rPr>
          <w:rFonts w:hint="eastAsia" w:ascii="宋体" w:hAnsi="宋体" w:eastAsia="宋体" w:cs="宋体"/>
          <w:color w:val="auto"/>
          <w:spacing w:val="0"/>
          <w:sz w:val="28"/>
          <w:szCs w:val="28"/>
          <w:highlight w:val="none"/>
        </w:rPr>
      </w:pPr>
      <w:r>
        <w:rPr>
          <w:rFonts w:hint="eastAsia" w:ascii="宋体" w:hAnsi="宋体" w:eastAsia="宋体" w:cs="宋体"/>
          <w:color w:val="auto"/>
          <w:spacing w:val="0"/>
          <w:position w:val="-16"/>
          <w:sz w:val="28"/>
          <w:szCs w:val="28"/>
          <w:highlight w:val="none"/>
        </w:rPr>
        <w:drawing>
          <wp:inline distT="0" distB="0" distL="0" distR="0">
            <wp:extent cx="4314825" cy="525780"/>
            <wp:effectExtent l="0" t="0" r="3175" b="7620"/>
            <wp:docPr id="147" name="IM 76"/>
            <wp:cNvGraphicFramePr/>
            <a:graphic xmlns:a="http://schemas.openxmlformats.org/drawingml/2006/main">
              <a:graphicData uri="http://schemas.openxmlformats.org/drawingml/2006/picture">
                <pic:pic xmlns:pic="http://schemas.openxmlformats.org/drawingml/2006/picture">
                  <pic:nvPicPr>
                    <pic:cNvPr id="147" name="IM 76"/>
                    <pic:cNvPicPr/>
                  </pic:nvPicPr>
                  <pic:blipFill>
                    <a:blip r:embed="rId24"/>
                    <a:stretch>
                      <a:fillRect/>
                    </a:stretch>
                  </pic:blipFill>
                  <pic:spPr>
                    <a:xfrm>
                      <a:off x="0" y="0"/>
                      <a:ext cx="4314825" cy="525780"/>
                    </a:xfrm>
                    <a:prstGeom prst="rect">
                      <a:avLst/>
                    </a:prstGeom>
                  </pic:spPr>
                </pic:pic>
              </a:graphicData>
            </a:graphic>
          </wp:inline>
        </w:drawing>
      </w:r>
    </w:p>
    <w:p>
      <w:pPr>
        <w:pageBreakBefore w:val="0"/>
        <w:kinsoku/>
        <w:wordWrap/>
        <w:overflowPunct/>
        <w:topLinePunct w:val="0"/>
        <w:bidi w:val="0"/>
        <w:spacing w:line="360" w:lineRule="auto"/>
        <w:ind w:left="0" w:leftChars="0" w:right="0"/>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rPr>
        <w:t>2）乳油车间有机废气</w:t>
      </w:r>
    </w:p>
    <w:p>
      <w:pPr>
        <w:pageBreakBefore w:val="0"/>
        <w:kinsoku/>
        <w:wordWrap/>
        <w:overflowPunct/>
        <w:topLinePunct w:val="0"/>
        <w:bidi w:val="0"/>
        <w:spacing w:line="360" w:lineRule="auto"/>
        <w:ind w:left="0" w:leftChars="0" w:right="0" w:firstLine="883"/>
        <w:rPr>
          <w:rFonts w:hint="eastAsia" w:ascii="宋体" w:hAnsi="宋体" w:eastAsia="宋体" w:cs="宋体"/>
          <w:color w:val="auto"/>
          <w:spacing w:val="0"/>
          <w:sz w:val="28"/>
          <w:szCs w:val="28"/>
          <w:highlight w:val="none"/>
        </w:rPr>
      </w:pPr>
      <w:r>
        <w:rPr>
          <w:rFonts w:hint="eastAsia" w:ascii="宋体" w:hAnsi="宋体" w:eastAsia="宋体" w:cs="宋体"/>
          <w:color w:val="auto"/>
          <w:spacing w:val="0"/>
          <w:position w:val="-19"/>
          <w:sz w:val="28"/>
          <w:szCs w:val="28"/>
          <w:highlight w:val="none"/>
        </w:rPr>
        <w:drawing>
          <wp:inline distT="0" distB="0" distL="0" distR="0">
            <wp:extent cx="4181475" cy="612775"/>
            <wp:effectExtent l="0" t="0" r="9525" b="9525"/>
            <wp:docPr id="148" name="IM 78"/>
            <wp:cNvGraphicFramePr/>
            <a:graphic xmlns:a="http://schemas.openxmlformats.org/drawingml/2006/main">
              <a:graphicData uri="http://schemas.openxmlformats.org/drawingml/2006/picture">
                <pic:pic xmlns:pic="http://schemas.openxmlformats.org/drawingml/2006/picture">
                  <pic:nvPicPr>
                    <pic:cNvPr id="148" name="IM 78"/>
                    <pic:cNvPicPr/>
                  </pic:nvPicPr>
                  <pic:blipFill>
                    <a:blip r:embed="rId25"/>
                    <a:stretch>
                      <a:fillRect/>
                    </a:stretch>
                  </pic:blipFill>
                  <pic:spPr>
                    <a:xfrm>
                      <a:off x="0" y="0"/>
                      <a:ext cx="4181475" cy="613409"/>
                    </a:xfrm>
                    <a:prstGeom prst="rect">
                      <a:avLst/>
                    </a:prstGeom>
                  </pic:spPr>
                </pic:pic>
              </a:graphicData>
            </a:graphic>
          </wp:inline>
        </w:drawing>
      </w:r>
    </w:p>
    <w:p>
      <w:pPr>
        <w:pageBreakBefore w:val="0"/>
        <w:kinsoku/>
        <w:wordWrap/>
        <w:overflowPunct/>
        <w:topLinePunct w:val="0"/>
        <w:bidi w:val="0"/>
        <w:spacing w:line="360" w:lineRule="auto"/>
        <w:ind w:left="0" w:leftChars="0" w:right="0"/>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rPr>
        <w:t>3）粉剂车间、水剂车间颗粒物</w:t>
      </w:r>
    </w:p>
    <w:p>
      <w:pPr>
        <w:pageBreakBefore w:val="0"/>
        <w:kinsoku/>
        <w:wordWrap/>
        <w:overflowPunct/>
        <w:topLinePunct w:val="0"/>
        <w:bidi w:val="0"/>
        <w:spacing w:line="360" w:lineRule="auto"/>
        <w:ind w:left="0" w:leftChars="0" w:right="0" w:firstLine="1948"/>
        <w:rPr>
          <w:rFonts w:hint="eastAsia" w:ascii="宋体" w:hAnsi="宋体" w:eastAsia="宋体" w:cs="宋体"/>
          <w:color w:val="auto"/>
          <w:spacing w:val="0"/>
          <w:sz w:val="28"/>
          <w:szCs w:val="28"/>
          <w:highlight w:val="none"/>
        </w:rPr>
      </w:pPr>
      <w:r>
        <w:rPr>
          <w:rFonts w:hint="eastAsia" w:ascii="宋体" w:hAnsi="宋体" w:eastAsia="宋体" w:cs="宋体"/>
          <w:color w:val="auto"/>
          <w:spacing w:val="0"/>
          <w:position w:val="-15"/>
          <w:sz w:val="28"/>
          <w:szCs w:val="28"/>
          <w:highlight w:val="none"/>
        </w:rPr>
        <w:drawing>
          <wp:inline distT="0" distB="0" distL="0" distR="0">
            <wp:extent cx="2828925" cy="501650"/>
            <wp:effectExtent l="0" t="0" r="3175" b="6350"/>
            <wp:docPr id="149" name="IM 80"/>
            <wp:cNvGraphicFramePr/>
            <a:graphic xmlns:a="http://schemas.openxmlformats.org/drawingml/2006/main">
              <a:graphicData uri="http://schemas.openxmlformats.org/drawingml/2006/picture">
                <pic:pic xmlns:pic="http://schemas.openxmlformats.org/drawingml/2006/picture">
                  <pic:nvPicPr>
                    <pic:cNvPr id="149" name="IM 80"/>
                    <pic:cNvPicPr/>
                  </pic:nvPicPr>
                  <pic:blipFill>
                    <a:blip r:embed="rId26"/>
                    <a:stretch>
                      <a:fillRect/>
                    </a:stretch>
                  </pic:blipFill>
                  <pic:spPr>
                    <a:xfrm>
                      <a:off x="0" y="0"/>
                      <a:ext cx="2828925" cy="502284"/>
                    </a:xfrm>
                    <a:prstGeom prst="rect">
                      <a:avLst/>
                    </a:prstGeom>
                  </pic:spPr>
                </pic:pic>
              </a:graphicData>
            </a:graphic>
          </wp:inline>
        </w:drawing>
      </w:r>
    </w:p>
    <w:p>
      <w:pPr>
        <w:pageBreakBefore w:val="0"/>
        <w:kinsoku/>
        <w:wordWrap/>
        <w:overflowPunct/>
        <w:topLinePunct w:val="0"/>
        <w:bidi w:val="0"/>
        <w:spacing w:line="360" w:lineRule="auto"/>
        <w:ind w:left="0" w:leftChars="0" w:right="0"/>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rPr>
        <w:t>4）污水处理站废气</w:t>
      </w:r>
    </w:p>
    <w:p>
      <w:pPr>
        <w:pageBreakBefore w:val="0"/>
        <w:kinsoku/>
        <w:wordWrap/>
        <w:overflowPunct/>
        <w:topLinePunct w:val="0"/>
        <w:bidi w:val="0"/>
        <w:spacing w:line="360" w:lineRule="auto"/>
        <w:ind w:left="0" w:leftChars="0" w:right="0" w:firstLine="1798"/>
        <w:rPr>
          <w:rFonts w:hint="eastAsia" w:ascii="宋体" w:hAnsi="宋体" w:eastAsia="宋体" w:cs="宋体"/>
          <w:color w:val="auto"/>
          <w:spacing w:val="0"/>
          <w:sz w:val="28"/>
          <w:szCs w:val="28"/>
          <w:highlight w:val="none"/>
        </w:rPr>
      </w:pPr>
      <w:r>
        <w:rPr>
          <w:rFonts w:hint="eastAsia" w:ascii="宋体" w:hAnsi="宋体" w:eastAsia="宋体" w:cs="宋体"/>
          <w:color w:val="auto"/>
          <w:spacing w:val="0"/>
          <w:position w:val="-17"/>
          <w:sz w:val="28"/>
          <w:szCs w:val="28"/>
          <w:highlight w:val="none"/>
        </w:rPr>
        <w:drawing>
          <wp:inline distT="0" distB="0" distL="0" distR="0">
            <wp:extent cx="3023870" cy="566420"/>
            <wp:effectExtent l="0" t="0" r="11430" b="5080"/>
            <wp:docPr id="150" name="IM 82"/>
            <wp:cNvGraphicFramePr/>
            <a:graphic xmlns:a="http://schemas.openxmlformats.org/drawingml/2006/main">
              <a:graphicData uri="http://schemas.openxmlformats.org/drawingml/2006/picture">
                <pic:pic xmlns:pic="http://schemas.openxmlformats.org/drawingml/2006/picture">
                  <pic:nvPicPr>
                    <pic:cNvPr id="150" name="IM 82"/>
                    <pic:cNvPicPr/>
                  </pic:nvPicPr>
                  <pic:blipFill>
                    <a:blip r:embed="rId27"/>
                    <a:stretch>
                      <a:fillRect/>
                    </a:stretch>
                  </pic:blipFill>
                  <pic:spPr>
                    <a:xfrm>
                      <a:off x="0" y="0"/>
                      <a:ext cx="3024504" cy="567054"/>
                    </a:xfrm>
                    <a:prstGeom prst="rect">
                      <a:avLst/>
                    </a:prstGeom>
                  </pic:spPr>
                </pic:pic>
              </a:graphicData>
            </a:graphic>
          </wp:inline>
        </w:drawing>
      </w:r>
    </w:p>
    <w:p>
      <w:pPr>
        <w:pageBreakBefore w:val="0"/>
        <w:kinsoku/>
        <w:wordWrap/>
        <w:overflowPunct/>
        <w:topLinePunct w:val="0"/>
        <w:bidi w:val="0"/>
        <w:spacing w:line="360" w:lineRule="auto"/>
        <w:ind w:left="0" w:leftChars="0" w:right="0" w:firstLine="0" w:firstLineChars="0"/>
        <w:jc w:val="both"/>
        <w:outlineLvl w:val="2"/>
        <w:rPr>
          <w:rFonts w:hint="eastAsia" w:ascii="宋体" w:hAnsi="宋体" w:eastAsia="宋体" w:cs="宋体"/>
          <w:b/>
          <w:bCs/>
          <w:color w:val="auto"/>
          <w:spacing w:val="0"/>
          <w:kern w:val="2"/>
          <w:sz w:val="28"/>
          <w:szCs w:val="28"/>
          <w:highlight w:val="none"/>
          <w:u w:val="none"/>
          <w:lang w:val="en-US" w:eastAsia="zh-CN" w:bidi="ar-SA"/>
        </w:rPr>
      </w:pPr>
      <w:r>
        <w:rPr>
          <w:rFonts w:hint="eastAsia" w:ascii="宋体" w:hAnsi="宋体" w:eastAsia="宋体" w:cs="宋体"/>
          <w:b/>
          <w:bCs/>
          <w:color w:val="auto"/>
          <w:spacing w:val="0"/>
          <w:kern w:val="2"/>
          <w:sz w:val="28"/>
          <w:szCs w:val="28"/>
          <w:highlight w:val="none"/>
          <w:u w:val="none"/>
          <w:lang w:val="en-US" w:eastAsia="zh-CN" w:bidi="ar-SA"/>
        </w:rPr>
        <w:t>4.3.3噪声</w:t>
      </w:r>
    </w:p>
    <w:p>
      <w:pPr>
        <w:pageBreakBefore w:val="0"/>
        <w:kinsoku/>
        <w:wordWrap/>
        <w:overflowPunct/>
        <w:topLinePunct w:val="0"/>
        <w:bidi w:val="0"/>
        <w:spacing w:line="360" w:lineRule="auto"/>
        <w:ind w:left="0" w:leftChars="0" w:right="0" w:firstLine="475"/>
        <w:jc w:val="both"/>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rPr>
        <w:t>本项目工程噪声主要来源于各种泵类、分散机、离心机、混合机等，噪声源强为70~85dB（A）。主要通过车间隔声、设备基础减振等措施减小对声环境的影响。主要设备噪声情况见下表。</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8"/>
          <w:szCs w:val="28"/>
          <w:highlight w:val="none"/>
          <w:lang w:val="en-US" w:eastAsia="zh-CN"/>
        </w:rPr>
      </w:pPr>
      <w:r>
        <w:rPr>
          <w:rFonts w:hint="eastAsia" w:ascii="宋体" w:hAnsi="宋体" w:eastAsia="宋体" w:cs="宋体"/>
          <w:b/>
          <w:bCs/>
          <w:color w:val="auto"/>
          <w:spacing w:val="0"/>
          <w:sz w:val="28"/>
          <w:szCs w:val="28"/>
          <w:highlight w:val="none"/>
          <w:lang w:val="en-US" w:eastAsia="zh-CN"/>
        </w:rPr>
        <w:t>表6项目噪声设备及声源源强一览表</w:t>
      </w:r>
    </w:p>
    <w:tbl>
      <w:tblPr>
        <w:tblStyle w:val="44"/>
        <w:tblW w:w="83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30"/>
        <w:gridCol w:w="1545"/>
        <w:gridCol w:w="1738"/>
        <w:gridCol w:w="25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25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设备名称</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源强</w:t>
            </w:r>
          </w:p>
        </w:tc>
        <w:tc>
          <w:tcPr>
            <w:tcW w:w="17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运行方式</w:t>
            </w:r>
          </w:p>
        </w:tc>
        <w:tc>
          <w:tcPr>
            <w:tcW w:w="25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4"/>
                <w:szCs w:val="24"/>
                <w:highlight w:val="none"/>
                <w:lang w:val="en-US" w:eastAsia="zh-CN"/>
              </w:rPr>
            </w:pPr>
            <w:r>
              <w:rPr>
                <w:rFonts w:hint="eastAsia" w:ascii="宋体" w:hAnsi="宋体" w:eastAsia="宋体" w:cs="宋体"/>
                <w:b/>
                <w:bCs/>
                <w:color w:val="auto"/>
                <w:spacing w:val="0"/>
                <w:sz w:val="24"/>
                <w:szCs w:val="24"/>
                <w:highlight w:val="none"/>
                <w:lang w:val="en-US" w:eastAsia="zh-CN"/>
              </w:rPr>
              <w:t>治理设施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jc w:val="center"/>
        </w:trPr>
        <w:tc>
          <w:tcPr>
            <w:tcW w:w="253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离心机</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75</w:t>
            </w:r>
          </w:p>
        </w:tc>
        <w:tc>
          <w:tcPr>
            <w:tcW w:w="173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间歇</w:t>
            </w:r>
          </w:p>
        </w:tc>
        <w:tc>
          <w:tcPr>
            <w:tcW w:w="251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隔声、减振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jc w:val="center"/>
        </w:trPr>
        <w:tc>
          <w:tcPr>
            <w:tcW w:w="253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圆盘搅拌机</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72</w:t>
            </w:r>
          </w:p>
        </w:tc>
        <w:tc>
          <w:tcPr>
            <w:tcW w:w="173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间歇</w:t>
            </w:r>
          </w:p>
        </w:tc>
        <w:tc>
          <w:tcPr>
            <w:tcW w:w="251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隔声、减振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253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真空泵</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80</w:t>
            </w:r>
          </w:p>
        </w:tc>
        <w:tc>
          <w:tcPr>
            <w:tcW w:w="173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间歇</w:t>
            </w:r>
          </w:p>
        </w:tc>
        <w:tc>
          <w:tcPr>
            <w:tcW w:w="251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隔声、减振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253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混合机</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70</w:t>
            </w:r>
          </w:p>
        </w:tc>
        <w:tc>
          <w:tcPr>
            <w:tcW w:w="173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间歇</w:t>
            </w:r>
          </w:p>
        </w:tc>
        <w:tc>
          <w:tcPr>
            <w:tcW w:w="251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隔声、减振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253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风机</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85</w:t>
            </w:r>
          </w:p>
        </w:tc>
        <w:tc>
          <w:tcPr>
            <w:tcW w:w="173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间歇</w:t>
            </w:r>
          </w:p>
        </w:tc>
        <w:tc>
          <w:tcPr>
            <w:tcW w:w="251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隔声、减振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jc w:val="center"/>
        </w:trPr>
        <w:tc>
          <w:tcPr>
            <w:tcW w:w="253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分散机</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75</w:t>
            </w:r>
          </w:p>
        </w:tc>
        <w:tc>
          <w:tcPr>
            <w:tcW w:w="173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间歇</w:t>
            </w:r>
          </w:p>
        </w:tc>
        <w:tc>
          <w:tcPr>
            <w:tcW w:w="251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隔声、减振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jc w:val="center"/>
        </w:trPr>
        <w:tc>
          <w:tcPr>
            <w:tcW w:w="253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物料泵</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80</w:t>
            </w:r>
          </w:p>
        </w:tc>
        <w:tc>
          <w:tcPr>
            <w:tcW w:w="173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间歇</w:t>
            </w:r>
          </w:p>
        </w:tc>
        <w:tc>
          <w:tcPr>
            <w:tcW w:w="251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隔声、减振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253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风机</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85</w:t>
            </w:r>
          </w:p>
        </w:tc>
        <w:tc>
          <w:tcPr>
            <w:tcW w:w="173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间歇</w:t>
            </w:r>
          </w:p>
        </w:tc>
        <w:tc>
          <w:tcPr>
            <w:tcW w:w="251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隔声、减振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253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物料泵</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80</w:t>
            </w:r>
          </w:p>
        </w:tc>
        <w:tc>
          <w:tcPr>
            <w:tcW w:w="173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间歇</w:t>
            </w:r>
          </w:p>
        </w:tc>
        <w:tc>
          <w:tcPr>
            <w:tcW w:w="251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隔声、减振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2530"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风机</w:t>
            </w:r>
          </w:p>
        </w:tc>
        <w:tc>
          <w:tcPr>
            <w:tcW w:w="15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85</w:t>
            </w:r>
          </w:p>
        </w:tc>
        <w:tc>
          <w:tcPr>
            <w:tcW w:w="1738"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间歇</w:t>
            </w:r>
          </w:p>
        </w:tc>
        <w:tc>
          <w:tcPr>
            <w:tcW w:w="2513" w:type="dxa"/>
            <w:tcBorders>
              <w:tl2br w:val="nil"/>
              <w:tr2bl w:val="nil"/>
            </w:tcBorders>
            <w:vAlign w:val="center"/>
          </w:tcPr>
          <w:p>
            <w:pPr>
              <w:pStyle w:val="43"/>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隔声、减振</w:t>
            </w:r>
          </w:p>
        </w:tc>
      </w:tr>
    </w:tbl>
    <w:p>
      <w:pPr>
        <w:pageBreakBefore w:val="0"/>
        <w:kinsoku/>
        <w:wordWrap/>
        <w:overflowPunct/>
        <w:topLinePunct w:val="0"/>
        <w:bidi w:val="0"/>
        <w:spacing w:line="360" w:lineRule="auto"/>
        <w:ind w:left="0" w:leftChars="0" w:right="0" w:firstLine="0" w:firstLineChars="0"/>
        <w:jc w:val="both"/>
        <w:outlineLvl w:val="2"/>
        <w:rPr>
          <w:rFonts w:hint="eastAsia" w:ascii="宋体" w:hAnsi="宋体" w:eastAsia="宋体" w:cs="宋体"/>
          <w:b/>
          <w:bCs/>
          <w:color w:val="auto"/>
          <w:spacing w:val="0"/>
          <w:kern w:val="2"/>
          <w:sz w:val="28"/>
          <w:szCs w:val="28"/>
          <w:highlight w:val="none"/>
          <w:u w:val="none"/>
          <w:lang w:val="en-US" w:eastAsia="zh-CN" w:bidi="ar-SA"/>
        </w:rPr>
      </w:pPr>
      <w:r>
        <w:rPr>
          <w:rFonts w:hint="eastAsia" w:ascii="宋体" w:hAnsi="宋体" w:eastAsia="宋体" w:cs="宋体"/>
          <w:b/>
          <w:bCs/>
          <w:color w:val="auto"/>
          <w:spacing w:val="0"/>
          <w:kern w:val="2"/>
          <w:sz w:val="28"/>
          <w:szCs w:val="28"/>
          <w:highlight w:val="none"/>
          <w:u w:val="none"/>
          <w:lang w:val="en-US" w:eastAsia="zh-CN" w:bidi="ar-SA"/>
        </w:rPr>
        <w:t>4.3.4固体废物</w:t>
      </w:r>
    </w:p>
    <w:p>
      <w:pPr>
        <w:pageBreakBefore w:val="0"/>
        <w:kinsoku/>
        <w:wordWrap/>
        <w:overflowPunct/>
        <w:topLinePunct w:val="0"/>
        <w:bidi w:val="0"/>
        <w:spacing w:line="360" w:lineRule="auto"/>
        <w:ind w:left="0" w:leftChars="0" w:right="0"/>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rPr>
        <w:t>本项目固废产生及处置情况见下表。</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eastAsia" w:ascii="宋体" w:hAnsi="宋体" w:eastAsia="宋体" w:cs="宋体"/>
          <w:b/>
          <w:bCs/>
          <w:color w:val="auto"/>
          <w:spacing w:val="0"/>
          <w:sz w:val="28"/>
          <w:szCs w:val="28"/>
          <w:highlight w:val="none"/>
          <w:lang w:val="en-US" w:eastAsia="zh-CN"/>
        </w:rPr>
      </w:pPr>
      <w:r>
        <w:rPr>
          <w:rFonts w:hint="eastAsia" w:ascii="宋体" w:hAnsi="宋体" w:eastAsia="宋体" w:cs="宋体"/>
          <w:b/>
          <w:bCs/>
          <w:color w:val="auto"/>
          <w:spacing w:val="0"/>
          <w:sz w:val="28"/>
          <w:szCs w:val="28"/>
          <w:highlight w:val="none"/>
          <w:lang w:val="en-US" w:eastAsia="zh-CN"/>
        </w:rPr>
        <w:t>表7本项目固废产生及处置情况一览表</w:t>
      </w:r>
    </w:p>
    <w:tbl>
      <w:tblPr>
        <w:tblStyle w:val="19"/>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9"/>
        <w:gridCol w:w="2494"/>
        <w:gridCol w:w="3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9" w:type="dxa"/>
            <w:vAlign w:val="center"/>
          </w:tcPr>
          <w:p>
            <w:pPr>
              <w:pStyle w:val="26"/>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bCs/>
                <w:color w:val="auto"/>
                <w:spacing w:val="0"/>
                <w:sz w:val="24"/>
                <w:szCs w:val="28"/>
                <w:highlight w:val="none"/>
                <w:u w:val="none"/>
                <w:lang w:bidi="ar"/>
              </w:rPr>
            </w:pPr>
            <w:r>
              <w:rPr>
                <w:rFonts w:hint="eastAsia" w:ascii="宋体" w:hAnsi="宋体" w:eastAsia="宋体" w:cs="宋体"/>
                <w:b/>
                <w:bCs/>
                <w:color w:val="auto"/>
                <w:spacing w:val="0"/>
                <w:sz w:val="24"/>
                <w:szCs w:val="28"/>
                <w:highlight w:val="none"/>
                <w:u w:val="none"/>
                <w:lang w:bidi="ar"/>
              </w:rPr>
              <w:t>固体废物种类</w:t>
            </w:r>
          </w:p>
        </w:tc>
        <w:tc>
          <w:tcPr>
            <w:tcW w:w="2494" w:type="dxa"/>
            <w:vAlign w:val="center"/>
          </w:tcPr>
          <w:p>
            <w:pPr>
              <w:pStyle w:val="26"/>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bCs/>
                <w:color w:val="auto"/>
                <w:spacing w:val="0"/>
                <w:sz w:val="24"/>
                <w:szCs w:val="28"/>
                <w:highlight w:val="none"/>
                <w:u w:val="none"/>
                <w:lang w:bidi="ar"/>
              </w:rPr>
            </w:pPr>
            <w:r>
              <w:rPr>
                <w:rFonts w:hint="eastAsia" w:ascii="宋体" w:hAnsi="宋体" w:eastAsia="宋体" w:cs="宋体"/>
                <w:b/>
                <w:bCs/>
                <w:color w:val="auto"/>
                <w:spacing w:val="0"/>
                <w:sz w:val="24"/>
                <w:szCs w:val="28"/>
                <w:highlight w:val="none"/>
                <w:u w:val="none"/>
                <w:lang w:bidi="ar"/>
              </w:rPr>
              <w:t>固体废物性质</w:t>
            </w:r>
          </w:p>
        </w:tc>
        <w:tc>
          <w:tcPr>
            <w:tcW w:w="3186" w:type="dxa"/>
            <w:vAlign w:val="center"/>
          </w:tcPr>
          <w:p>
            <w:pPr>
              <w:pStyle w:val="26"/>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bCs/>
                <w:color w:val="auto"/>
                <w:spacing w:val="0"/>
                <w:sz w:val="24"/>
                <w:szCs w:val="28"/>
                <w:highlight w:val="none"/>
                <w:u w:val="none"/>
                <w:lang w:bidi="ar"/>
              </w:rPr>
            </w:pPr>
            <w:r>
              <w:rPr>
                <w:rFonts w:hint="eastAsia" w:ascii="宋体" w:hAnsi="宋体" w:eastAsia="宋体" w:cs="宋体"/>
                <w:b/>
                <w:bCs/>
                <w:color w:val="auto"/>
                <w:spacing w:val="0"/>
                <w:sz w:val="24"/>
                <w:szCs w:val="28"/>
                <w:highlight w:val="none"/>
                <w:u w:val="none"/>
                <w:lang w:bidi="ar"/>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kern w:val="0"/>
                <w:sz w:val="24"/>
                <w:szCs w:val="28"/>
                <w:highlight w:val="none"/>
                <w:u w:val="none"/>
                <w:lang w:val="zh-CN" w:eastAsia="zh-CN" w:bidi="ar"/>
              </w:rPr>
            </w:pPr>
            <w:r>
              <w:rPr>
                <w:rFonts w:hint="eastAsia" w:ascii="宋体" w:hAnsi="宋体" w:eastAsia="宋体" w:cs="宋体"/>
                <w:color w:val="auto"/>
                <w:spacing w:val="0"/>
                <w:kern w:val="0"/>
                <w:sz w:val="24"/>
                <w:szCs w:val="28"/>
                <w:highlight w:val="none"/>
                <w:u w:val="none"/>
                <w:lang w:val="en-US" w:eastAsia="zh-CN" w:bidi="ar"/>
              </w:rPr>
              <w:t>蒸发残液</w:t>
            </w:r>
          </w:p>
        </w:tc>
        <w:tc>
          <w:tcPr>
            <w:tcW w:w="24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kern w:val="0"/>
                <w:sz w:val="24"/>
                <w:szCs w:val="28"/>
                <w:highlight w:val="none"/>
                <w:u w:val="none"/>
                <w:lang w:val="en-US" w:eastAsia="zh-CN" w:bidi="ar"/>
              </w:rPr>
            </w:pPr>
            <w:r>
              <w:rPr>
                <w:rFonts w:hint="eastAsia" w:ascii="宋体" w:hAnsi="宋体" w:eastAsia="宋体" w:cs="宋体"/>
                <w:color w:val="auto"/>
                <w:spacing w:val="0"/>
                <w:kern w:val="0"/>
                <w:sz w:val="24"/>
                <w:szCs w:val="28"/>
                <w:highlight w:val="none"/>
                <w:u w:val="none"/>
                <w:lang w:val="en-US" w:eastAsia="zh-CN" w:bidi="ar"/>
              </w:rPr>
              <w:t>危险废物</w:t>
            </w:r>
          </w:p>
        </w:tc>
        <w:tc>
          <w:tcPr>
            <w:tcW w:w="31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kern w:val="0"/>
                <w:sz w:val="24"/>
                <w:szCs w:val="28"/>
                <w:highlight w:val="none"/>
                <w:u w:val="none"/>
                <w:lang w:val="zh-CN" w:eastAsia="zh-CN" w:bidi="ar"/>
              </w:rPr>
            </w:pPr>
            <w:r>
              <w:rPr>
                <w:rFonts w:hint="eastAsia" w:ascii="宋体" w:hAnsi="宋体" w:eastAsia="宋体" w:cs="宋体"/>
                <w:color w:val="auto"/>
                <w:spacing w:val="0"/>
                <w:kern w:val="0"/>
                <w:sz w:val="24"/>
                <w:szCs w:val="28"/>
                <w:highlight w:val="none"/>
                <w:u w:val="none"/>
                <w:lang w:val="en-US" w:eastAsia="zh-CN" w:bidi="ar"/>
              </w:rPr>
              <w:t>送具备危废处理资质厂家处置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kern w:val="0"/>
                <w:sz w:val="24"/>
                <w:szCs w:val="28"/>
                <w:highlight w:val="none"/>
                <w:u w:val="none"/>
                <w:lang w:val="zh-CN" w:eastAsia="zh-CN" w:bidi="ar"/>
              </w:rPr>
            </w:pPr>
            <w:r>
              <w:rPr>
                <w:rFonts w:hint="eastAsia" w:ascii="宋体" w:hAnsi="宋体" w:eastAsia="宋体" w:cs="宋体"/>
                <w:color w:val="auto"/>
                <w:spacing w:val="0"/>
                <w:kern w:val="0"/>
                <w:sz w:val="24"/>
                <w:szCs w:val="28"/>
                <w:highlight w:val="none"/>
                <w:u w:val="none"/>
                <w:lang w:val="en-US" w:eastAsia="zh-CN" w:bidi="ar"/>
              </w:rPr>
              <w:t>前馏液</w:t>
            </w:r>
          </w:p>
        </w:tc>
        <w:tc>
          <w:tcPr>
            <w:tcW w:w="24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kern w:val="0"/>
                <w:sz w:val="24"/>
                <w:szCs w:val="28"/>
                <w:highlight w:val="none"/>
                <w:u w:val="none"/>
                <w:lang w:val="en-US" w:eastAsia="zh-CN" w:bidi="ar"/>
              </w:rPr>
            </w:pPr>
            <w:r>
              <w:rPr>
                <w:rFonts w:hint="eastAsia" w:ascii="宋体" w:hAnsi="宋体" w:eastAsia="宋体" w:cs="宋体"/>
                <w:color w:val="auto"/>
                <w:spacing w:val="0"/>
                <w:kern w:val="0"/>
                <w:sz w:val="24"/>
                <w:szCs w:val="28"/>
                <w:highlight w:val="none"/>
                <w:u w:val="none"/>
                <w:lang w:val="en-US" w:eastAsia="zh-CN" w:bidi="ar"/>
              </w:rPr>
              <w:t>危险废物</w:t>
            </w:r>
          </w:p>
        </w:tc>
        <w:tc>
          <w:tcPr>
            <w:tcW w:w="318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color w:val="auto"/>
                <w:spacing w:val="0"/>
                <w:kern w:val="0"/>
                <w:sz w:val="24"/>
                <w:szCs w:val="28"/>
                <w:highlight w:val="none"/>
                <w:u w:val="none"/>
                <w:lang w:val="zh-CN" w:eastAsia="zh-CN" w:bidi="ar"/>
              </w:rPr>
            </w:pPr>
            <w:r>
              <w:rPr>
                <w:rFonts w:hint="eastAsia" w:ascii="宋体" w:hAnsi="宋体" w:eastAsia="宋体" w:cs="宋体"/>
                <w:color w:val="auto"/>
                <w:spacing w:val="0"/>
                <w:kern w:val="0"/>
                <w:sz w:val="24"/>
                <w:szCs w:val="28"/>
                <w:highlight w:val="none"/>
                <w:u w:val="none"/>
                <w:lang w:val="en-US" w:eastAsia="zh-CN" w:bidi="ar"/>
              </w:rPr>
              <w:t>交由有资质的单位处置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kern w:val="0"/>
                <w:sz w:val="24"/>
                <w:szCs w:val="28"/>
                <w:highlight w:val="none"/>
                <w:u w:val="none"/>
                <w:lang w:val="zh-CN" w:eastAsia="zh-CN" w:bidi="ar"/>
              </w:rPr>
            </w:pPr>
            <w:r>
              <w:rPr>
                <w:rFonts w:hint="eastAsia" w:ascii="宋体" w:hAnsi="宋体" w:eastAsia="宋体" w:cs="宋体"/>
                <w:color w:val="auto"/>
                <w:spacing w:val="0"/>
                <w:kern w:val="0"/>
                <w:sz w:val="24"/>
                <w:szCs w:val="28"/>
                <w:highlight w:val="none"/>
                <w:u w:val="none"/>
                <w:lang w:val="en-US" w:eastAsia="zh-CN" w:bidi="ar"/>
              </w:rPr>
              <w:t>蒸馏残渣</w:t>
            </w:r>
          </w:p>
        </w:tc>
        <w:tc>
          <w:tcPr>
            <w:tcW w:w="249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color w:val="auto"/>
                <w:spacing w:val="0"/>
                <w:kern w:val="0"/>
                <w:sz w:val="24"/>
                <w:szCs w:val="28"/>
                <w:highlight w:val="none"/>
                <w:u w:val="none"/>
                <w:lang w:val="en-US" w:eastAsia="zh-CN" w:bidi="ar"/>
              </w:rPr>
            </w:pPr>
            <w:r>
              <w:rPr>
                <w:rFonts w:hint="eastAsia" w:ascii="宋体" w:hAnsi="宋体" w:eastAsia="宋体" w:cs="宋体"/>
                <w:color w:val="auto"/>
                <w:spacing w:val="0"/>
                <w:kern w:val="0"/>
                <w:sz w:val="24"/>
                <w:szCs w:val="28"/>
                <w:highlight w:val="none"/>
                <w:u w:val="none"/>
                <w:lang w:val="en-US" w:eastAsia="zh-CN" w:bidi="ar"/>
              </w:rPr>
              <w:t>危险废物</w:t>
            </w:r>
          </w:p>
        </w:tc>
        <w:tc>
          <w:tcPr>
            <w:tcW w:w="318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color w:val="auto"/>
                <w:spacing w:val="0"/>
                <w:kern w:val="0"/>
                <w:sz w:val="24"/>
                <w:szCs w:val="28"/>
                <w:highlight w:val="none"/>
                <w:u w:val="none"/>
                <w:lang w:val="zh-CN" w:eastAsia="zh-CN" w:bidi="ar"/>
              </w:rPr>
            </w:pPr>
            <w:r>
              <w:rPr>
                <w:rFonts w:hint="eastAsia" w:ascii="宋体" w:hAnsi="宋体" w:eastAsia="宋体" w:cs="宋体"/>
                <w:color w:val="auto"/>
                <w:spacing w:val="0"/>
                <w:kern w:val="0"/>
                <w:sz w:val="24"/>
                <w:szCs w:val="28"/>
                <w:highlight w:val="none"/>
                <w:u w:val="none"/>
                <w:lang w:val="en-US" w:eastAsia="zh-CN" w:bidi="ar"/>
              </w:rPr>
              <w:t>交由有资质的单位处置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kern w:val="0"/>
                <w:sz w:val="24"/>
                <w:szCs w:val="28"/>
                <w:highlight w:val="none"/>
                <w:u w:val="none"/>
                <w:lang w:val="zh-CN" w:eastAsia="zh-CN" w:bidi="ar"/>
              </w:rPr>
            </w:pPr>
            <w:r>
              <w:rPr>
                <w:rFonts w:hint="eastAsia" w:ascii="宋体" w:hAnsi="宋体" w:eastAsia="宋体" w:cs="宋体"/>
                <w:color w:val="auto"/>
                <w:spacing w:val="0"/>
                <w:kern w:val="0"/>
                <w:sz w:val="24"/>
                <w:szCs w:val="28"/>
                <w:highlight w:val="none"/>
                <w:u w:val="none"/>
                <w:lang w:val="en-US" w:eastAsia="zh-CN" w:bidi="ar"/>
              </w:rPr>
              <w:t>沉降残渣</w:t>
            </w:r>
          </w:p>
        </w:tc>
        <w:tc>
          <w:tcPr>
            <w:tcW w:w="249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color w:val="auto"/>
                <w:spacing w:val="0"/>
                <w:kern w:val="0"/>
                <w:sz w:val="24"/>
                <w:szCs w:val="28"/>
                <w:highlight w:val="none"/>
                <w:u w:val="none"/>
                <w:lang w:val="en-US" w:eastAsia="zh-CN" w:bidi="ar"/>
              </w:rPr>
            </w:pPr>
            <w:r>
              <w:rPr>
                <w:rFonts w:hint="eastAsia" w:ascii="宋体" w:hAnsi="宋体" w:eastAsia="宋体" w:cs="宋体"/>
                <w:color w:val="auto"/>
                <w:spacing w:val="0"/>
                <w:kern w:val="0"/>
                <w:sz w:val="24"/>
                <w:szCs w:val="28"/>
                <w:highlight w:val="none"/>
                <w:u w:val="none"/>
                <w:lang w:val="en-US" w:eastAsia="zh-CN" w:bidi="ar"/>
              </w:rPr>
              <w:t>危险废物</w:t>
            </w:r>
          </w:p>
        </w:tc>
        <w:tc>
          <w:tcPr>
            <w:tcW w:w="318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color w:val="auto"/>
                <w:spacing w:val="0"/>
                <w:kern w:val="0"/>
                <w:sz w:val="24"/>
                <w:szCs w:val="28"/>
                <w:highlight w:val="none"/>
                <w:u w:val="none"/>
                <w:lang w:val="zh-CN" w:eastAsia="zh-CN" w:bidi="ar"/>
              </w:rPr>
            </w:pPr>
            <w:r>
              <w:rPr>
                <w:rFonts w:hint="eastAsia" w:ascii="宋体" w:hAnsi="宋体" w:eastAsia="宋体" w:cs="宋体"/>
                <w:color w:val="auto"/>
                <w:spacing w:val="0"/>
                <w:kern w:val="0"/>
                <w:sz w:val="24"/>
                <w:szCs w:val="28"/>
                <w:highlight w:val="none"/>
                <w:u w:val="none"/>
                <w:lang w:val="en-US" w:eastAsia="zh-CN" w:bidi="ar"/>
              </w:rPr>
              <w:t>交由有资质的单位处置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kern w:val="0"/>
                <w:sz w:val="24"/>
                <w:szCs w:val="28"/>
                <w:highlight w:val="none"/>
                <w:u w:val="none"/>
                <w:lang w:val="zh-CN" w:eastAsia="zh-CN" w:bidi="ar"/>
              </w:rPr>
            </w:pPr>
            <w:r>
              <w:rPr>
                <w:rFonts w:hint="eastAsia" w:ascii="宋体" w:hAnsi="宋体" w:eastAsia="宋体" w:cs="宋体"/>
                <w:color w:val="auto"/>
                <w:spacing w:val="0"/>
                <w:kern w:val="0"/>
                <w:sz w:val="24"/>
                <w:szCs w:val="28"/>
                <w:highlight w:val="none"/>
                <w:u w:val="none"/>
                <w:lang w:val="en-US" w:eastAsia="zh-CN" w:bidi="ar"/>
              </w:rPr>
              <w:t>污水处理站污泥</w:t>
            </w:r>
          </w:p>
        </w:tc>
        <w:tc>
          <w:tcPr>
            <w:tcW w:w="249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color w:val="auto"/>
                <w:spacing w:val="0"/>
                <w:kern w:val="0"/>
                <w:sz w:val="24"/>
                <w:szCs w:val="28"/>
                <w:highlight w:val="none"/>
                <w:u w:val="none"/>
                <w:lang w:val="en-US" w:eastAsia="zh-CN" w:bidi="ar"/>
              </w:rPr>
            </w:pPr>
            <w:r>
              <w:rPr>
                <w:rFonts w:hint="eastAsia" w:ascii="宋体" w:hAnsi="宋体" w:eastAsia="宋体" w:cs="宋体"/>
                <w:color w:val="auto"/>
                <w:spacing w:val="0"/>
                <w:kern w:val="0"/>
                <w:sz w:val="24"/>
                <w:szCs w:val="28"/>
                <w:highlight w:val="none"/>
                <w:u w:val="none"/>
                <w:lang w:val="en-US" w:eastAsia="zh-CN" w:bidi="ar"/>
              </w:rPr>
              <w:t>危险废物</w:t>
            </w:r>
          </w:p>
        </w:tc>
        <w:tc>
          <w:tcPr>
            <w:tcW w:w="318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color w:val="auto"/>
                <w:spacing w:val="0"/>
                <w:kern w:val="0"/>
                <w:sz w:val="24"/>
                <w:szCs w:val="28"/>
                <w:highlight w:val="none"/>
                <w:u w:val="none"/>
                <w:lang w:val="zh-CN" w:eastAsia="zh-CN" w:bidi="ar"/>
              </w:rPr>
            </w:pPr>
            <w:r>
              <w:rPr>
                <w:rFonts w:hint="eastAsia" w:ascii="宋体" w:hAnsi="宋体" w:eastAsia="宋体" w:cs="宋体"/>
                <w:color w:val="auto"/>
                <w:spacing w:val="0"/>
                <w:kern w:val="0"/>
                <w:sz w:val="24"/>
                <w:szCs w:val="28"/>
                <w:highlight w:val="none"/>
                <w:u w:val="none"/>
                <w:lang w:val="en-US" w:eastAsia="zh-CN" w:bidi="ar"/>
              </w:rPr>
              <w:t>交由有资质的单位处置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83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kern w:val="0"/>
                <w:sz w:val="24"/>
                <w:szCs w:val="28"/>
                <w:highlight w:val="none"/>
                <w:u w:val="none"/>
                <w:lang w:val="zh-CN" w:eastAsia="zh-CN" w:bidi="ar"/>
              </w:rPr>
            </w:pPr>
            <w:r>
              <w:rPr>
                <w:rFonts w:hint="eastAsia" w:ascii="宋体" w:hAnsi="宋体" w:eastAsia="宋体" w:cs="宋体"/>
                <w:color w:val="auto"/>
                <w:spacing w:val="0"/>
                <w:kern w:val="0"/>
                <w:sz w:val="24"/>
                <w:szCs w:val="28"/>
                <w:highlight w:val="none"/>
                <w:u w:val="none"/>
                <w:lang w:val="en-US" w:eastAsia="zh-CN" w:bidi="ar"/>
              </w:rPr>
              <w:t>废活性炭</w:t>
            </w:r>
          </w:p>
        </w:tc>
        <w:tc>
          <w:tcPr>
            <w:tcW w:w="24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kern w:val="0"/>
                <w:sz w:val="24"/>
                <w:szCs w:val="28"/>
                <w:highlight w:val="none"/>
                <w:u w:val="none"/>
                <w:lang w:val="en-US" w:eastAsia="zh-CN" w:bidi="ar"/>
              </w:rPr>
            </w:pPr>
            <w:r>
              <w:rPr>
                <w:rFonts w:hint="eastAsia" w:ascii="宋体" w:hAnsi="宋体" w:eastAsia="宋体" w:cs="宋体"/>
                <w:color w:val="auto"/>
                <w:spacing w:val="0"/>
                <w:kern w:val="0"/>
                <w:sz w:val="24"/>
                <w:szCs w:val="28"/>
                <w:highlight w:val="none"/>
                <w:u w:val="none"/>
                <w:lang w:val="en-US" w:eastAsia="zh-CN" w:bidi="ar"/>
              </w:rPr>
              <w:t>危险废物</w:t>
            </w:r>
          </w:p>
        </w:tc>
        <w:tc>
          <w:tcPr>
            <w:tcW w:w="318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color w:val="auto"/>
                <w:spacing w:val="0"/>
                <w:kern w:val="0"/>
                <w:sz w:val="24"/>
                <w:szCs w:val="28"/>
                <w:highlight w:val="none"/>
                <w:u w:val="none"/>
                <w:lang w:val="zh-CN" w:eastAsia="zh-CN" w:bidi="ar"/>
              </w:rPr>
            </w:pPr>
            <w:r>
              <w:rPr>
                <w:rFonts w:hint="eastAsia" w:ascii="宋体" w:hAnsi="宋体" w:eastAsia="宋体" w:cs="宋体"/>
                <w:color w:val="auto"/>
                <w:spacing w:val="0"/>
                <w:kern w:val="0"/>
                <w:sz w:val="24"/>
                <w:szCs w:val="28"/>
                <w:highlight w:val="none"/>
                <w:u w:val="none"/>
                <w:lang w:val="en-US" w:eastAsia="zh-CN" w:bidi="ar"/>
              </w:rPr>
              <w:t>交由有资质的单位处置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kern w:val="0"/>
                <w:sz w:val="24"/>
                <w:szCs w:val="28"/>
                <w:highlight w:val="none"/>
                <w:u w:val="none"/>
                <w:lang w:val="zh-CN" w:eastAsia="zh-CN" w:bidi="ar"/>
              </w:rPr>
            </w:pPr>
            <w:r>
              <w:rPr>
                <w:rFonts w:hint="eastAsia" w:ascii="宋体" w:hAnsi="宋体" w:eastAsia="宋体" w:cs="宋体"/>
                <w:color w:val="auto"/>
                <w:spacing w:val="0"/>
                <w:kern w:val="0"/>
                <w:sz w:val="24"/>
                <w:szCs w:val="28"/>
                <w:highlight w:val="none"/>
                <w:u w:val="none"/>
                <w:lang w:val="en-US" w:eastAsia="zh-CN" w:bidi="ar"/>
              </w:rPr>
              <w:t>废包装材料</w:t>
            </w:r>
          </w:p>
        </w:tc>
        <w:tc>
          <w:tcPr>
            <w:tcW w:w="249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color w:val="auto"/>
                <w:spacing w:val="0"/>
                <w:kern w:val="0"/>
                <w:sz w:val="24"/>
                <w:szCs w:val="28"/>
                <w:highlight w:val="none"/>
                <w:u w:val="none"/>
                <w:lang w:val="en-US" w:eastAsia="zh-CN" w:bidi="ar"/>
              </w:rPr>
            </w:pPr>
            <w:r>
              <w:rPr>
                <w:rFonts w:hint="eastAsia" w:ascii="宋体" w:hAnsi="宋体" w:eastAsia="宋体" w:cs="宋体"/>
                <w:color w:val="auto"/>
                <w:spacing w:val="0"/>
                <w:kern w:val="0"/>
                <w:sz w:val="24"/>
                <w:szCs w:val="28"/>
                <w:highlight w:val="none"/>
                <w:u w:val="none"/>
                <w:lang w:val="en-US" w:eastAsia="zh-CN" w:bidi="ar"/>
              </w:rPr>
              <w:t>危险废物</w:t>
            </w:r>
          </w:p>
        </w:tc>
        <w:tc>
          <w:tcPr>
            <w:tcW w:w="31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kern w:val="0"/>
                <w:sz w:val="24"/>
                <w:szCs w:val="28"/>
                <w:highlight w:val="none"/>
                <w:u w:val="none"/>
                <w:lang w:val="zh-CN" w:eastAsia="zh-CN" w:bidi="ar"/>
              </w:rPr>
            </w:pPr>
            <w:r>
              <w:rPr>
                <w:rFonts w:hint="eastAsia" w:ascii="宋体" w:hAnsi="宋体" w:eastAsia="宋体" w:cs="宋体"/>
                <w:color w:val="auto"/>
                <w:spacing w:val="0"/>
                <w:kern w:val="0"/>
                <w:sz w:val="24"/>
                <w:szCs w:val="28"/>
                <w:highlight w:val="none"/>
                <w:u w:val="none"/>
                <w:lang w:val="en-US" w:eastAsia="zh-CN" w:bidi="ar"/>
              </w:rPr>
              <w:t>由生产厂家回收再生利用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kern w:val="0"/>
                <w:sz w:val="24"/>
                <w:szCs w:val="28"/>
                <w:highlight w:val="none"/>
                <w:u w:val="none"/>
                <w:lang w:val="en-US" w:eastAsia="zh-CN" w:bidi="ar"/>
              </w:rPr>
            </w:pPr>
            <w:r>
              <w:rPr>
                <w:rFonts w:hint="eastAsia" w:ascii="宋体" w:hAnsi="宋体" w:eastAsia="宋体" w:cs="宋体"/>
                <w:color w:val="auto"/>
                <w:spacing w:val="0"/>
                <w:kern w:val="0"/>
                <w:sz w:val="24"/>
                <w:szCs w:val="28"/>
                <w:highlight w:val="none"/>
                <w:u w:val="none"/>
                <w:lang w:val="en-US" w:eastAsia="zh-CN" w:bidi="ar"/>
              </w:rPr>
              <w:t>UV光氧灯管</w:t>
            </w:r>
          </w:p>
        </w:tc>
        <w:tc>
          <w:tcPr>
            <w:tcW w:w="249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color w:val="auto"/>
                <w:spacing w:val="0"/>
                <w:kern w:val="0"/>
                <w:sz w:val="24"/>
                <w:szCs w:val="28"/>
                <w:highlight w:val="none"/>
                <w:u w:val="none"/>
                <w:lang w:val="en-US" w:eastAsia="zh-CN" w:bidi="ar"/>
              </w:rPr>
            </w:pPr>
            <w:r>
              <w:rPr>
                <w:rFonts w:hint="eastAsia" w:ascii="宋体" w:hAnsi="宋体" w:eastAsia="宋体" w:cs="宋体"/>
                <w:color w:val="auto"/>
                <w:spacing w:val="0"/>
                <w:kern w:val="0"/>
                <w:sz w:val="24"/>
                <w:szCs w:val="28"/>
                <w:highlight w:val="none"/>
                <w:u w:val="none"/>
                <w:lang w:val="en-US" w:eastAsia="zh-CN" w:bidi="ar"/>
              </w:rPr>
              <w:t>危险废物</w:t>
            </w:r>
          </w:p>
        </w:tc>
        <w:tc>
          <w:tcPr>
            <w:tcW w:w="31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kern w:val="0"/>
                <w:sz w:val="24"/>
                <w:szCs w:val="28"/>
                <w:highlight w:val="none"/>
                <w:u w:val="none"/>
                <w:lang w:val="en-US" w:eastAsia="zh-CN" w:bidi="ar"/>
              </w:rPr>
            </w:pPr>
            <w:r>
              <w:rPr>
                <w:rFonts w:hint="eastAsia" w:ascii="宋体" w:hAnsi="宋体" w:eastAsia="宋体" w:cs="宋体"/>
                <w:color w:val="auto"/>
                <w:spacing w:val="0"/>
                <w:kern w:val="0"/>
                <w:sz w:val="24"/>
                <w:szCs w:val="28"/>
                <w:highlight w:val="none"/>
                <w:u w:val="none"/>
                <w:lang w:val="en-US" w:eastAsia="zh-CN" w:bidi="ar"/>
              </w:rPr>
              <w:t>交由有资质的单位处置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kern w:val="0"/>
                <w:sz w:val="24"/>
                <w:szCs w:val="28"/>
                <w:highlight w:val="none"/>
                <w:u w:val="none"/>
                <w:lang w:val="en-US" w:eastAsia="zh-CN" w:bidi="ar"/>
              </w:rPr>
            </w:pPr>
            <w:r>
              <w:rPr>
                <w:rFonts w:hint="eastAsia" w:ascii="宋体" w:hAnsi="宋体" w:eastAsia="宋体" w:cs="宋体"/>
                <w:color w:val="auto"/>
                <w:spacing w:val="0"/>
                <w:kern w:val="0"/>
                <w:sz w:val="24"/>
                <w:szCs w:val="28"/>
                <w:highlight w:val="none"/>
                <w:u w:val="none"/>
                <w:lang w:val="en-US" w:eastAsia="zh-CN" w:bidi="ar"/>
              </w:rPr>
              <w:t>生活垃圾</w:t>
            </w:r>
          </w:p>
        </w:tc>
        <w:tc>
          <w:tcPr>
            <w:tcW w:w="249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kern w:val="0"/>
                <w:sz w:val="24"/>
                <w:szCs w:val="28"/>
                <w:highlight w:val="none"/>
                <w:u w:val="none"/>
                <w:lang w:val="en-US" w:eastAsia="zh-CN" w:bidi="ar"/>
              </w:rPr>
            </w:pPr>
            <w:r>
              <w:rPr>
                <w:rFonts w:hint="eastAsia" w:ascii="宋体" w:hAnsi="宋体" w:eastAsia="宋体" w:cs="宋体"/>
                <w:color w:val="auto"/>
                <w:spacing w:val="0"/>
                <w:kern w:val="0"/>
                <w:sz w:val="24"/>
                <w:szCs w:val="28"/>
                <w:highlight w:val="none"/>
                <w:u w:val="none"/>
                <w:lang w:val="en-US" w:eastAsia="zh-CN" w:bidi="ar"/>
              </w:rPr>
              <w:t>一般固废</w:t>
            </w:r>
          </w:p>
        </w:tc>
        <w:tc>
          <w:tcPr>
            <w:tcW w:w="318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spacing w:val="0"/>
                <w:kern w:val="0"/>
                <w:sz w:val="24"/>
                <w:szCs w:val="28"/>
                <w:highlight w:val="none"/>
                <w:u w:val="none"/>
                <w:lang w:val="en-US" w:eastAsia="zh-CN" w:bidi="ar"/>
              </w:rPr>
            </w:pPr>
            <w:r>
              <w:rPr>
                <w:rFonts w:hint="eastAsia" w:ascii="宋体" w:hAnsi="宋体" w:eastAsia="宋体" w:cs="宋体"/>
                <w:color w:val="auto"/>
                <w:spacing w:val="0"/>
                <w:kern w:val="0"/>
                <w:sz w:val="24"/>
                <w:szCs w:val="28"/>
                <w:highlight w:val="none"/>
                <w:u w:val="none"/>
                <w:lang w:val="en-US" w:eastAsia="zh-CN" w:bidi="ar"/>
              </w:rPr>
              <w:t>统一收集后交环卫部门处理</w:t>
            </w:r>
          </w:p>
        </w:tc>
      </w:tr>
    </w:tbl>
    <w:p>
      <w:pPr>
        <w:pageBreakBefore w:val="0"/>
        <w:kinsoku/>
        <w:wordWrap/>
        <w:overflowPunct/>
        <w:topLinePunct w:val="0"/>
        <w:bidi w:val="0"/>
        <w:spacing w:line="360" w:lineRule="auto"/>
        <w:ind w:left="0" w:leftChars="0" w:right="0" w:firstLine="475"/>
        <w:jc w:val="both"/>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rPr>
        <w:t>企业已与河南</w:t>
      </w:r>
      <w:r>
        <w:rPr>
          <w:rFonts w:hint="eastAsia" w:ascii="宋体" w:hAnsi="宋体" w:eastAsia="宋体" w:cs="宋体"/>
          <w:color w:val="auto"/>
          <w:spacing w:val="0"/>
          <w:sz w:val="28"/>
          <w:szCs w:val="28"/>
          <w:highlight w:val="none"/>
          <w:lang w:val="en-US" w:eastAsia="zh-CN"/>
        </w:rPr>
        <w:t>能信环保</w:t>
      </w:r>
      <w:r>
        <w:rPr>
          <w:rFonts w:hint="eastAsia" w:ascii="宋体" w:hAnsi="宋体" w:eastAsia="宋体" w:cs="宋体"/>
          <w:color w:val="auto"/>
          <w:spacing w:val="0"/>
          <w:sz w:val="28"/>
          <w:szCs w:val="28"/>
          <w:highlight w:val="none"/>
        </w:rPr>
        <w:t>科技有限公司签订了危废处置服务合同，并按照《危险废物转移联单管理办法》中危废转移要求进行危废转运。</w:t>
      </w:r>
    </w:p>
    <w:p>
      <w:pPr>
        <w:pageBreakBefore w:val="0"/>
        <w:kinsoku/>
        <w:wordWrap/>
        <w:overflowPunct/>
        <w:topLinePunct w:val="0"/>
        <w:bidi w:val="0"/>
        <w:spacing w:line="360" w:lineRule="auto"/>
        <w:ind w:left="0" w:leftChars="0" w:right="0" w:firstLine="0" w:firstLineChars="0"/>
        <w:jc w:val="both"/>
        <w:outlineLvl w:val="2"/>
        <w:rPr>
          <w:rFonts w:hint="eastAsia" w:ascii="宋体" w:hAnsi="宋体" w:eastAsia="宋体" w:cs="宋体"/>
          <w:b/>
          <w:bCs/>
          <w:color w:val="auto"/>
          <w:spacing w:val="0"/>
          <w:kern w:val="2"/>
          <w:sz w:val="28"/>
          <w:szCs w:val="28"/>
          <w:highlight w:val="none"/>
          <w:u w:val="none"/>
          <w:lang w:val="en-US" w:eastAsia="zh-CN" w:bidi="ar-SA"/>
        </w:rPr>
      </w:pPr>
      <w:bookmarkStart w:id="138" w:name="bookmark17"/>
      <w:bookmarkEnd w:id="138"/>
      <w:r>
        <w:rPr>
          <w:rFonts w:hint="eastAsia" w:ascii="宋体" w:hAnsi="宋体" w:eastAsia="宋体" w:cs="宋体"/>
          <w:b/>
          <w:bCs/>
          <w:color w:val="auto"/>
          <w:spacing w:val="0"/>
          <w:kern w:val="2"/>
          <w:sz w:val="28"/>
          <w:szCs w:val="28"/>
          <w:highlight w:val="none"/>
          <w:u w:val="none"/>
          <w:lang w:val="en-US" w:eastAsia="zh-CN" w:bidi="ar-SA"/>
        </w:rPr>
        <w:t>4.3.5环境风险防范措施</w:t>
      </w:r>
    </w:p>
    <w:p>
      <w:pPr>
        <w:pageBreakBefore w:val="0"/>
        <w:kinsoku/>
        <w:wordWrap/>
        <w:overflowPunct/>
        <w:topLinePunct w:val="0"/>
        <w:bidi w:val="0"/>
        <w:spacing w:line="360" w:lineRule="auto"/>
        <w:ind w:left="0" w:leftChars="0" w:right="0" w:firstLine="484"/>
        <w:jc w:val="both"/>
        <w:rPr>
          <w:rFonts w:hint="eastAsia" w:ascii="宋体" w:hAnsi="宋体" w:eastAsia="宋体" w:cs="宋体"/>
          <w:color w:val="auto"/>
          <w:spacing w:val="0"/>
          <w:sz w:val="28"/>
          <w:szCs w:val="28"/>
          <w:highlight w:val="none"/>
        </w:rPr>
      </w:pPr>
      <w:r>
        <w:rPr>
          <w:rFonts w:hint="eastAsia" w:ascii="宋体" w:hAnsi="宋体" w:eastAsia="宋体" w:cs="宋体"/>
          <w:color w:val="auto"/>
          <w:spacing w:val="0"/>
          <w:sz w:val="28"/>
          <w:szCs w:val="28"/>
          <w:highlight w:val="none"/>
        </w:rPr>
        <w:t>企业按照环评要求对生产车间、污水处理设施、事故水池、危废暂存间、仓库等区域进行重点防渗。生产装置区、储存区设置火灾自动报警系统及消防灭火系统。乳油车间、原材料库2（甲类）设置可燃气体监测装置，防毒面具自给式正压呼吸器及橡胶防护服、手套、防护眼镜等劳保用品。设置一座60</w:t>
      </w:r>
      <w:r>
        <w:rPr>
          <w:rFonts w:hint="eastAsia" w:ascii="宋体" w:hAnsi="宋体" w:eastAsia="宋体" w:cs="宋体"/>
          <w:color w:val="auto"/>
          <w:spacing w:val="0"/>
          <w:sz w:val="28"/>
          <w:szCs w:val="28"/>
          <w:highlight w:val="none"/>
          <w:lang w:val="en-US" w:eastAsia="zh-CN"/>
        </w:rPr>
        <w:t>m³</w:t>
      </w:r>
      <w:r>
        <w:rPr>
          <w:rFonts w:hint="eastAsia" w:ascii="宋体" w:hAnsi="宋体" w:eastAsia="宋体" w:cs="宋体"/>
          <w:color w:val="auto"/>
          <w:spacing w:val="0"/>
          <w:sz w:val="28"/>
          <w:szCs w:val="28"/>
          <w:highlight w:val="none"/>
        </w:rPr>
        <w:t>事故水池及废水收集管网。危废暂存间内四周设置集水沟和集水池。</w:t>
      </w:r>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39" w:name="_Toc18518"/>
      <w:r>
        <w:rPr>
          <w:rFonts w:hint="eastAsia" w:ascii="宋体" w:hAnsi="宋体" w:eastAsia="宋体" w:cs="宋体"/>
          <w:b/>
          <w:bCs/>
          <w:kern w:val="2"/>
          <w:sz w:val="28"/>
          <w:szCs w:val="32"/>
          <w:lang w:val="en-US" w:eastAsia="zh-CN" w:bidi="ar-SA"/>
        </w:rPr>
        <w:t>4.4企业总平面布置</w:t>
      </w:r>
      <w:bookmarkEnd w:id="119"/>
      <w:bookmarkEnd w:id="120"/>
      <w:bookmarkEnd w:id="139"/>
    </w:p>
    <w:p>
      <w:pPr>
        <w:widowControl w:val="0"/>
        <w:snapToGrid/>
        <w:spacing w:after="0" w:line="520" w:lineRule="exact"/>
        <w:ind w:firstLine="541" w:firstLineChars="202"/>
        <w:jc w:val="both"/>
        <w:rPr>
          <w:rFonts w:hint="eastAsia" w:ascii="宋体" w:hAnsi="宋体" w:eastAsia="宋体" w:cs="宋体"/>
          <w:color w:val="auto"/>
          <w:sz w:val="28"/>
          <w:szCs w:val="28"/>
          <w:highlight w:val="green"/>
        </w:rPr>
      </w:pPr>
      <w:r>
        <w:rPr>
          <w:rFonts w:hint="eastAsia" w:ascii="宋体" w:hAnsi="宋体" w:eastAsia="宋体" w:cs="宋体"/>
          <w:spacing w:val="-6"/>
          <w:sz w:val="28"/>
          <w:szCs w:val="28"/>
          <w:lang w:val="zh-CN" w:eastAsia="zh-CN" w:bidi="zh-CN"/>
        </w:rPr>
        <w:t>河南省中威春雨植物营养有限公司厂区占地面积</w:t>
      </w:r>
      <w:r>
        <w:rPr>
          <w:rFonts w:hint="eastAsia" w:ascii="宋体" w:hAnsi="宋体" w:eastAsia="宋体" w:cs="宋体"/>
          <w:spacing w:val="-6"/>
          <w:sz w:val="28"/>
          <w:szCs w:val="28"/>
          <w:lang w:val="en-US" w:eastAsia="zh-CN" w:bidi="zh-CN"/>
        </w:rPr>
        <w:t>100亩</w:t>
      </w:r>
      <w:r>
        <w:rPr>
          <w:rFonts w:hint="eastAsia" w:ascii="宋体" w:hAnsi="宋体" w:eastAsia="宋体" w:cs="宋体"/>
          <w:spacing w:val="-6"/>
          <w:sz w:val="28"/>
          <w:szCs w:val="28"/>
          <w:lang w:val="zh-CN" w:eastAsia="zh-CN" w:bidi="zh-CN"/>
        </w:rPr>
        <w:t>，</w:t>
      </w:r>
      <w:r>
        <w:rPr>
          <w:rFonts w:hint="eastAsia" w:ascii="宋体" w:hAnsi="宋体" w:eastAsia="宋体" w:cs="宋体"/>
          <w:color w:val="auto"/>
          <w:sz w:val="28"/>
          <w:szCs w:val="28"/>
          <w:highlight w:val="none"/>
        </w:rPr>
        <w:t>项目用地性质为</w:t>
      </w:r>
      <w:r>
        <w:rPr>
          <w:rFonts w:hint="eastAsia" w:ascii="宋体" w:hAnsi="宋体" w:eastAsia="宋体" w:cs="宋体"/>
          <w:color w:val="auto"/>
          <w:sz w:val="28"/>
          <w:szCs w:val="28"/>
          <w:highlight w:val="none"/>
          <w:lang w:val="en-US" w:eastAsia="zh-CN"/>
        </w:rPr>
        <w:t>三类</w:t>
      </w:r>
      <w:r>
        <w:rPr>
          <w:rFonts w:hint="eastAsia" w:ascii="宋体" w:hAnsi="宋体" w:eastAsia="宋体" w:cs="宋体"/>
          <w:color w:val="auto"/>
          <w:sz w:val="28"/>
          <w:szCs w:val="28"/>
          <w:highlight w:val="none"/>
        </w:rPr>
        <w:t>工业用地</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项目</w:t>
      </w:r>
      <w:r>
        <w:rPr>
          <w:rFonts w:hint="eastAsia" w:ascii="宋体" w:hAnsi="宋体" w:eastAsia="宋体" w:cs="宋体"/>
          <w:color w:val="auto"/>
          <w:sz w:val="28"/>
          <w:szCs w:val="28"/>
          <w:highlight w:val="none"/>
        </w:rPr>
        <w:t>总平面布置见附图</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w:t>
      </w:r>
    </w:p>
    <w:p>
      <w:pPr>
        <w:pStyle w:val="3"/>
        <w:outlineLvl w:val="1"/>
        <w:rPr>
          <w:rFonts w:hint="eastAsia" w:ascii="宋体" w:hAnsi="宋体" w:eastAsia="宋体" w:cs="宋体"/>
          <w:color w:val="auto"/>
          <w:highlight w:val="none"/>
        </w:rPr>
      </w:pPr>
      <w:bookmarkStart w:id="140" w:name="_Toc15876"/>
      <w:r>
        <w:rPr>
          <w:rFonts w:hint="eastAsia" w:ascii="宋体" w:hAnsi="宋体" w:eastAsia="宋体" w:cs="宋体"/>
          <w:b/>
          <w:bCs/>
          <w:kern w:val="2"/>
          <w:sz w:val="28"/>
          <w:szCs w:val="32"/>
          <w:lang w:val="en-US" w:eastAsia="zh-CN" w:bidi="ar-SA"/>
        </w:rPr>
        <w:t>4.</w:t>
      </w:r>
      <w:bookmarkEnd w:id="121"/>
      <w:bookmarkEnd w:id="122"/>
      <w:bookmarkEnd w:id="123"/>
      <w:bookmarkEnd w:id="124"/>
      <w:bookmarkEnd w:id="125"/>
      <w:bookmarkEnd w:id="126"/>
      <w:bookmarkEnd w:id="127"/>
      <w:bookmarkEnd w:id="128"/>
      <w:bookmarkEnd w:id="129"/>
      <w:bookmarkEnd w:id="130"/>
      <w:bookmarkEnd w:id="131"/>
      <w:bookmarkEnd w:id="132"/>
      <w:bookmarkEnd w:id="133"/>
      <w:r>
        <w:rPr>
          <w:rFonts w:hint="eastAsia" w:ascii="宋体" w:hAnsi="宋体" w:eastAsia="宋体" w:cs="宋体"/>
          <w:b/>
          <w:bCs/>
          <w:kern w:val="2"/>
          <w:sz w:val="28"/>
          <w:szCs w:val="32"/>
          <w:lang w:val="en-US" w:eastAsia="zh-CN" w:bidi="ar-SA"/>
        </w:rPr>
        <w:t>5各重点场所、重点设施设备情况</w:t>
      </w:r>
      <w:bookmarkEnd w:id="140"/>
    </w:p>
    <w:p>
      <w:pPr>
        <w:widowControl/>
        <w:spacing w:line="520" w:lineRule="exact"/>
        <w:ind w:firstLine="560" w:firstLineChars="200"/>
        <w:rPr>
          <w:rFonts w:hint="eastAsia" w:ascii="宋体" w:hAnsi="宋体" w:eastAsia="宋体" w:cs="宋体"/>
          <w:b w:val="0"/>
          <w:bCs w:val="0"/>
          <w:color w:val="auto"/>
          <w:sz w:val="28"/>
          <w:szCs w:val="36"/>
          <w:highlight w:val="none"/>
          <w:vertAlign w:val="baseline"/>
          <w:lang w:val="en-US" w:eastAsia="zh-CN"/>
        </w:rPr>
      </w:pPr>
      <w:r>
        <w:rPr>
          <w:rFonts w:hint="eastAsia" w:ascii="宋体" w:hAnsi="宋体" w:eastAsia="宋体" w:cs="宋体"/>
          <w:color w:val="auto"/>
          <w:sz w:val="28"/>
          <w:szCs w:val="28"/>
          <w:highlight w:val="none"/>
          <w:u w:val="none"/>
        </w:rPr>
        <w:t>通过上述分析</w:t>
      </w:r>
      <w:r>
        <w:rPr>
          <w:rFonts w:hint="eastAsia" w:ascii="宋体" w:hAnsi="宋体" w:eastAsia="宋体" w:cs="宋体"/>
          <w:color w:val="auto"/>
          <w:sz w:val="28"/>
          <w:szCs w:val="28"/>
          <w:highlight w:val="none"/>
          <w:u w:val="none"/>
          <w:lang w:eastAsia="zh-CN"/>
        </w:rPr>
        <w:t>及</w:t>
      </w:r>
      <w:r>
        <w:rPr>
          <w:rFonts w:hint="eastAsia" w:ascii="宋体" w:hAnsi="宋体" w:eastAsia="宋体" w:cs="宋体"/>
          <w:color w:val="auto"/>
          <w:sz w:val="28"/>
          <w:szCs w:val="28"/>
          <w:highlight w:val="none"/>
          <w:u w:val="none"/>
        </w:rPr>
        <w:t>设备设施情况的了解，确定该企业</w:t>
      </w:r>
      <w:r>
        <w:rPr>
          <w:rFonts w:hint="eastAsia" w:ascii="宋体" w:hAnsi="宋体" w:eastAsia="宋体" w:cs="宋体"/>
          <w:b w:val="0"/>
          <w:bCs w:val="0"/>
          <w:color w:val="auto"/>
          <w:sz w:val="28"/>
          <w:szCs w:val="36"/>
          <w:highlight w:val="none"/>
          <w:vertAlign w:val="baseline"/>
          <w:lang w:val="en-US" w:eastAsia="zh-CN"/>
        </w:rPr>
        <w:t>厂区研发楼、试验田、粉剂车间、仓库B、水剂车间、仓库A、合成车间、乳油车间、仓库C、仓库D、危废暂存间、污水处理站、事故池等为重点区域为重点区域。</w:t>
      </w:r>
    </w:p>
    <w:p>
      <w:pPr>
        <w:widowControl/>
        <w:spacing w:line="520" w:lineRule="exact"/>
        <w:ind w:firstLine="560" w:firstLineChars="200"/>
        <w:rPr>
          <w:rFonts w:hint="eastAsia" w:ascii="宋体" w:hAnsi="宋体" w:eastAsia="宋体" w:cs="宋体"/>
          <w:color w:val="auto"/>
          <w:sz w:val="28"/>
          <w:highlight w:val="none"/>
        </w:rPr>
      </w:pPr>
      <w:r>
        <w:rPr>
          <w:rFonts w:hint="eastAsia" w:ascii="宋体" w:hAnsi="宋体" w:eastAsia="宋体" w:cs="宋体"/>
          <w:b w:val="0"/>
          <w:bCs w:val="0"/>
          <w:color w:val="auto"/>
          <w:sz w:val="28"/>
          <w:szCs w:val="36"/>
          <w:highlight w:val="none"/>
          <w:vertAlign w:val="baseline"/>
          <w:lang w:val="en-US" w:eastAsia="zh-CN"/>
        </w:rPr>
        <w:t>通过前期调查过程和对资料进行分析、总结和评价，根据各区域及设施信息、特征污染物类型、污染物进入土壤和地</w:t>
      </w:r>
      <w:r>
        <w:rPr>
          <w:rFonts w:hint="eastAsia" w:ascii="宋体" w:hAnsi="宋体" w:eastAsia="宋体" w:cs="宋体"/>
          <w:color w:val="auto"/>
          <w:sz w:val="28"/>
          <w:szCs w:val="28"/>
          <w:highlight w:val="none"/>
          <w:u w:val="none"/>
        </w:rPr>
        <w:t>下水的途径等，识别企业内部存在土壤及地下水污染隐患的区域及设施，记录重点区域及设施相关信息。它们在生产经营活动中产生的污染物经大气流动、渗透、沉降到地面，可能对附近土壤造成污染</w:t>
      </w:r>
      <w:r>
        <w:rPr>
          <w:rFonts w:hint="eastAsia" w:ascii="宋体" w:hAnsi="宋体" w:eastAsia="宋体" w:cs="宋体"/>
          <w:color w:val="auto"/>
          <w:sz w:val="28"/>
          <w:highlight w:val="none"/>
        </w:rPr>
        <w:t>详细见表</w:t>
      </w:r>
      <w:r>
        <w:rPr>
          <w:rFonts w:hint="eastAsia" w:ascii="宋体" w:hAnsi="宋体" w:eastAsia="宋体" w:cs="宋体"/>
          <w:color w:val="auto"/>
          <w:sz w:val="28"/>
          <w:highlight w:val="none"/>
          <w:lang w:val="en-US" w:eastAsia="zh-CN"/>
        </w:rPr>
        <w:t>4-4</w:t>
      </w:r>
      <w:r>
        <w:rPr>
          <w:rFonts w:hint="eastAsia" w:ascii="宋体" w:hAnsi="宋体" w:eastAsia="宋体" w:cs="宋体"/>
          <w:color w:val="auto"/>
          <w:sz w:val="28"/>
          <w:highlight w:val="none"/>
        </w:rPr>
        <w:t>。</w:t>
      </w:r>
    </w:p>
    <w:p>
      <w:pPr>
        <w:widowControl w:val="0"/>
        <w:spacing w:line="520" w:lineRule="exact"/>
        <w:ind w:left="0" w:firstLine="0"/>
        <w:jc w:val="center"/>
        <w:outlineLvl w:val="9"/>
        <w:rPr>
          <w:rFonts w:hint="eastAsia" w:ascii="宋体" w:hAnsi="宋体" w:eastAsia="宋体" w:cs="宋体"/>
          <w:b/>
          <w:bCs/>
          <w:color w:val="auto"/>
          <w:kern w:val="2"/>
          <w:sz w:val="32"/>
          <w:szCs w:val="32"/>
          <w:lang w:val="zh-CN" w:eastAsia="zh-CN" w:bidi="zh-CN"/>
        </w:rPr>
      </w:pPr>
      <w:bookmarkStart w:id="141" w:name="_Toc5401"/>
      <w:bookmarkStart w:id="142" w:name="_Toc17448"/>
      <w:r>
        <w:rPr>
          <w:rFonts w:hint="eastAsia" w:ascii="宋体" w:hAnsi="宋体" w:eastAsia="宋体" w:cs="宋体"/>
          <w:b/>
          <w:bCs/>
          <w:kern w:val="2"/>
          <w:sz w:val="24"/>
          <w:szCs w:val="24"/>
          <w:lang w:val="zh-CN" w:eastAsia="zh-CN" w:bidi="zh-CN"/>
        </w:rPr>
        <w:t>表4-</w:t>
      </w:r>
      <w:r>
        <w:rPr>
          <w:rFonts w:hint="eastAsia" w:ascii="宋体" w:hAnsi="宋体" w:eastAsia="宋体" w:cs="宋体"/>
          <w:b/>
          <w:bCs/>
          <w:kern w:val="2"/>
          <w:sz w:val="24"/>
          <w:szCs w:val="24"/>
          <w:lang w:val="en-US" w:eastAsia="zh-CN" w:bidi="zh-CN"/>
        </w:rPr>
        <w:t>4</w:t>
      </w:r>
      <w:r>
        <w:rPr>
          <w:rFonts w:hint="eastAsia" w:ascii="宋体" w:hAnsi="宋体" w:eastAsia="宋体" w:cs="宋体"/>
          <w:b/>
          <w:bCs/>
          <w:kern w:val="2"/>
          <w:sz w:val="24"/>
          <w:szCs w:val="24"/>
          <w:lang w:val="zh-CN" w:eastAsia="zh-CN" w:bidi="zh-CN"/>
        </w:rPr>
        <w:t>重点场所及重点设备清单</w:t>
      </w:r>
      <w:bookmarkEnd w:id="141"/>
      <w:bookmarkEnd w:id="142"/>
    </w:p>
    <w:tbl>
      <w:tblPr>
        <w:tblStyle w:val="19"/>
        <w:tblW w:w="512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8"/>
        <w:gridCol w:w="964"/>
        <w:gridCol w:w="1305"/>
        <w:gridCol w:w="862"/>
        <w:gridCol w:w="887"/>
        <w:gridCol w:w="1357"/>
        <w:gridCol w:w="971"/>
        <w:gridCol w:w="782"/>
        <w:gridCol w:w="730"/>
        <w:gridCol w:w="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0" w:hRule="atLeast"/>
          <w:jc w:val="center"/>
        </w:trPr>
        <w:tc>
          <w:tcPr>
            <w:tcW w:w="391"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rPr>
              <w:t>企业名称</w:t>
            </w:r>
          </w:p>
        </w:tc>
        <w:tc>
          <w:tcPr>
            <w:tcW w:w="4608" w:type="pct"/>
            <w:gridSpan w:val="9"/>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河南省中威春雨植物营养有限公司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0" w:hRule="atLeast"/>
          <w:jc w:val="center"/>
        </w:trPr>
        <w:tc>
          <w:tcPr>
            <w:tcW w:w="391"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eastAsia="zh-CN"/>
              </w:rPr>
            </w:pPr>
            <w:r>
              <w:rPr>
                <w:rFonts w:hint="eastAsia" w:ascii="宋体" w:hAnsi="宋体" w:eastAsia="宋体" w:cs="宋体"/>
                <w:color w:val="auto"/>
                <w:spacing w:val="0"/>
                <w:sz w:val="21"/>
                <w:szCs w:val="21"/>
                <w:highlight w:val="none"/>
                <w:u w:val="none"/>
                <w:lang w:eastAsia="zh-CN"/>
              </w:rPr>
              <w:t>填写日期</w:t>
            </w:r>
          </w:p>
        </w:tc>
        <w:tc>
          <w:tcPr>
            <w:tcW w:w="1705" w:type="pct"/>
            <w:gridSpan w:val="3"/>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val="en-US" w:eastAsia="zh-CN"/>
              </w:rPr>
            </w:pPr>
            <w:r>
              <w:rPr>
                <w:rFonts w:hint="eastAsia" w:ascii="宋体" w:hAnsi="宋体" w:cs="宋体"/>
                <w:color w:val="auto"/>
                <w:spacing w:val="0"/>
                <w:sz w:val="21"/>
                <w:szCs w:val="21"/>
                <w:highlight w:val="none"/>
                <w:u w:val="none"/>
                <w:lang w:val="en-US" w:eastAsia="zh-CN"/>
              </w:rPr>
              <w:t>2023年6月</w:t>
            </w:r>
          </w:p>
        </w:tc>
        <w:tc>
          <w:tcPr>
            <w:tcW w:w="483"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eastAsia="zh-CN"/>
              </w:rPr>
            </w:pPr>
            <w:r>
              <w:rPr>
                <w:rFonts w:hint="eastAsia" w:ascii="宋体" w:hAnsi="宋体" w:eastAsia="宋体" w:cs="宋体"/>
                <w:color w:val="auto"/>
                <w:spacing w:val="0"/>
                <w:sz w:val="21"/>
                <w:szCs w:val="21"/>
                <w:highlight w:val="none"/>
                <w:u w:val="none"/>
                <w:lang w:eastAsia="zh-CN"/>
              </w:rPr>
              <w:t>填报人员</w:t>
            </w:r>
          </w:p>
        </w:tc>
        <w:tc>
          <w:tcPr>
            <w:tcW w:w="738"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高松</w:t>
            </w:r>
          </w:p>
        </w:tc>
        <w:tc>
          <w:tcPr>
            <w:tcW w:w="528"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eastAsia="zh-CN"/>
              </w:rPr>
            </w:pPr>
            <w:r>
              <w:rPr>
                <w:rFonts w:hint="eastAsia" w:ascii="宋体" w:hAnsi="宋体" w:eastAsia="宋体" w:cs="宋体"/>
                <w:color w:val="auto"/>
                <w:spacing w:val="0"/>
                <w:sz w:val="21"/>
                <w:szCs w:val="21"/>
                <w:highlight w:val="none"/>
                <w:u w:val="none"/>
                <w:lang w:eastAsia="zh-CN"/>
              </w:rPr>
              <w:t>联系方式</w:t>
            </w:r>
          </w:p>
        </w:tc>
        <w:tc>
          <w:tcPr>
            <w:tcW w:w="1152" w:type="pct"/>
            <w:gridSpan w:val="3"/>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15238655220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5" w:hRule="atLeast"/>
          <w:jc w:val="center"/>
        </w:trPr>
        <w:tc>
          <w:tcPr>
            <w:tcW w:w="391"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eastAsia="zh-CN"/>
              </w:rPr>
              <w:t>序号</w:t>
            </w:r>
          </w:p>
        </w:tc>
        <w:tc>
          <w:tcPr>
            <w:tcW w:w="524"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eastAsia="zh-CN"/>
              </w:rPr>
              <w:t>单元内需要检测的重点场所</w:t>
            </w:r>
          </w:p>
        </w:tc>
        <w:tc>
          <w:tcPr>
            <w:tcW w:w="711"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lang w:eastAsia="zh-CN"/>
              </w:rPr>
              <w:t>功能（即该重点场所</w:t>
            </w:r>
            <w:r>
              <w:rPr>
                <w:rFonts w:hint="eastAsia" w:ascii="宋体" w:hAnsi="宋体" w:eastAsia="宋体" w:cs="宋体"/>
                <w:color w:val="auto"/>
                <w:spacing w:val="0"/>
                <w:sz w:val="21"/>
                <w:szCs w:val="21"/>
                <w:highlight w:val="none"/>
                <w:u w:val="none"/>
                <w:lang w:val="en-US" w:eastAsia="zh-CN"/>
              </w:rPr>
              <w:t>/设施/设备实际的生产活动</w:t>
            </w:r>
            <w:r>
              <w:rPr>
                <w:rFonts w:hint="eastAsia" w:ascii="宋体" w:hAnsi="宋体" w:eastAsia="宋体" w:cs="宋体"/>
                <w:color w:val="auto"/>
                <w:spacing w:val="0"/>
                <w:sz w:val="21"/>
                <w:szCs w:val="21"/>
                <w:highlight w:val="none"/>
                <w:u w:val="none"/>
                <w:lang w:eastAsia="zh-CN"/>
              </w:rPr>
              <w:t>）</w:t>
            </w:r>
          </w:p>
        </w:tc>
        <w:tc>
          <w:tcPr>
            <w:tcW w:w="469"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lang w:eastAsia="zh-CN"/>
              </w:rPr>
              <w:t>涉及有毒有害物质清单</w:t>
            </w:r>
          </w:p>
        </w:tc>
        <w:tc>
          <w:tcPr>
            <w:tcW w:w="483"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eastAsia="zh-CN"/>
              </w:rPr>
            </w:pPr>
            <w:r>
              <w:rPr>
                <w:rFonts w:hint="eastAsia" w:ascii="宋体" w:hAnsi="宋体" w:eastAsia="宋体" w:cs="宋体"/>
                <w:color w:val="auto"/>
                <w:spacing w:val="0"/>
                <w:sz w:val="21"/>
                <w:szCs w:val="21"/>
                <w:highlight w:val="none"/>
                <w:u w:val="none"/>
                <w:lang w:eastAsia="zh-CN"/>
              </w:rPr>
              <w:t>关注污染物</w:t>
            </w:r>
          </w:p>
        </w:tc>
        <w:tc>
          <w:tcPr>
            <w:tcW w:w="738"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eastAsia="zh-CN"/>
              </w:rPr>
            </w:pPr>
            <w:r>
              <w:rPr>
                <w:rFonts w:hint="eastAsia" w:ascii="宋体" w:hAnsi="宋体" w:eastAsia="宋体" w:cs="宋体"/>
                <w:color w:val="auto"/>
                <w:spacing w:val="0"/>
                <w:sz w:val="21"/>
                <w:szCs w:val="21"/>
                <w:highlight w:val="none"/>
                <w:u w:val="none"/>
                <w:lang w:eastAsia="zh-CN"/>
              </w:rPr>
              <w:t>设施坐标</w:t>
            </w:r>
          </w:p>
        </w:tc>
        <w:tc>
          <w:tcPr>
            <w:tcW w:w="528"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eastAsia="zh-CN"/>
              </w:rPr>
            </w:pPr>
            <w:r>
              <w:rPr>
                <w:rFonts w:hint="eastAsia" w:ascii="宋体" w:hAnsi="宋体" w:eastAsia="宋体" w:cs="宋体"/>
                <w:color w:val="auto"/>
                <w:spacing w:val="0"/>
                <w:sz w:val="21"/>
                <w:szCs w:val="21"/>
                <w:highlight w:val="none"/>
                <w:u w:val="none"/>
                <w:lang w:eastAsia="zh-CN"/>
              </w:rPr>
              <w:t>是否为隐蔽性设施</w:t>
            </w:r>
          </w:p>
        </w:tc>
        <w:tc>
          <w:tcPr>
            <w:tcW w:w="425"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eastAsia="zh-CN"/>
              </w:rPr>
            </w:pPr>
            <w:r>
              <w:rPr>
                <w:rFonts w:hint="eastAsia" w:ascii="宋体" w:hAnsi="宋体" w:eastAsia="宋体" w:cs="宋体"/>
                <w:color w:val="auto"/>
                <w:spacing w:val="0"/>
                <w:sz w:val="21"/>
                <w:szCs w:val="21"/>
                <w:highlight w:val="none"/>
                <w:u w:val="none"/>
                <w:lang w:eastAsia="zh-CN"/>
              </w:rPr>
              <w:t>单元类别</w:t>
            </w:r>
          </w:p>
        </w:tc>
        <w:tc>
          <w:tcPr>
            <w:tcW w:w="726" w:type="pct"/>
            <w:gridSpan w:val="2"/>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lang w:eastAsia="zh-CN"/>
              </w:rPr>
              <w:t>该单元对应的检测测点位编号及坐标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7" w:hRule="atLeast"/>
          <w:jc w:val="center"/>
        </w:trPr>
        <w:tc>
          <w:tcPr>
            <w:tcW w:w="391"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val="en-US"/>
              </w:rPr>
            </w:pPr>
            <w:r>
              <w:rPr>
                <w:rFonts w:hint="eastAsia" w:ascii="宋体" w:hAnsi="宋体" w:eastAsia="宋体" w:cs="宋体"/>
                <w:color w:val="auto"/>
                <w:spacing w:val="0"/>
                <w:sz w:val="21"/>
                <w:szCs w:val="21"/>
                <w:highlight w:val="none"/>
                <w:u w:val="none"/>
                <w:lang w:eastAsia="zh-CN"/>
              </w:rPr>
              <w:t>单元</w:t>
            </w:r>
            <w:r>
              <w:rPr>
                <w:rFonts w:hint="eastAsia" w:ascii="宋体" w:hAnsi="宋体" w:eastAsia="宋体" w:cs="宋体"/>
                <w:color w:val="auto"/>
                <w:spacing w:val="0"/>
                <w:sz w:val="21"/>
                <w:szCs w:val="21"/>
                <w:highlight w:val="none"/>
                <w:u w:val="none"/>
                <w:lang w:val="en-US" w:eastAsia="zh-CN"/>
              </w:rPr>
              <w:t>A</w:t>
            </w:r>
          </w:p>
        </w:tc>
        <w:tc>
          <w:tcPr>
            <w:tcW w:w="524" w:type="pct"/>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b w:val="0"/>
                <w:bCs w:val="0"/>
                <w:color w:val="auto"/>
                <w:spacing w:val="0"/>
                <w:kern w:val="2"/>
                <w:sz w:val="22"/>
                <w:szCs w:val="28"/>
                <w:highlight w:val="none"/>
                <w:vertAlign w:val="baseline"/>
                <w:lang w:val="en-US" w:eastAsia="zh-CN" w:bidi="ar-SA"/>
              </w:rPr>
            </w:pPr>
            <w:r>
              <w:rPr>
                <w:rFonts w:hint="eastAsia" w:ascii="宋体" w:hAnsi="宋体" w:eastAsia="宋体" w:cs="宋体"/>
                <w:b w:val="0"/>
                <w:bCs w:val="0"/>
                <w:color w:val="auto"/>
                <w:spacing w:val="0"/>
                <w:kern w:val="2"/>
                <w:sz w:val="22"/>
                <w:szCs w:val="28"/>
                <w:highlight w:val="none"/>
                <w:vertAlign w:val="baseline"/>
                <w:lang w:val="en-US" w:eastAsia="zh-CN" w:bidi="ar-SA"/>
              </w:rPr>
              <w:t>研发楼、试验田</w:t>
            </w:r>
          </w:p>
        </w:tc>
        <w:tc>
          <w:tcPr>
            <w:tcW w:w="711" w:type="pct"/>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color w:val="auto"/>
                <w:spacing w:val="0"/>
                <w:sz w:val="18"/>
                <w:szCs w:val="18"/>
                <w:highlight w:val="none"/>
                <w:u w:val="none"/>
                <w:lang w:val="en-US" w:eastAsia="zh-CN"/>
              </w:rPr>
            </w:pPr>
            <w:r>
              <w:rPr>
                <w:rFonts w:hint="eastAsia" w:ascii="宋体" w:hAnsi="宋体" w:eastAsia="宋体" w:cs="宋体"/>
                <w:b w:val="0"/>
                <w:bCs w:val="0"/>
                <w:color w:val="auto"/>
                <w:spacing w:val="0"/>
                <w:kern w:val="2"/>
                <w:sz w:val="22"/>
                <w:szCs w:val="28"/>
                <w:highlight w:val="none"/>
                <w:vertAlign w:val="baseline"/>
                <w:lang w:val="en-US" w:eastAsia="zh-CN" w:bidi="ar-SA"/>
              </w:rPr>
              <w:t>研发楼、试验田</w:t>
            </w:r>
          </w:p>
        </w:tc>
        <w:tc>
          <w:tcPr>
            <w:tcW w:w="469"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w:t>
            </w:r>
          </w:p>
        </w:tc>
        <w:tc>
          <w:tcPr>
            <w:tcW w:w="483"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w:t>
            </w:r>
          </w:p>
        </w:tc>
        <w:tc>
          <w:tcPr>
            <w:tcW w:w="738" w:type="pct"/>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b w:val="0"/>
                <w:bCs w:val="0"/>
                <w:color w:val="auto"/>
                <w:spacing w:val="0"/>
                <w:sz w:val="22"/>
                <w:szCs w:val="28"/>
                <w:highlight w:val="none"/>
                <w:vertAlign w:val="baseline"/>
                <w:lang w:val="en-US" w:eastAsia="zh-CN"/>
              </w:rPr>
            </w:pPr>
            <w:r>
              <w:rPr>
                <w:rFonts w:hint="eastAsia" w:ascii="宋体" w:hAnsi="宋体" w:eastAsia="宋体" w:cs="宋体"/>
                <w:b w:val="0"/>
                <w:bCs w:val="0"/>
                <w:color w:val="auto"/>
                <w:spacing w:val="0"/>
                <w:sz w:val="22"/>
                <w:szCs w:val="28"/>
                <w:highlight w:val="none"/>
                <w:vertAlign w:val="baseline"/>
                <w:lang w:val="en-US" w:eastAsia="zh-CN"/>
              </w:rPr>
              <w:t>N：34°40'27.447''E：111°34'44.841''</w:t>
            </w:r>
          </w:p>
        </w:tc>
        <w:tc>
          <w:tcPr>
            <w:tcW w:w="528"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eastAsia="zh-CN"/>
              </w:rPr>
            </w:pPr>
            <w:r>
              <w:rPr>
                <w:rFonts w:hint="eastAsia" w:ascii="宋体" w:hAnsi="宋体" w:eastAsia="宋体" w:cs="宋体"/>
                <w:color w:val="auto"/>
                <w:spacing w:val="0"/>
                <w:sz w:val="21"/>
                <w:szCs w:val="21"/>
                <w:highlight w:val="none"/>
                <w:u w:val="none"/>
                <w:lang w:eastAsia="zh-CN"/>
              </w:rPr>
              <w:t>否</w:t>
            </w:r>
          </w:p>
        </w:tc>
        <w:tc>
          <w:tcPr>
            <w:tcW w:w="425"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eastAsia="zh-CN"/>
              </w:rPr>
            </w:pPr>
            <w:r>
              <w:rPr>
                <w:rFonts w:hint="eastAsia" w:ascii="宋体" w:hAnsi="宋体" w:eastAsia="宋体" w:cs="宋体"/>
                <w:color w:val="auto"/>
                <w:spacing w:val="0"/>
                <w:sz w:val="21"/>
                <w:szCs w:val="21"/>
                <w:highlight w:val="none"/>
                <w:u w:val="none"/>
                <w:lang w:eastAsia="zh-CN"/>
              </w:rPr>
              <w:t>二类</w:t>
            </w:r>
          </w:p>
        </w:tc>
        <w:tc>
          <w:tcPr>
            <w:tcW w:w="397"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eastAsia="zh-CN"/>
              </w:rPr>
            </w:pPr>
            <w:r>
              <w:rPr>
                <w:rFonts w:hint="eastAsia" w:ascii="宋体" w:hAnsi="宋体" w:eastAsia="宋体" w:cs="宋体"/>
                <w:color w:val="auto"/>
                <w:spacing w:val="0"/>
                <w:sz w:val="21"/>
                <w:szCs w:val="21"/>
                <w:highlight w:val="none"/>
                <w:u w:val="none"/>
                <w:lang w:eastAsia="zh-CN"/>
              </w:rPr>
              <w:t>土壤</w:t>
            </w:r>
          </w:p>
        </w:tc>
        <w:tc>
          <w:tcPr>
            <w:tcW w:w="328"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7" w:hRule="atLeast"/>
          <w:jc w:val="center"/>
        </w:trPr>
        <w:tc>
          <w:tcPr>
            <w:tcW w:w="391"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p>
        </w:tc>
        <w:tc>
          <w:tcPr>
            <w:tcW w:w="524" w:type="pct"/>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b w:val="0"/>
                <w:bCs w:val="0"/>
                <w:color w:val="auto"/>
                <w:spacing w:val="0"/>
                <w:kern w:val="2"/>
                <w:sz w:val="22"/>
                <w:szCs w:val="28"/>
                <w:highlight w:val="none"/>
                <w:vertAlign w:val="baseline"/>
                <w:lang w:val="en-US" w:eastAsia="zh-CN" w:bidi="ar-SA"/>
              </w:rPr>
            </w:pPr>
            <w:r>
              <w:rPr>
                <w:rFonts w:hint="eastAsia" w:ascii="宋体" w:hAnsi="宋体" w:eastAsia="宋体" w:cs="宋体"/>
                <w:b w:val="0"/>
                <w:bCs w:val="0"/>
                <w:color w:val="auto"/>
                <w:spacing w:val="0"/>
                <w:sz w:val="22"/>
                <w:szCs w:val="28"/>
                <w:highlight w:val="none"/>
                <w:vertAlign w:val="baseline"/>
                <w:lang w:val="en-US" w:eastAsia="zh-CN"/>
              </w:rPr>
              <w:t>粉剂车间、仓库B</w:t>
            </w:r>
          </w:p>
        </w:tc>
        <w:tc>
          <w:tcPr>
            <w:tcW w:w="711" w:type="pct"/>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color w:val="auto"/>
                <w:spacing w:val="0"/>
                <w:sz w:val="18"/>
                <w:szCs w:val="18"/>
                <w:highlight w:val="none"/>
                <w:u w:val="none"/>
                <w:lang w:val="en-US" w:eastAsia="zh-CN"/>
              </w:rPr>
            </w:pPr>
            <w:r>
              <w:rPr>
                <w:rFonts w:hint="eastAsia" w:ascii="宋体" w:hAnsi="宋体" w:eastAsia="宋体" w:cs="宋体"/>
                <w:b w:val="0"/>
                <w:bCs w:val="0"/>
                <w:color w:val="auto"/>
                <w:spacing w:val="0"/>
                <w:sz w:val="22"/>
                <w:szCs w:val="28"/>
                <w:highlight w:val="none"/>
                <w:vertAlign w:val="baseline"/>
                <w:lang w:val="en-US" w:eastAsia="zh-CN"/>
              </w:rPr>
              <w:t>粉剂车间、仓库B</w:t>
            </w:r>
          </w:p>
        </w:tc>
        <w:tc>
          <w:tcPr>
            <w:tcW w:w="469"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eastAsia="zh-CN"/>
              </w:rPr>
            </w:pPr>
            <w:r>
              <w:rPr>
                <w:rFonts w:hint="eastAsia" w:ascii="宋体" w:hAnsi="宋体" w:eastAsia="宋体" w:cs="宋体"/>
                <w:color w:val="auto"/>
                <w:spacing w:val="0"/>
                <w:sz w:val="21"/>
                <w:szCs w:val="21"/>
                <w:highlight w:val="none"/>
                <w:u w:val="none"/>
                <w:lang w:val="en-US" w:eastAsia="zh-CN"/>
              </w:rPr>
              <w:t>/</w:t>
            </w:r>
          </w:p>
        </w:tc>
        <w:tc>
          <w:tcPr>
            <w:tcW w:w="483" w:type="pct"/>
            <w:noWrap w:val="0"/>
            <w:vAlign w:val="center"/>
          </w:tcPr>
          <w:p>
            <w:pPr>
              <w:keepNext w:val="0"/>
              <w:keepLines w:val="0"/>
              <w:pageBreakBefore w:val="0"/>
              <w:tabs>
                <w:tab w:val="center" w:pos="395"/>
                <w:tab w:val="left" w:pos="531"/>
              </w:tabs>
              <w:kinsoku/>
              <w:wordWrap/>
              <w:overflowPunct/>
              <w:topLinePunct w:val="0"/>
              <w:autoSpaceDE/>
              <w:autoSpaceDN/>
              <w:bidi w:val="0"/>
              <w:adjustRightInd/>
              <w:snapToGrid/>
              <w:spacing w:line="240" w:lineRule="auto"/>
              <w:ind w:left="0" w:leftChars="0" w:right="0" w:rightChars="0" w:firstLine="0" w:firstLineChars="0"/>
              <w:jc w:val="left"/>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颗粒物等</w:t>
            </w:r>
          </w:p>
        </w:tc>
        <w:tc>
          <w:tcPr>
            <w:tcW w:w="738" w:type="pct"/>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b w:val="0"/>
                <w:bCs w:val="0"/>
                <w:color w:val="auto"/>
                <w:spacing w:val="0"/>
                <w:sz w:val="22"/>
                <w:szCs w:val="28"/>
                <w:highlight w:val="none"/>
                <w:vertAlign w:val="baseline"/>
                <w:lang w:val="en-US" w:eastAsia="zh-CN"/>
              </w:rPr>
            </w:pPr>
            <w:r>
              <w:rPr>
                <w:rFonts w:hint="eastAsia" w:ascii="宋体" w:hAnsi="宋体" w:eastAsia="宋体" w:cs="宋体"/>
                <w:b w:val="0"/>
                <w:bCs w:val="0"/>
                <w:color w:val="auto"/>
                <w:spacing w:val="0"/>
                <w:sz w:val="22"/>
                <w:szCs w:val="28"/>
                <w:highlight w:val="none"/>
                <w:vertAlign w:val="baseline"/>
                <w:lang w:val="en-US" w:eastAsia="zh-CN"/>
              </w:rPr>
              <w:t>N：34°40'24.700''E：111°34'42.109''</w:t>
            </w:r>
          </w:p>
        </w:tc>
        <w:tc>
          <w:tcPr>
            <w:tcW w:w="528"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lang w:eastAsia="zh-CN"/>
              </w:rPr>
              <w:t>否</w:t>
            </w:r>
          </w:p>
        </w:tc>
        <w:tc>
          <w:tcPr>
            <w:tcW w:w="425"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lang w:eastAsia="zh-CN"/>
              </w:rPr>
              <w:t>二类</w:t>
            </w:r>
          </w:p>
        </w:tc>
        <w:tc>
          <w:tcPr>
            <w:tcW w:w="397"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p>
        </w:tc>
        <w:tc>
          <w:tcPr>
            <w:tcW w:w="328"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6" w:hRule="atLeast"/>
          <w:jc w:val="center"/>
        </w:trPr>
        <w:tc>
          <w:tcPr>
            <w:tcW w:w="391"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p>
        </w:tc>
        <w:tc>
          <w:tcPr>
            <w:tcW w:w="524" w:type="pct"/>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b w:val="0"/>
                <w:bCs w:val="0"/>
                <w:color w:val="auto"/>
                <w:spacing w:val="0"/>
                <w:kern w:val="2"/>
                <w:sz w:val="22"/>
                <w:szCs w:val="28"/>
                <w:highlight w:val="none"/>
                <w:vertAlign w:val="baseline"/>
                <w:lang w:val="en-US" w:eastAsia="zh-CN" w:bidi="ar-SA"/>
              </w:rPr>
            </w:pPr>
            <w:r>
              <w:rPr>
                <w:rFonts w:hint="eastAsia" w:ascii="宋体" w:hAnsi="宋体" w:eastAsia="宋体" w:cs="宋体"/>
                <w:b w:val="0"/>
                <w:bCs w:val="0"/>
                <w:color w:val="auto"/>
                <w:spacing w:val="0"/>
                <w:sz w:val="22"/>
                <w:szCs w:val="28"/>
                <w:highlight w:val="none"/>
                <w:vertAlign w:val="baseline"/>
                <w:lang w:val="en-US" w:eastAsia="zh-CN"/>
              </w:rPr>
              <w:t>水剂车间、仓库A</w:t>
            </w:r>
          </w:p>
        </w:tc>
        <w:tc>
          <w:tcPr>
            <w:tcW w:w="711" w:type="pct"/>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color w:val="auto"/>
                <w:spacing w:val="0"/>
                <w:sz w:val="18"/>
                <w:szCs w:val="18"/>
                <w:highlight w:val="none"/>
                <w:u w:val="none"/>
                <w:lang w:val="en-US" w:eastAsia="zh-CN"/>
              </w:rPr>
            </w:pPr>
            <w:r>
              <w:rPr>
                <w:rFonts w:hint="eastAsia" w:ascii="宋体" w:hAnsi="宋体" w:eastAsia="宋体" w:cs="宋体"/>
                <w:b w:val="0"/>
                <w:bCs w:val="0"/>
                <w:color w:val="auto"/>
                <w:spacing w:val="0"/>
                <w:sz w:val="22"/>
                <w:szCs w:val="28"/>
                <w:highlight w:val="none"/>
                <w:vertAlign w:val="baseline"/>
                <w:lang w:val="en-US" w:eastAsia="zh-CN"/>
              </w:rPr>
              <w:t>水剂车间、仓库A</w:t>
            </w:r>
          </w:p>
        </w:tc>
        <w:tc>
          <w:tcPr>
            <w:tcW w:w="469" w:type="pct"/>
            <w:noWrap w:val="0"/>
            <w:vAlign w:val="center"/>
          </w:tcPr>
          <w:p>
            <w:pPr>
              <w:keepNext w:val="0"/>
              <w:keepLines w:val="0"/>
              <w:pageBreakBefore w:val="0"/>
              <w:tabs>
                <w:tab w:val="right" w:pos="8730"/>
              </w:tabs>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kern w:val="2"/>
                <w:sz w:val="21"/>
                <w:szCs w:val="21"/>
                <w:highlight w:val="none"/>
                <w:u w:val="none"/>
                <w:lang w:val="en-US" w:eastAsia="zh-CN" w:bidi="ar-SA"/>
              </w:rPr>
            </w:pPr>
            <w:r>
              <w:rPr>
                <w:rFonts w:hint="eastAsia" w:ascii="宋体" w:hAnsi="宋体" w:eastAsia="宋体" w:cs="宋体"/>
                <w:color w:val="auto"/>
                <w:spacing w:val="0"/>
                <w:sz w:val="21"/>
                <w:szCs w:val="21"/>
                <w:highlight w:val="none"/>
                <w:u w:val="none"/>
                <w:lang w:val="en-US" w:eastAsia="zh-CN"/>
              </w:rPr>
              <w:t>/</w:t>
            </w:r>
          </w:p>
        </w:tc>
        <w:tc>
          <w:tcPr>
            <w:tcW w:w="483" w:type="pct"/>
            <w:noWrap w:val="0"/>
            <w:vAlign w:val="center"/>
          </w:tcPr>
          <w:p>
            <w:pPr>
              <w:keepNext w:val="0"/>
              <w:keepLines w:val="0"/>
              <w:pageBreakBefore w:val="0"/>
              <w:tabs>
                <w:tab w:val="right" w:pos="8730"/>
              </w:tabs>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kern w:val="2"/>
                <w:sz w:val="21"/>
                <w:szCs w:val="21"/>
                <w:highlight w:val="none"/>
                <w:u w:val="none"/>
                <w:lang w:val="en-US" w:eastAsia="zh-CN" w:bidi="ar-SA"/>
              </w:rPr>
            </w:pPr>
            <w:r>
              <w:rPr>
                <w:rFonts w:hint="eastAsia" w:ascii="宋体" w:hAnsi="宋体" w:eastAsia="宋体" w:cs="宋体"/>
                <w:color w:val="auto"/>
                <w:spacing w:val="0"/>
                <w:kern w:val="2"/>
                <w:sz w:val="21"/>
                <w:szCs w:val="21"/>
                <w:highlight w:val="none"/>
                <w:u w:val="none"/>
                <w:lang w:val="en-US" w:eastAsia="zh-CN" w:bidi="ar-SA"/>
              </w:rPr>
              <w:t>颗粒物等</w:t>
            </w:r>
          </w:p>
        </w:tc>
        <w:tc>
          <w:tcPr>
            <w:tcW w:w="738" w:type="pct"/>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b w:val="0"/>
                <w:bCs w:val="0"/>
                <w:color w:val="auto"/>
                <w:spacing w:val="0"/>
                <w:sz w:val="22"/>
                <w:szCs w:val="28"/>
                <w:highlight w:val="none"/>
                <w:vertAlign w:val="baseline"/>
                <w:lang w:val="en-US" w:eastAsia="zh-CN"/>
              </w:rPr>
            </w:pPr>
            <w:r>
              <w:rPr>
                <w:rFonts w:hint="eastAsia" w:ascii="宋体" w:hAnsi="宋体" w:eastAsia="宋体" w:cs="宋体"/>
                <w:b w:val="0"/>
                <w:bCs w:val="0"/>
                <w:color w:val="auto"/>
                <w:spacing w:val="0"/>
                <w:sz w:val="22"/>
                <w:szCs w:val="28"/>
                <w:highlight w:val="none"/>
                <w:vertAlign w:val="baseline"/>
                <w:lang w:val="en-US" w:eastAsia="zh-CN"/>
              </w:rPr>
              <w:t>N：34°40'24.994''E：111°34'44.909''</w:t>
            </w:r>
          </w:p>
        </w:tc>
        <w:tc>
          <w:tcPr>
            <w:tcW w:w="528"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lang w:eastAsia="zh-CN"/>
              </w:rPr>
              <w:t>否</w:t>
            </w:r>
          </w:p>
        </w:tc>
        <w:tc>
          <w:tcPr>
            <w:tcW w:w="425"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lang w:eastAsia="zh-CN"/>
              </w:rPr>
              <w:t>二类</w:t>
            </w:r>
          </w:p>
        </w:tc>
        <w:tc>
          <w:tcPr>
            <w:tcW w:w="397"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p>
        </w:tc>
        <w:tc>
          <w:tcPr>
            <w:tcW w:w="328"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1" w:hRule="atLeast"/>
          <w:jc w:val="center"/>
        </w:trPr>
        <w:tc>
          <w:tcPr>
            <w:tcW w:w="391"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p>
        </w:tc>
        <w:tc>
          <w:tcPr>
            <w:tcW w:w="524" w:type="pct"/>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b w:val="0"/>
                <w:bCs w:val="0"/>
                <w:color w:val="auto"/>
                <w:spacing w:val="0"/>
                <w:kern w:val="2"/>
                <w:sz w:val="22"/>
                <w:szCs w:val="28"/>
                <w:highlight w:val="none"/>
                <w:vertAlign w:val="baseline"/>
                <w:lang w:val="en-US" w:eastAsia="zh-CN" w:bidi="ar-SA"/>
              </w:rPr>
            </w:pPr>
            <w:r>
              <w:rPr>
                <w:rFonts w:hint="eastAsia" w:ascii="宋体" w:hAnsi="宋体" w:eastAsia="宋体" w:cs="宋体"/>
                <w:b w:val="0"/>
                <w:bCs w:val="0"/>
                <w:color w:val="auto"/>
                <w:spacing w:val="0"/>
                <w:sz w:val="22"/>
                <w:szCs w:val="28"/>
                <w:highlight w:val="none"/>
                <w:vertAlign w:val="baseline"/>
                <w:lang w:val="en-US" w:eastAsia="zh-CN"/>
              </w:rPr>
              <w:t>合成车间、乳油车间、仓库C、仓库D</w:t>
            </w:r>
          </w:p>
        </w:tc>
        <w:tc>
          <w:tcPr>
            <w:tcW w:w="711" w:type="pct"/>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color w:val="auto"/>
                <w:spacing w:val="0"/>
                <w:sz w:val="18"/>
                <w:szCs w:val="18"/>
                <w:highlight w:val="none"/>
                <w:u w:val="none"/>
                <w:lang w:val="en-US" w:eastAsia="zh-CN"/>
              </w:rPr>
            </w:pPr>
            <w:r>
              <w:rPr>
                <w:rFonts w:hint="eastAsia" w:ascii="宋体" w:hAnsi="宋体" w:eastAsia="宋体" w:cs="宋体"/>
                <w:b w:val="0"/>
                <w:bCs w:val="0"/>
                <w:color w:val="auto"/>
                <w:spacing w:val="0"/>
                <w:sz w:val="22"/>
                <w:szCs w:val="28"/>
                <w:highlight w:val="none"/>
                <w:vertAlign w:val="baseline"/>
                <w:lang w:val="en-US" w:eastAsia="zh-CN"/>
              </w:rPr>
              <w:t>合成车间、乳油车间、仓库C、仓库D</w:t>
            </w:r>
          </w:p>
        </w:tc>
        <w:tc>
          <w:tcPr>
            <w:tcW w:w="469" w:type="pct"/>
            <w:noWrap w:val="0"/>
            <w:vAlign w:val="center"/>
          </w:tcPr>
          <w:p>
            <w:pPr>
              <w:keepNext w:val="0"/>
              <w:keepLines w:val="0"/>
              <w:pageBreakBefore w:val="0"/>
              <w:tabs>
                <w:tab w:val="right" w:pos="8730"/>
              </w:tabs>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lang w:val="en-US" w:eastAsia="zh-CN"/>
              </w:rPr>
              <w:t>/</w:t>
            </w:r>
          </w:p>
        </w:tc>
        <w:tc>
          <w:tcPr>
            <w:tcW w:w="483" w:type="pct"/>
            <w:noWrap w:val="0"/>
            <w:vAlign w:val="center"/>
          </w:tcPr>
          <w:p>
            <w:pPr>
              <w:keepNext w:val="0"/>
              <w:keepLines w:val="0"/>
              <w:pageBreakBefore w:val="0"/>
              <w:tabs>
                <w:tab w:val="right" w:pos="8730"/>
              </w:tabs>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乙醇、已酸、二乙氨基乙醇、胺鲜脂等</w:t>
            </w:r>
          </w:p>
        </w:tc>
        <w:tc>
          <w:tcPr>
            <w:tcW w:w="738" w:type="pct"/>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b w:val="0"/>
                <w:bCs w:val="0"/>
                <w:color w:val="auto"/>
                <w:spacing w:val="0"/>
                <w:sz w:val="22"/>
                <w:szCs w:val="28"/>
                <w:highlight w:val="none"/>
                <w:vertAlign w:val="baseline"/>
                <w:lang w:val="en-US" w:eastAsia="zh-CN"/>
              </w:rPr>
            </w:pPr>
            <w:r>
              <w:rPr>
                <w:rFonts w:hint="eastAsia" w:ascii="宋体" w:hAnsi="宋体" w:eastAsia="宋体" w:cs="宋体"/>
                <w:b w:val="0"/>
                <w:bCs w:val="0"/>
                <w:color w:val="auto"/>
                <w:spacing w:val="0"/>
                <w:sz w:val="22"/>
                <w:szCs w:val="28"/>
                <w:highlight w:val="none"/>
                <w:vertAlign w:val="baseline"/>
                <w:lang w:val="en-US" w:eastAsia="zh-CN"/>
              </w:rPr>
              <w:t>N：34°40'22.794''E：111°34'40.921''</w:t>
            </w:r>
          </w:p>
        </w:tc>
        <w:tc>
          <w:tcPr>
            <w:tcW w:w="528"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lang w:eastAsia="zh-CN"/>
              </w:rPr>
              <w:t>否</w:t>
            </w:r>
          </w:p>
        </w:tc>
        <w:tc>
          <w:tcPr>
            <w:tcW w:w="425"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lang w:eastAsia="zh-CN"/>
              </w:rPr>
              <w:t>二类</w:t>
            </w:r>
          </w:p>
        </w:tc>
        <w:tc>
          <w:tcPr>
            <w:tcW w:w="397"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p>
        </w:tc>
        <w:tc>
          <w:tcPr>
            <w:tcW w:w="328"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5" w:hRule="atLeast"/>
          <w:jc w:val="center"/>
        </w:trPr>
        <w:tc>
          <w:tcPr>
            <w:tcW w:w="391"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p>
        </w:tc>
        <w:tc>
          <w:tcPr>
            <w:tcW w:w="524" w:type="pct"/>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b w:val="0"/>
                <w:bCs w:val="0"/>
                <w:color w:val="auto"/>
                <w:spacing w:val="0"/>
                <w:kern w:val="2"/>
                <w:sz w:val="22"/>
                <w:szCs w:val="28"/>
                <w:highlight w:val="none"/>
                <w:vertAlign w:val="baseline"/>
                <w:lang w:val="en-US" w:eastAsia="zh-CN" w:bidi="ar-SA"/>
              </w:rPr>
            </w:pPr>
            <w:r>
              <w:rPr>
                <w:rFonts w:hint="eastAsia" w:ascii="宋体" w:hAnsi="宋体" w:eastAsia="宋体" w:cs="宋体"/>
                <w:b w:val="0"/>
                <w:bCs w:val="0"/>
                <w:color w:val="auto"/>
                <w:spacing w:val="0"/>
                <w:sz w:val="22"/>
                <w:szCs w:val="28"/>
                <w:highlight w:val="none"/>
                <w:vertAlign w:val="baseline"/>
                <w:lang w:val="en-US" w:eastAsia="zh-CN"/>
              </w:rPr>
              <w:t>危废暂存间、污水处理站、事故池</w:t>
            </w:r>
          </w:p>
        </w:tc>
        <w:tc>
          <w:tcPr>
            <w:tcW w:w="711" w:type="pct"/>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color w:val="auto"/>
                <w:spacing w:val="0"/>
                <w:sz w:val="18"/>
                <w:szCs w:val="18"/>
                <w:highlight w:val="none"/>
                <w:u w:val="none"/>
                <w:lang w:val="en-US" w:eastAsia="zh-CN"/>
              </w:rPr>
            </w:pPr>
            <w:r>
              <w:rPr>
                <w:rFonts w:hint="eastAsia" w:ascii="宋体" w:hAnsi="宋体" w:eastAsia="宋体" w:cs="宋体"/>
                <w:b w:val="0"/>
                <w:bCs w:val="0"/>
                <w:color w:val="auto"/>
                <w:spacing w:val="0"/>
                <w:sz w:val="22"/>
                <w:szCs w:val="28"/>
                <w:highlight w:val="none"/>
                <w:vertAlign w:val="baseline"/>
                <w:lang w:val="en-US" w:eastAsia="zh-CN"/>
              </w:rPr>
              <w:t>危废暂存间、污水处理站、事故池</w:t>
            </w:r>
          </w:p>
        </w:tc>
        <w:tc>
          <w:tcPr>
            <w:tcW w:w="469"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lang w:val="en-US" w:eastAsia="zh-CN"/>
              </w:rPr>
              <w:t>/</w:t>
            </w:r>
          </w:p>
        </w:tc>
        <w:tc>
          <w:tcPr>
            <w:tcW w:w="483"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COD、总磷、总氮、盐分、固体悬浮物等</w:t>
            </w:r>
          </w:p>
        </w:tc>
        <w:tc>
          <w:tcPr>
            <w:tcW w:w="738" w:type="pct"/>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b w:val="0"/>
                <w:bCs w:val="0"/>
                <w:color w:val="auto"/>
                <w:spacing w:val="0"/>
                <w:sz w:val="22"/>
                <w:szCs w:val="28"/>
                <w:highlight w:val="none"/>
                <w:vertAlign w:val="baseline"/>
                <w:lang w:val="en-US" w:eastAsia="zh-CN"/>
              </w:rPr>
            </w:pPr>
            <w:r>
              <w:rPr>
                <w:rFonts w:hint="eastAsia" w:ascii="宋体" w:hAnsi="宋体" w:eastAsia="宋体" w:cs="宋体"/>
                <w:b w:val="0"/>
                <w:bCs w:val="0"/>
                <w:color w:val="auto"/>
                <w:spacing w:val="0"/>
                <w:sz w:val="22"/>
                <w:szCs w:val="28"/>
                <w:highlight w:val="none"/>
                <w:vertAlign w:val="baseline"/>
                <w:lang w:val="en-US" w:eastAsia="zh-CN"/>
              </w:rPr>
              <w:t>N：34°40'22.175''E：111°34'39.260''</w:t>
            </w:r>
          </w:p>
        </w:tc>
        <w:tc>
          <w:tcPr>
            <w:tcW w:w="528"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lang w:eastAsia="zh-CN"/>
              </w:rPr>
              <w:t>否</w:t>
            </w:r>
          </w:p>
        </w:tc>
        <w:tc>
          <w:tcPr>
            <w:tcW w:w="425"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lang w:eastAsia="zh-CN"/>
              </w:rPr>
              <w:t>二类</w:t>
            </w:r>
          </w:p>
        </w:tc>
        <w:tc>
          <w:tcPr>
            <w:tcW w:w="397"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p>
        </w:tc>
        <w:tc>
          <w:tcPr>
            <w:tcW w:w="328"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7" w:hRule="atLeast"/>
          <w:jc w:val="center"/>
        </w:trPr>
        <w:tc>
          <w:tcPr>
            <w:tcW w:w="391"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p>
        </w:tc>
        <w:tc>
          <w:tcPr>
            <w:tcW w:w="524" w:type="pct"/>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b w:val="0"/>
                <w:bCs w:val="0"/>
                <w:color w:val="auto"/>
                <w:spacing w:val="0"/>
                <w:kern w:val="2"/>
                <w:sz w:val="22"/>
                <w:szCs w:val="28"/>
                <w:highlight w:val="none"/>
                <w:vertAlign w:val="baseline"/>
                <w:lang w:val="en-US" w:eastAsia="zh-CN" w:bidi="ar-SA"/>
              </w:rPr>
            </w:pPr>
            <w:r>
              <w:rPr>
                <w:rFonts w:hint="eastAsia" w:ascii="宋体" w:hAnsi="宋体" w:eastAsia="宋体" w:cs="宋体"/>
                <w:b w:val="0"/>
                <w:bCs w:val="0"/>
                <w:color w:val="auto"/>
                <w:spacing w:val="0"/>
                <w:sz w:val="22"/>
                <w:szCs w:val="22"/>
                <w:highlight w:val="none"/>
                <w:u w:val="none"/>
              </w:rPr>
              <w:t>土壤背景监测点</w:t>
            </w:r>
          </w:p>
        </w:tc>
        <w:tc>
          <w:tcPr>
            <w:tcW w:w="711" w:type="pct"/>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color w:val="auto"/>
                <w:spacing w:val="0"/>
                <w:sz w:val="18"/>
                <w:szCs w:val="18"/>
                <w:highlight w:val="none"/>
                <w:u w:val="none"/>
                <w:lang w:val="en-US" w:eastAsia="zh-CN"/>
              </w:rPr>
            </w:pPr>
            <w:r>
              <w:rPr>
                <w:rFonts w:hint="eastAsia" w:ascii="宋体" w:hAnsi="宋体" w:eastAsia="宋体" w:cs="宋体"/>
                <w:b w:val="0"/>
                <w:bCs w:val="0"/>
                <w:color w:val="auto"/>
                <w:spacing w:val="0"/>
                <w:sz w:val="22"/>
                <w:szCs w:val="22"/>
                <w:highlight w:val="none"/>
                <w:u w:val="none"/>
              </w:rPr>
              <w:t>土壤背景监测点</w:t>
            </w:r>
          </w:p>
        </w:tc>
        <w:tc>
          <w:tcPr>
            <w:tcW w:w="469"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w:t>
            </w:r>
          </w:p>
        </w:tc>
        <w:tc>
          <w:tcPr>
            <w:tcW w:w="483"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w:t>
            </w:r>
          </w:p>
        </w:tc>
        <w:tc>
          <w:tcPr>
            <w:tcW w:w="738" w:type="pct"/>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b w:val="0"/>
                <w:bCs w:val="0"/>
                <w:color w:val="auto"/>
                <w:spacing w:val="0"/>
                <w:sz w:val="22"/>
                <w:szCs w:val="28"/>
                <w:highlight w:val="none"/>
                <w:vertAlign w:val="baseline"/>
                <w:lang w:val="en-US" w:eastAsia="zh-CN"/>
              </w:rPr>
            </w:pPr>
            <w:r>
              <w:rPr>
                <w:rFonts w:hint="eastAsia" w:ascii="宋体" w:hAnsi="宋体" w:eastAsia="宋体" w:cs="宋体"/>
                <w:b w:val="0"/>
                <w:bCs w:val="0"/>
                <w:color w:val="auto"/>
                <w:spacing w:val="0"/>
                <w:sz w:val="22"/>
                <w:szCs w:val="28"/>
                <w:highlight w:val="none"/>
                <w:vertAlign w:val="baseline"/>
                <w:lang w:val="en-US" w:eastAsia="zh-CN"/>
              </w:rPr>
              <w:t>N：34°40'29.687''E：111°34'47.448''</w:t>
            </w:r>
          </w:p>
        </w:tc>
        <w:tc>
          <w:tcPr>
            <w:tcW w:w="528"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lang w:eastAsia="zh-CN"/>
              </w:rPr>
              <w:t>否</w:t>
            </w:r>
          </w:p>
        </w:tc>
        <w:tc>
          <w:tcPr>
            <w:tcW w:w="425"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r>
              <w:rPr>
                <w:rFonts w:hint="eastAsia" w:ascii="宋体" w:hAnsi="宋体" w:eastAsia="宋体" w:cs="宋体"/>
                <w:color w:val="auto"/>
                <w:spacing w:val="0"/>
                <w:sz w:val="21"/>
                <w:szCs w:val="21"/>
                <w:highlight w:val="none"/>
                <w:u w:val="none"/>
                <w:lang w:eastAsia="zh-CN"/>
              </w:rPr>
              <w:t>二类</w:t>
            </w:r>
          </w:p>
        </w:tc>
        <w:tc>
          <w:tcPr>
            <w:tcW w:w="397"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rPr>
            </w:pPr>
          </w:p>
        </w:tc>
        <w:tc>
          <w:tcPr>
            <w:tcW w:w="328" w:type="pc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color w:val="auto"/>
                <w:spacing w:val="0"/>
                <w:sz w:val="21"/>
                <w:szCs w:val="21"/>
                <w:highlight w:val="none"/>
                <w:u w:val="none"/>
                <w:lang w:val="en-US" w:eastAsia="zh-CN"/>
              </w:rPr>
            </w:pPr>
            <w:r>
              <w:rPr>
                <w:rFonts w:hint="eastAsia" w:ascii="宋体" w:hAnsi="宋体" w:eastAsia="宋体" w:cs="宋体"/>
                <w:color w:val="auto"/>
                <w:spacing w:val="0"/>
                <w:sz w:val="21"/>
                <w:szCs w:val="21"/>
                <w:highlight w:val="none"/>
                <w:u w:val="none"/>
                <w:lang w:val="en-US" w:eastAsia="zh-CN"/>
              </w:rPr>
              <w:t>6#</w:t>
            </w:r>
          </w:p>
        </w:tc>
      </w:tr>
    </w:tbl>
    <w:p>
      <w:pPr>
        <w:rPr>
          <w:rFonts w:hint="eastAsia" w:ascii="宋体" w:hAnsi="宋体" w:eastAsia="宋体" w:cs="宋体"/>
          <w:color w:val="auto"/>
          <w:highlight w:val="none"/>
          <w:lang w:bidi="ar"/>
        </w:rPr>
      </w:pPr>
    </w:p>
    <w:p>
      <w:pPr>
        <w:widowControl w:val="0"/>
        <w:bidi w:val="0"/>
        <w:spacing w:line="520" w:lineRule="exact"/>
        <w:ind w:left="0" w:firstLine="0"/>
        <w:jc w:val="both"/>
        <w:outlineLvl w:val="0"/>
        <w:rPr>
          <w:rFonts w:hint="eastAsia" w:ascii="宋体" w:hAnsi="宋体" w:eastAsia="宋体" w:cs="宋体"/>
          <w:b/>
          <w:bCs/>
          <w:kern w:val="2"/>
          <w:sz w:val="32"/>
          <w:szCs w:val="32"/>
          <w:lang w:val="en-US" w:eastAsia="zh-CN" w:bidi="zh-CN"/>
        </w:rPr>
      </w:pPr>
      <w:bookmarkStart w:id="143" w:name="_Toc13590"/>
      <w:bookmarkStart w:id="144" w:name="_Toc1177"/>
      <w:bookmarkStart w:id="145" w:name="_Toc107924576"/>
      <w:bookmarkStart w:id="146" w:name="_Toc32252"/>
      <w:r>
        <w:rPr>
          <w:rFonts w:hint="eastAsia" w:ascii="宋体" w:hAnsi="宋体" w:eastAsia="宋体" w:cs="宋体"/>
          <w:b/>
          <w:bCs/>
          <w:kern w:val="2"/>
          <w:sz w:val="32"/>
          <w:szCs w:val="32"/>
          <w:lang w:val="en-US" w:eastAsia="zh-CN" w:bidi="zh-CN"/>
        </w:rPr>
        <w:t>5重点监测单元识别与分类</w:t>
      </w:r>
      <w:bookmarkEnd w:id="143"/>
      <w:bookmarkEnd w:id="144"/>
      <w:bookmarkEnd w:id="145"/>
      <w:bookmarkEnd w:id="146"/>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47" w:name="_Toc107924577"/>
      <w:bookmarkStart w:id="148" w:name="_Toc8453"/>
      <w:bookmarkStart w:id="149" w:name="_Toc8286"/>
      <w:bookmarkStart w:id="150" w:name="_Toc3321"/>
      <w:r>
        <w:rPr>
          <w:rFonts w:hint="eastAsia" w:ascii="宋体" w:hAnsi="宋体" w:eastAsia="宋体" w:cs="宋体"/>
          <w:b/>
          <w:bCs/>
          <w:kern w:val="2"/>
          <w:sz w:val="28"/>
          <w:szCs w:val="32"/>
          <w:lang w:val="en-US" w:eastAsia="zh-CN" w:bidi="ar-SA"/>
        </w:rPr>
        <w:t>5.1重点监测单元识别</w:t>
      </w:r>
      <w:bookmarkEnd w:id="147"/>
      <w:bookmarkEnd w:id="148"/>
      <w:bookmarkEnd w:id="149"/>
      <w:bookmarkEnd w:id="150"/>
    </w:p>
    <w:p>
      <w:pPr>
        <w:ind w:firstLine="584" w:firstLineChars="200"/>
        <w:rPr>
          <w:rFonts w:hint="eastAsia" w:ascii="宋体" w:hAnsi="宋体" w:eastAsia="宋体" w:cs="宋体"/>
          <w:snapToGrid/>
          <w:spacing w:val="6"/>
          <w:kern w:val="0"/>
          <w:sz w:val="28"/>
          <w:szCs w:val="24"/>
          <w:highlight w:val="none"/>
          <w:lang w:bidi="ar"/>
        </w:rPr>
      </w:pPr>
      <w:r>
        <w:rPr>
          <w:rFonts w:hint="eastAsia" w:ascii="宋体" w:hAnsi="宋体" w:eastAsia="宋体" w:cs="宋体"/>
          <w:snapToGrid/>
          <w:spacing w:val="6"/>
          <w:kern w:val="0"/>
          <w:sz w:val="28"/>
          <w:szCs w:val="24"/>
          <w:lang w:val="en-US" w:eastAsia="zh-CN" w:bidi="ar"/>
        </w:rPr>
        <w:t>根据企业实际生产情况结合资料搜集、现场踏勘和人员访谈的结果分析，为具有针对性的展开调查工作，以场地主要功能区为基础，将各区域主要特征总结。确定企业内有潜在土壤污染隐患的重点场所及重点设施设备为</w:t>
      </w:r>
      <w:r>
        <w:rPr>
          <w:rFonts w:hint="eastAsia" w:ascii="宋体" w:hAnsi="宋体" w:eastAsia="宋体" w:cs="宋体"/>
          <w:color w:val="auto"/>
          <w:kern w:val="0"/>
          <w:sz w:val="28"/>
          <w:szCs w:val="28"/>
          <w:highlight w:val="none"/>
          <w:lang w:eastAsia="zh-CN" w:bidi="ar"/>
        </w:rPr>
        <w:t>厂区研发楼、试验田、粉剂车间、仓库B、水剂车间、仓库A、合成车间、乳油车间、仓库C、仓库D、危废暂存间、污水处理站、事故池等为重点区域为重点区域。</w:t>
      </w:r>
      <w:r>
        <w:rPr>
          <w:rFonts w:hint="eastAsia" w:ascii="宋体" w:hAnsi="宋体" w:eastAsia="宋体" w:cs="宋体"/>
          <w:snapToGrid/>
          <w:spacing w:val="6"/>
          <w:kern w:val="0"/>
          <w:sz w:val="28"/>
          <w:szCs w:val="24"/>
          <w:highlight w:val="none"/>
          <w:lang w:bidi="ar"/>
        </w:rPr>
        <w:t>具体信息见表5-1。</w:t>
      </w:r>
    </w:p>
    <w:p>
      <w:pPr>
        <w:jc w:val="center"/>
        <w:rPr>
          <w:rFonts w:hint="eastAsia" w:ascii="宋体" w:hAnsi="宋体" w:eastAsia="宋体" w:cs="宋体"/>
          <w:b/>
          <w:bCs/>
          <w:color w:val="auto"/>
          <w:kern w:val="0"/>
          <w:sz w:val="28"/>
          <w:szCs w:val="28"/>
          <w:highlight w:val="none"/>
          <w:lang w:eastAsia="zh-CN" w:bidi="ar"/>
        </w:rPr>
      </w:pPr>
    </w:p>
    <w:p>
      <w:pPr>
        <w:jc w:val="center"/>
        <w:rPr>
          <w:rFonts w:hint="eastAsia" w:ascii="宋体" w:hAnsi="宋体" w:eastAsia="宋体" w:cs="宋体"/>
          <w:b/>
          <w:bCs/>
          <w:color w:val="auto"/>
          <w:kern w:val="0"/>
          <w:sz w:val="28"/>
          <w:szCs w:val="28"/>
          <w:highlight w:val="none"/>
          <w:lang w:eastAsia="zh-CN" w:bidi="ar"/>
        </w:rPr>
      </w:pPr>
      <w:r>
        <w:rPr>
          <w:rFonts w:hint="eastAsia" w:ascii="宋体" w:hAnsi="宋体" w:eastAsia="宋体" w:cs="宋体"/>
          <w:b/>
          <w:bCs/>
          <w:color w:val="auto"/>
          <w:kern w:val="0"/>
          <w:sz w:val="28"/>
          <w:szCs w:val="28"/>
          <w:highlight w:val="none"/>
          <w:lang w:eastAsia="zh-CN" w:bidi="ar"/>
        </w:rPr>
        <w:t>表5-1重点监测单元及重点区域信息表</w:t>
      </w:r>
    </w:p>
    <w:tbl>
      <w:tblPr>
        <w:tblStyle w:val="20"/>
        <w:tblW w:w="8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7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313" w:type="dxa"/>
            <w:vAlign w:val="center"/>
          </w:tcPr>
          <w:p>
            <w:pPr>
              <w:numPr>
                <w:ilvl w:val="0"/>
                <w:numId w:val="0"/>
              </w:numPr>
              <w:ind w:left="0" w:leftChars="0" w:firstLine="0" w:firstLineChars="0"/>
              <w:jc w:val="center"/>
              <w:rPr>
                <w:rFonts w:hint="eastAsia" w:ascii="宋体" w:hAnsi="宋体" w:eastAsia="宋体" w:cs="宋体"/>
                <w:b/>
                <w:bCs/>
                <w:color w:val="auto"/>
                <w:sz w:val="24"/>
                <w:szCs w:val="32"/>
                <w:vertAlign w:val="baseline"/>
                <w:lang w:val="en-US" w:eastAsia="zh-CN"/>
              </w:rPr>
            </w:pPr>
            <w:r>
              <w:rPr>
                <w:rFonts w:hint="eastAsia" w:ascii="宋体" w:hAnsi="宋体" w:eastAsia="宋体" w:cs="宋体"/>
                <w:b/>
                <w:bCs/>
                <w:color w:val="auto"/>
                <w:sz w:val="24"/>
                <w:szCs w:val="32"/>
                <w:vertAlign w:val="baseline"/>
                <w:lang w:val="en-US" w:eastAsia="zh-CN"/>
              </w:rPr>
              <w:t>编号</w:t>
            </w:r>
          </w:p>
        </w:tc>
        <w:tc>
          <w:tcPr>
            <w:tcW w:w="7526" w:type="dxa"/>
            <w:vAlign w:val="center"/>
          </w:tcPr>
          <w:p>
            <w:pPr>
              <w:numPr>
                <w:ilvl w:val="0"/>
                <w:numId w:val="0"/>
              </w:numPr>
              <w:ind w:left="0" w:leftChars="0" w:firstLine="0" w:firstLineChars="0"/>
              <w:jc w:val="center"/>
              <w:rPr>
                <w:rFonts w:hint="eastAsia" w:ascii="宋体" w:hAnsi="宋体" w:eastAsia="宋体" w:cs="宋体"/>
                <w:b/>
                <w:bCs/>
                <w:color w:val="auto"/>
                <w:sz w:val="24"/>
                <w:szCs w:val="32"/>
                <w:vertAlign w:val="baseline"/>
                <w:lang w:val="en-US" w:eastAsia="zh-CN"/>
              </w:rPr>
            </w:pPr>
            <w:r>
              <w:rPr>
                <w:rFonts w:hint="eastAsia" w:ascii="宋体" w:hAnsi="宋体" w:eastAsia="宋体" w:cs="宋体"/>
                <w:b/>
                <w:bCs/>
                <w:color w:val="auto"/>
                <w:sz w:val="24"/>
                <w:szCs w:val="32"/>
                <w:vertAlign w:val="baseline"/>
                <w:lang w:val="en-US" w:eastAsia="zh-CN"/>
              </w:rPr>
              <w:t>点位名称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313" w:type="dxa"/>
            <w:vAlign w:val="center"/>
          </w:tcPr>
          <w:p>
            <w:pPr>
              <w:numPr>
                <w:ilvl w:val="0"/>
                <w:numId w:val="0"/>
              </w:numPr>
              <w:ind w:left="0" w:leftChars="0" w:firstLine="0" w:firstLineChars="0"/>
              <w:jc w:val="center"/>
              <w:rPr>
                <w:rFonts w:hint="eastAsia" w:ascii="宋体" w:hAnsi="宋体" w:eastAsia="宋体" w:cs="宋体"/>
                <w:b w:val="0"/>
                <w:bCs w:val="0"/>
                <w:color w:val="auto"/>
                <w:kern w:val="2"/>
                <w:sz w:val="24"/>
                <w:szCs w:val="32"/>
                <w:vertAlign w:val="baseline"/>
                <w:lang w:val="en-US" w:eastAsia="zh-CN" w:bidi="ar-SA"/>
              </w:rPr>
            </w:pPr>
            <w:r>
              <w:rPr>
                <w:rFonts w:hint="eastAsia" w:ascii="宋体" w:hAnsi="宋体" w:eastAsia="宋体" w:cs="宋体"/>
                <w:b w:val="0"/>
                <w:bCs w:val="0"/>
                <w:color w:val="auto"/>
                <w:sz w:val="24"/>
                <w:szCs w:val="32"/>
                <w:vertAlign w:val="baseline"/>
                <w:lang w:val="en-US" w:eastAsia="zh-CN"/>
              </w:rPr>
              <w:t>1#</w:t>
            </w:r>
          </w:p>
        </w:tc>
        <w:tc>
          <w:tcPr>
            <w:tcW w:w="7526" w:type="dxa"/>
            <w:vAlign w:val="center"/>
          </w:tcPr>
          <w:p>
            <w:pPr>
              <w:numPr>
                <w:ilvl w:val="0"/>
                <w:numId w:val="0"/>
              </w:numPr>
              <w:ind w:left="0" w:leftChars="0" w:firstLine="0" w:firstLineChars="0"/>
              <w:jc w:val="center"/>
              <w:rPr>
                <w:rFonts w:hint="eastAsia" w:ascii="宋体" w:hAnsi="宋体" w:eastAsia="宋体" w:cs="宋体"/>
                <w:b w:val="0"/>
                <w:bCs w:val="0"/>
                <w:color w:val="auto"/>
                <w:kern w:val="2"/>
                <w:sz w:val="24"/>
                <w:szCs w:val="32"/>
                <w:vertAlign w:val="baseline"/>
                <w:lang w:val="en-US" w:eastAsia="zh-CN" w:bidi="ar-SA"/>
              </w:rPr>
            </w:pPr>
            <w:r>
              <w:rPr>
                <w:rFonts w:hint="eastAsia" w:ascii="宋体" w:hAnsi="宋体" w:eastAsia="宋体" w:cs="宋体"/>
                <w:b w:val="0"/>
                <w:bCs w:val="0"/>
                <w:color w:val="auto"/>
                <w:kern w:val="2"/>
                <w:sz w:val="24"/>
                <w:szCs w:val="32"/>
                <w:vertAlign w:val="baseline"/>
                <w:lang w:val="en-US" w:eastAsia="zh-CN" w:bidi="ar-SA"/>
              </w:rPr>
              <w:t>研发楼、试验田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313"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2#</w:t>
            </w:r>
          </w:p>
        </w:tc>
        <w:tc>
          <w:tcPr>
            <w:tcW w:w="7526"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粉剂车间、仓库B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313"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3#</w:t>
            </w:r>
          </w:p>
        </w:tc>
        <w:tc>
          <w:tcPr>
            <w:tcW w:w="7526"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水剂车间、仓库A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313"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4#</w:t>
            </w:r>
          </w:p>
        </w:tc>
        <w:tc>
          <w:tcPr>
            <w:tcW w:w="7526"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合成车间、乳油车间、仓库C、仓库D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1313"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5#</w:t>
            </w:r>
          </w:p>
        </w:tc>
        <w:tc>
          <w:tcPr>
            <w:tcW w:w="7526"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危废暂存间、污水处理站、事故池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313"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6#</w:t>
            </w:r>
          </w:p>
        </w:tc>
        <w:tc>
          <w:tcPr>
            <w:tcW w:w="7526" w:type="dxa"/>
            <w:vAlign w:val="center"/>
          </w:tcPr>
          <w:p>
            <w:pPr>
              <w:numPr>
                <w:ilvl w:val="0"/>
                <w:numId w:val="0"/>
              </w:numPr>
              <w:ind w:left="0" w:leftChars="0" w:firstLine="0" w:firstLineChars="0"/>
              <w:jc w:val="center"/>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000000" w:themeColor="text1"/>
                <w:sz w:val="24"/>
                <w:szCs w:val="24"/>
                <w:u w:val="none"/>
                <w14:textFill>
                  <w14:solidFill>
                    <w14:schemeClr w14:val="tx1"/>
                  </w14:solidFill>
                </w14:textFill>
              </w:rPr>
              <w:t>土壤背景</w:t>
            </w:r>
            <w:r>
              <w:rPr>
                <w:rFonts w:hint="eastAsia" w:ascii="宋体" w:hAnsi="宋体" w:eastAsia="宋体" w:cs="宋体"/>
                <w:b w:val="0"/>
                <w:bCs w:val="0"/>
                <w:color w:val="auto"/>
                <w:sz w:val="24"/>
                <w:szCs w:val="24"/>
                <w:u w:val="none"/>
              </w:rPr>
              <w:t>监测点</w:t>
            </w:r>
          </w:p>
        </w:tc>
      </w:tr>
    </w:tbl>
    <w:p>
      <w:pPr>
        <w:pStyle w:val="26"/>
        <w:pageBreakBefore w:val="0"/>
        <w:numPr>
          <w:ilvl w:val="0"/>
          <w:numId w:val="0"/>
        </w:numPr>
        <w:kinsoku/>
        <w:wordWrap/>
        <w:overflowPunct/>
        <w:topLinePunct w:val="0"/>
        <w:autoSpaceDE/>
        <w:autoSpaceDN/>
        <w:bidi w:val="0"/>
        <w:spacing w:line="360" w:lineRule="auto"/>
        <w:ind w:firstLine="560" w:firstLineChars="200"/>
        <w:textAlignment w:val="auto"/>
        <w:rPr>
          <w:rFonts w:hint="eastAsia" w:ascii="宋体" w:hAnsi="宋体" w:eastAsia="宋体" w:cs="宋体"/>
          <w:b/>
          <w:bCs/>
          <w:color w:val="auto"/>
          <w:sz w:val="28"/>
          <w:szCs w:val="28"/>
          <w:highlight w:val="none"/>
          <w:u w:val="none"/>
          <w:lang w:val="en-US" w:eastAsia="zh-CN"/>
        </w:rPr>
      </w:pPr>
      <w:r>
        <w:rPr>
          <w:rFonts w:hint="eastAsia" w:ascii="宋体" w:hAnsi="宋体" w:eastAsia="宋体" w:cs="宋体"/>
          <w:color w:val="auto"/>
          <w:sz w:val="28"/>
          <w:szCs w:val="28"/>
          <w:highlight w:val="none"/>
          <w:u w:val="none"/>
          <w:lang w:eastAsia="zh-CN"/>
        </w:rPr>
        <w:t>土壤检测</w:t>
      </w:r>
      <w:r>
        <w:rPr>
          <w:rFonts w:hint="eastAsia" w:ascii="宋体" w:hAnsi="宋体" w:eastAsia="宋体" w:cs="宋体"/>
          <w:color w:val="auto"/>
          <w:sz w:val="28"/>
          <w:szCs w:val="28"/>
          <w:highlight w:val="none"/>
          <w:u w:val="none"/>
        </w:rPr>
        <w:t>因子：</w:t>
      </w:r>
      <w:r>
        <w:rPr>
          <w:rFonts w:hint="eastAsia" w:ascii="宋体" w:hAnsi="宋体" w:eastAsia="宋体" w:cs="宋体"/>
          <w:sz w:val="28"/>
          <w:szCs w:val="28"/>
          <w:u w:val="none"/>
        </w:rPr>
        <w:t>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α]蒽、苯并[α]芘、苯并[b]荧蒽、苯并[k]荧蒽、䓛、二苯并[α、h]蒽、茚并[1,2,3-cd]芘、萘</w:t>
      </w:r>
      <w:r>
        <w:rPr>
          <w:rFonts w:hint="eastAsia" w:ascii="宋体" w:hAnsi="宋体" w:eastAsia="宋体" w:cs="宋体"/>
          <w:sz w:val="28"/>
          <w:szCs w:val="28"/>
          <w:u w:val="none"/>
          <w:lang w:val="en-US" w:eastAsia="zh-CN"/>
        </w:rPr>
        <w:t>45项；特征污染物：pH</w:t>
      </w:r>
      <w:r>
        <w:rPr>
          <w:rFonts w:hint="eastAsia" w:ascii="宋体" w:hAnsi="宋体" w:eastAsia="宋体" w:cs="宋体"/>
          <w:color w:val="auto"/>
          <w:sz w:val="28"/>
          <w:szCs w:val="28"/>
          <w:highlight w:val="none"/>
          <w:u w:val="none"/>
          <w:lang w:eastAsia="zh-CN"/>
        </w:rPr>
        <w:t>。</w:t>
      </w:r>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51" w:name="_Toc3020"/>
      <w:bookmarkStart w:id="152" w:name="_Toc31099"/>
      <w:bookmarkStart w:id="153" w:name="_Toc107924578"/>
      <w:bookmarkStart w:id="154" w:name="_Toc7556"/>
      <w:bookmarkStart w:id="155" w:name="_Toc6025_WPSOffice_Level2"/>
      <w:bookmarkStart w:id="156" w:name="_Toc857_WPSOffice_Level2"/>
      <w:bookmarkStart w:id="157" w:name="_Toc15018"/>
      <w:bookmarkStart w:id="158" w:name="_Toc12836"/>
      <w:bookmarkStart w:id="159" w:name="_Toc13293_WPSOffice_Level1"/>
      <w:r>
        <w:rPr>
          <w:rFonts w:hint="eastAsia" w:ascii="宋体" w:hAnsi="宋体" w:eastAsia="宋体" w:cs="宋体"/>
          <w:b/>
          <w:bCs/>
          <w:kern w:val="2"/>
          <w:sz w:val="28"/>
          <w:szCs w:val="32"/>
          <w:lang w:val="en-US" w:eastAsia="zh-CN" w:bidi="ar-SA"/>
        </w:rPr>
        <w:t>5.2识别/分类结果及原因</w:t>
      </w:r>
      <w:bookmarkEnd w:id="151"/>
      <w:bookmarkEnd w:id="152"/>
      <w:bookmarkEnd w:id="153"/>
      <w:bookmarkEnd w:id="154"/>
    </w:p>
    <w:p>
      <w:pPr>
        <w:bidi w:val="0"/>
        <w:spacing w:line="520" w:lineRule="exact"/>
        <w:jc w:val="left"/>
        <w:outlineLvl w:val="2"/>
        <w:rPr>
          <w:rFonts w:hint="eastAsia" w:ascii="宋体" w:hAnsi="宋体" w:eastAsia="宋体" w:cs="宋体"/>
          <w:b/>
          <w:color w:val="auto"/>
          <w:kern w:val="2"/>
          <w:sz w:val="28"/>
          <w:szCs w:val="28"/>
          <w:highlight w:val="none"/>
          <w:lang w:val="en-US" w:eastAsia="zh-CN" w:bidi="ar-SA"/>
        </w:rPr>
      </w:pPr>
      <w:bookmarkStart w:id="160" w:name="_Toc107924579"/>
      <w:bookmarkStart w:id="161" w:name="_Toc7870"/>
      <w:bookmarkStart w:id="162" w:name="_Toc23988"/>
      <w:r>
        <w:rPr>
          <w:rFonts w:hint="eastAsia" w:ascii="宋体" w:hAnsi="宋体" w:eastAsia="宋体" w:cs="宋体"/>
          <w:b/>
          <w:color w:val="auto"/>
          <w:kern w:val="2"/>
          <w:sz w:val="28"/>
          <w:szCs w:val="28"/>
          <w:highlight w:val="none"/>
          <w:lang w:val="en-US" w:eastAsia="zh-CN" w:bidi="ar-SA"/>
        </w:rPr>
        <w:t>5.2.1识别原因</w:t>
      </w:r>
      <w:bookmarkEnd w:id="160"/>
      <w:bookmarkEnd w:id="161"/>
      <w:bookmarkEnd w:id="162"/>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按照《在产企业土壤及地下水自行监测技术指南》（HJ1209-2021）的相关规定，本次地下水自行监测对重点设施及重点区域的划分将遵循以下几个方面开展：</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（1）重点设施（一般包括但不仅限于）</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a）涉及有毒有害物质的生产区或生产设施；</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b）涉及有毒有害物质的原辅材料、产品、固体废物等的贮存或堆放区；</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c）涉及有毒有害物质的原辅材料、产品、固体废物等的转运、传送或装卸区；</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d）贮存或运输有毒有害物质的各类罐槽或管线；</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e）三废（废气、废水、固体废物）处理处置或排放区。</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（2）重点区域：重点设施分布较为密集的区域</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依据《在产企业土壤及地下水自行监测技术指南》（HJ1209-2021）、《建设用地土壤污染状况调查技术导则》（HJ25.1-2019）、《建设用地土壤环境调查评估技术指南》等要求，结合土壤及地下水隐患排查结果、现场踏勘和人员访谈，采用专业判断法进行土壤监测点布设，每个重点设施周边布设1-2个土壤监测点，每个重点监测单元布设最少1个土壤监测点，具体数量可根据设施大小或区域内设施数量等实际情况进行适当调整。</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由于企业生产性质，为防止造成二次污染，本次布点均在厂区靠近重点区域绿化带无硬化地面。</w:t>
      </w:r>
    </w:p>
    <w:p>
      <w:pPr>
        <w:keepNext/>
        <w:keepLines/>
        <w:widowControl w:val="0"/>
        <w:spacing w:line="520" w:lineRule="exact"/>
        <w:ind w:firstLine="562" w:firstLineChars="200"/>
        <w:jc w:val="both"/>
        <w:outlineLvl w:val="2"/>
        <w:rPr>
          <w:rFonts w:hint="eastAsia" w:ascii="宋体" w:hAnsi="宋体" w:eastAsia="宋体" w:cs="宋体"/>
          <w:b/>
          <w:color w:val="auto"/>
          <w:kern w:val="2"/>
          <w:sz w:val="28"/>
          <w:szCs w:val="28"/>
          <w:highlight w:val="none"/>
          <w:lang w:val="en-US" w:eastAsia="zh-CN" w:bidi="ar-SA"/>
        </w:rPr>
      </w:pPr>
      <w:bookmarkStart w:id="163" w:name="_Toc12031"/>
      <w:bookmarkStart w:id="164" w:name="_Toc107924580"/>
      <w:bookmarkStart w:id="165" w:name="_Toc24841"/>
      <w:r>
        <w:rPr>
          <w:rFonts w:hint="eastAsia" w:ascii="宋体" w:hAnsi="宋体" w:eastAsia="宋体" w:cs="宋体"/>
          <w:b/>
          <w:color w:val="auto"/>
          <w:kern w:val="2"/>
          <w:sz w:val="28"/>
          <w:szCs w:val="28"/>
          <w:highlight w:val="none"/>
          <w:lang w:val="en-US" w:eastAsia="zh-CN" w:bidi="ar-SA"/>
        </w:rPr>
        <w:t>5.2.2污染物潜在迁移途径</w:t>
      </w:r>
      <w:bookmarkEnd w:id="163"/>
      <w:bookmarkEnd w:id="164"/>
      <w:bookmarkEnd w:id="165"/>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根据水文地质资料和现场踏勘等工作分析，本场地土壤若存在污染物，其污染扩散途径包括为：</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（1）污染物垂直向下迁移：落地的污染物在外部降雨或自身重力垂直向下迁移，在迁移过程中吸附在土壤介质表面或溶解于降水进而影响土壤。</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（2）污染物水平迁移：落地污染物随雨水、风力等的水平迁移扩散。随雨水等地表径流扩散主要和场地地形有关，从场地地势高部分向地势低处扩散。</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（3）污染物地下迁移：污染物渗透进入地下，随地下水径流向下游迁移，影响土壤。</w:t>
      </w:r>
    </w:p>
    <w:p>
      <w:pPr>
        <w:keepNext/>
        <w:keepLines/>
        <w:widowControl w:val="0"/>
        <w:spacing w:line="520" w:lineRule="exact"/>
        <w:jc w:val="both"/>
        <w:outlineLvl w:val="2"/>
        <w:rPr>
          <w:rFonts w:hint="eastAsia" w:ascii="宋体" w:hAnsi="宋体" w:eastAsia="宋体" w:cs="宋体"/>
          <w:b/>
          <w:color w:val="auto"/>
          <w:kern w:val="2"/>
          <w:sz w:val="28"/>
          <w:szCs w:val="28"/>
          <w:highlight w:val="none"/>
          <w:lang w:val="en-US" w:eastAsia="zh-CN" w:bidi="ar-SA"/>
        </w:rPr>
      </w:pPr>
      <w:bookmarkStart w:id="166" w:name="_Toc107924581"/>
      <w:bookmarkStart w:id="167" w:name="_Toc11150"/>
      <w:bookmarkStart w:id="168" w:name="_Toc2810"/>
      <w:r>
        <w:rPr>
          <w:rFonts w:hint="eastAsia" w:ascii="宋体" w:hAnsi="宋体" w:eastAsia="宋体" w:cs="宋体"/>
          <w:b/>
          <w:color w:val="auto"/>
          <w:kern w:val="2"/>
          <w:sz w:val="28"/>
          <w:szCs w:val="28"/>
          <w:highlight w:val="none"/>
          <w:lang w:val="en-US" w:eastAsia="zh-CN" w:bidi="ar-SA"/>
        </w:rPr>
        <w:t>5.2.3重点监测单元分类结果</w:t>
      </w:r>
      <w:bookmarkEnd w:id="166"/>
      <w:bookmarkEnd w:id="167"/>
      <w:bookmarkEnd w:id="168"/>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根据本项目土壤隐患排查结果，参照《工业企业土壤和地下水自行监测技术指南（试行）》HJ1209-2021，该项目确实具有土壤污染隐患的重点场所或重点设施设备，应进行重点监测单元开展土壤和地下水监测工作，根据“5.1重点单元情况”可知，确定</w:t>
      </w:r>
      <w:r>
        <w:rPr>
          <w:rFonts w:hint="eastAsia" w:ascii="宋体" w:hAnsi="宋体" w:eastAsia="宋体" w:cs="宋体"/>
          <w:color w:val="auto"/>
          <w:kern w:val="0"/>
          <w:sz w:val="28"/>
          <w:szCs w:val="28"/>
          <w:highlight w:val="none"/>
          <w:lang w:eastAsia="zh-CN" w:bidi="ar"/>
        </w:rPr>
        <w:t>厂区研发楼、试验田、粉剂车间、仓库B、水剂车间、仓库A、合成车间、乳油车间、仓库C、仓库D、危废暂存间、污水处理站、事故池等为重点区域重点区域</w:t>
      </w:r>
      <w:r>
        <w:rPr>
          <w:rFonts w:hint="eastAsia" w:ascii="宋体" w:hAnsi="宋体" w:eastAsia="宋体" w:cs="宋体"/>
          <w:color w:val="auto"/>
          <w:sz w:val="28"/>
          <w:highlight w:val="none"/>
          <w:lang w:val="en-US" w:eastAsia="zh-CN"/>
        </w:rPr>
        <w:t>为本次的重点监测单元。</w:t>
      </w:r>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69" w:name="_Toc29902"/>
      <w:bookmarkStart w:id="170" w:name="_Toc25993"/>
      <w:bookmarkStart w:id="171" w:name="_Toc1154"/>
      <w:bookmarkStart w:id="172" w:name="_Toc107924582"/>
      <w:r>
        <w:rPr>
          <w:rFonts w:hint="eastAsia" w:ascii="宋体" w:hAnsi="宋体" w:eastAsia="宋体" w:cs="宋体"/>
          <w:b/>
          <w:bCs/>
          <w:kern w:val="2"/>
          <w:sz w:val="28"/>
          <w:szCs w:val="32"/>
          <w:lang w:val="en-US" w:eastAsia="zh-CN" w:bidi="ar-SA"/>
        </w:rPr>
        <w:t>5.3关注污染物</w:t>
      </w:r>
      <w:bookmarkEnd w:id="169"/>
      <w:bookmarkEnd w:id="170"/>
      <w:bookmarkEnd w:id="171"/>
      <w:bookmarkEnd w:id="172"/>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重点监测单元及关注污染物见表5-3。</w:t>
      </w:r>
    </w:p>
    <w:p>
      <w:pPr>
        <w:bidi w:val="0"/>
        <w:spacing w:line="520" w:lineRule="exact"/>
        <w:ind w:firstLine="562" w:firstLineChars="200"/>
        <w:jc w:val="center"/>
        <w:rPr>
          <w:rFonts w:hint="eastAsia" w:ascii="宋体" w:hAnsi="宋体" w:eastAsia="宋体" w:cs="宋体"/>
          <w:b/>
          <w:bCs/>
          <w:color w:val="auto"/>
          <w:sz w:val="28"/>
          <w:highlight w:val="none"/>
          <w:lang w:val="en-US" w:eastAsia="zh-CN"/>
        </w:rPr>
      </w:pPr>
      <w:r>
        <w:rPr>
          <w:rFonts w:hint="eastAsia" w:ascii="宋体" w:hAnsi="宋体" w:eastAsia="宋体" w:cs="宋体"/>
          <w:b/>
          <w:bCs/>
          <w:color w:val="auto"/>
          <w:sz w:val="28"/>
          <w:highlight w:val="none"/>
          <w:lang w:val="en-US" w:eastAsia="zh-CN"/>
        </w:rPr>
        <w:t>表5-3 重点监测单元及关注污染物</w:t>
      </w:r>
    </w:p>
    <w:tbl>
      <w:tblPr>
        <w:tblStyle w:val="19"/>
        <w:tblW w:w="51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7"/>
        <w:gridCol w:w="1879"/>
        <w:gridCol w:w="1929"/>
        <w:gridCol w:w="2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311" w:type="pct"/>
            <w:vAlign w:val="center"/>
          </w:tcPr>
          <w:p>
            <w:pPr>
              <w:spacing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潜在污染物区域名称</w:t>
            </w:r>
          </w:p>
        </w:tc>
        <w:tc>
          <w:tcPr>
            <w:tcW w:w="1028" w:type="pct"/>
            <w:vAlign w:val="center"/>
          </w:tcPr>
          <w:p>
            <w:pPr>
              <w:spacing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污染源</w:t>
            </w:r>
          </w:p>
        </w:tc>
        <w:tc>
          <w:tcPr>
            <w:tcW w:w="1055" w:type="pct"/>
            <w:vAlign w:val="center"/>
          </w:tcPr>
          <w:p>
            <w:pPr>
              <w:spacing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可能造成的污染</w:t>
            </w:r>
          </w:p>
        </w:tc>
        <w:tc>
          <w:tcPr>
            <w:tcW w:w="1604" w:type="pct"/>
            <w:vAlign w:val="center"/>
          </w:tcPr>
          <w:p>
            <w:pPr>
              <w:spacing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可能会对土壤造成风险的污染物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311" w:type="pct"/>
            <w:vAlign w:val="center"/>
          </w:tcPr>
          <w:p>
            <w:pPr>
              <w:numPr>
                <w:ilvl w:val="0"/>
                <w:numId w:val="0"/>
              </w:numPr>
              <w:spacing w:line="24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kern w:val="2"/>
                <w:sz w:val="24"/>
                <w:szCs w:val="24"/>
                <w:highlight w:val="none"/>
                <w:vertAlign w:val="baseline"/>
                <w:lang w:val="en-US" w:eastAsia="zh-CN" w:bidi="ar-SA"/>
              </w:rPr>
              <w:t>消防水池、循环水池</w:t>
            </w:r>
          </w:p>
        </w:tc>
        <w:tc>
          <w:tcPr>
            <w:tcW w:w="1028"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kern w:val="2"/>
                <w:sz w:val="24"/>
                <w:szCs w:val="24"/>
                <w:highlight w:val="none"/>
                <w:vertAlign w:val="baseline"/>
                <w:lang w:val="en-US" w:eastAsia="zh-CN" w:bidi="ar-SA"/>
              </w:rPr>
              <w:t>消防水池、循环水池</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sz w:val="24"/>
                <w:szCs w:val="24"/>
                <w:highlight w:val="none"/>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1" w:type="pct"/>
            <w:vAlign w:val="center"/>
          </w:tcPr>
          <w:p>
            <w:pPr>
              <w:numPr>
                <w:ilvl w:val="0"/>
                <w:numId w:val="0"/>
              </w:numPr>
              <w:spacing w:line="24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vertAlign w:val="baseline"/>
                <w:lang w:val="en-US" w:eastAsia="zh-CN"/>
              </w:rPr>
              <w:t>锅炉房、调节池</w:t>
            </w:r>
          </w:p>
        </w:tc>
        <w:tc>
          <w:tcPr>
            <w:tcW w:w="1028"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vertAlign w:val="baseline"/>
                <w:lang w:val="en-US" w:eastAsia="zh-CN"/>
              </w:rPr>
              <w:t>锅炉房、调节池</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颗粒物、二氧化硫、氮氧化物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11" w:type="pct"/>
            <w:vAlign w:val="center"/>
          </w:tcPr>
          <w:p>
            <w:pPr>
              <w:numPr>
                <w:ilvl w:val="0"/>
                <w:numId w:val="0"/>
              </w:numPr>
              <w:spacing w:line="24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vertAlign w:val="baseline"/>
                <w:lang w:val="en-US" w:eastAsia="zh-CN"/>
              </w:rPr>
              <w:t>事故水池</w:t>
            </w:r>
          </w:p>
        </w:tc>
        <w:tc>
          <w:tcPr>
            <w:tcW w:w="1028"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vertAlign w:val="baseline"/>
                <w:lang w:val="en-US" w:eastAsia="zh-CN"/>
              </w:rPr>
              <w:t>事故水池</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PH、化学需氧量、氨氮、总磷、总氮、氟化物等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311" w:type="pct"/>
            <w:vAlign w:val="center"/>
          </w:tcPr>
          <w:p>
            <w:pPr>
              <w:numPr>
                <w:ilvl w:val="0"/>
                <w:numId w:val="0"/>
              </w:numPr>
              <w:spacing w:line="24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vertAlign w:val="baseline"/>
                <w:lang w:val="en-US" w:eastAsia="zh-CN"/>
              </w:rPr>
              <w:t>主装置区、RCO</w:t>
            </w:r>
          </w:p>
        </w:tc>
        <w:tc>
          <w:tcPr>
            <w:tcW w:w="1028"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vertAlign w:val="baseline"/>
                <w:lang w:val="en-US" w:eastAsia="zh-CN"/>
              </w:rPr>
              <w:t>主装置区、RCO</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311" w:type="pct"/>
            <w:vAlign w:val="center"/>
          </w:tcPr>
          <w:p>
            <w:pPr>
              <w:numPr>
                <w:ilvl w:val="0"/>
                <w:numId w:val="0"/>
              </w:numPr>
              <w:spacing w:line="24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vertAlign w:val="baseline"/>
                <w:lang w:val="en-US" w:eastAsia="zh-CN"/>
              </w:rPr>
              <w:t>储罐区、装载区</w:t>
            </w:r>
          </w:p>
        </w:tc>
        <w:tc>
          <w:tcPr>
            <w:tcW w:w="1028"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vertAlign w:val="baseline"/>
                <w:lang w:val="en-US" w:eastAsia="zh-CN"/>
              </w:rPr>
              <w:t>储罐区、装载区</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311" w:type="pct"/>
            <w:vAlign w:val="center"/>
          </w:tcPr>
          <w:p>
            <w:pPr>
              <w:numPr>
                <w:ilvl w:val="0"/>
                <w:numId w:val="0"/>
              </w:numPr>
              <w:spacing w:line="240" w:lineRule="auto"/>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u w:val="none"/>
              </w:rPr>
              <w:t>土壤背景监测点</w:t>
            </w:r>
          </w:p>
        </w:tc>
        <w:tc>
          <w:tcPr>
            <w:tcW w:w="1028" w:type="pct"/>
            <w:vAlign w:val="center"/>
          </w:tcPr>
          <w:p>
            <w:pPr>
              <w:numPr>
                <w:ilvl w:val="0"/>
                <w:numId w:val="0"/>
              </w:numPr>
              <w:spacing w:line="240" w:lineRule="auto"/>
              <w:ind w:left="0" w:leftChars="0" w:firstLine="0" w:firstLineChars="0"/>
              <w:jc w:val="center"/>
              <w:rPr>
                <w:rFonts w:hint="eastAsia" w:ascii="宋体" w:hAnsi="宋体" w:eastAsia="宋体" w:cs="宋体"/>
                <w:b w:val="0"/>
                <w:bCs w:val="0"/>
                <w:color w:val="auto"/>
                <w:kern w:val="2"/>
                <w:sz w:val="24"/>
                <w:szCs w:val="24"/>
                <w:highlight w:val="none"/>
                <w:vertAlign w:val="baseline"/>
                <w:lang w:val="en-US" w:eastAsia="zh-CN" w:bidi="ar-SA"/>
              </w:rPr>
            </w:pPr>
            <w:r>
              <w:rPr>
                <w:rFonts w:hint="eastAsia" w:ascii="宋体" w:hAnsi="宋体" w:eastAsia="宋体" w:cs="宋体"/>
                <w:b w:val="0"/>
                <w:bCs w:val="0"/>
                <w:color w:val="auto"/>
                <w:sz w:val="24"/>
                <w:szCs w:val="24"/>
                <w:highlight w:val="none"/>
                <w:u w:val="none"/>
              </w:rPr>
              <w:t>土壤背景监测点</w:t>
            </w:r>
          </w:p>
        </w:tc>
        <w:tc>
          <w:tcPr>
            <w:tcW w:w="1055" w:type="pct"/>
            <w:vAlign w:val="center"/>
          </w:tcPr>
          <w:p>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渗透、沉降</w:t>
            </w:r>
          </w:p>
        </w:tc>
        <w:tc>
          <w:tcPr>
            <w:tcW w:w="1604"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u w:val="none"/>
                <w:lang w:val="en-US" w:eastAsia="zh-CN"/>
              </w:rPr>
              <w:t>/</w:t>
            </w:r>
          </w:p>
        </w:tc>
      </w:tr>
    </w:tbl>
    <w:p>
      <w:pPr>
        <w:pStyle w:val="2"/>
        <w:bidi w:val="0"/>
        <w:rPr>
          <w:rFonts w:hint="eastAsia" w:ascii="宋体" w:hAnsi="宋体" w:eastAsia="宋体" w:cs="宋体"/>
          <w:lang w:val="en-US" w:eastAsia="zh-CN"/>
        </w:rPr>
      </w:pPr>
      <w:bookmarkStart w:id="173" w:name="_Toc17328"/>
      <w:bookmarkStart w:id="174" w:name="_Toc107924583"/>
      <w:bookmarkStart w:id="175" w:name="_Toc12326"/>
      <w:bookmarkStart w:id="176" w:name="_Toc20446"/>
    </w:p>
    <w:p>
      <w:pPr>
        <w:pStyle w:val="2"/>
        <w:bidi w:val="0"/>
        <w:rPr>
          <w:rFonts w:hint="eastAsia" w:ascii="宋体" w:hAnsi="宋体" w:eastAsia="宋体" w:cs="宋体"/>
          <w:lang w:val="en-US" w:eastAsia="zh-CN"/>
        </w:rPr>
      </w:pPr>
    </w:p>
    <w:p>
      <w:pPr>
        <w:pStyle w:val="2"/>
        <w:bidi w:val="0"/>
        <w:rPr>
          <w:rFonts w:hint="eastAsia" w:ascii="宋体" w:hAnsi="宋体" w:eastAsia="宋体" w:cs="宋体"/>
          <w:lang w:val="en-US" w:eastAsia="zh-CN"/>
        </w:rPr>
      </w:pPr>
      <w:r>
        <w:rPr>
          <w:rFonts w:hint="eastAsia" w:ascii="宋体" w:hAnsi="宋体" w:eastAsia="宋体" w:cs="宋体"/>
          <w:lang w:val="en-US" w:eastAsia="zh-CN"/>
        </w:rPr>
        <w:t>6监测点位布设方案</w:t>
      </w:r>
      <w:bookmarkEnd w:id="173"/>
      <w:bookmarkEnd w:id="174"/>
      <w:bookmarkEnd w:id="175"/>
      <w:bookmarkEnd w:id="176"/>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77" w:name="_Toc19684"/>
      <w:bookmarkStart w:id="178" w:name="_Toc107924584"/>
      <w:bookmarkStart w:id="179" w:name="_Toc22305"/>
      <w:bookmarkStart w:id="180" w:name="_Toc26834"/>
      <w:r>
        <w:rPr>
          <w:rFonts w:hint="eastAsia" w:ascii="宋体" w:hAnsi="宋体" w:eastAsia="宋体" w:cs="宋体"/>
          <w:b/>
          <w:bCs/>
          <w:kern w:val="2"/>
          <w:sz w:val="28"/>
          <w:szCs w:val="32"/>
          <w:lang w:val="en-US" w:eastAsia="zh-CN" w:bidi="ar-SA"/>
        </w:rPr>
        <w:t>6.1重点单元及相应监测点/监测井的布设位置</w:t>
      </w:r>
      <w:bookmarkEnd w:id="177"/>
      <w:bookmarkEnd w:id="178"/>
      <w:bookmarkEnd w:id="179"/>
      <w:bookmarkEnd w:id="180"/>
    </w:p>
    <w:p>
      <w:pPr>
        <w:keepNext/>
        <w:keepLines/>
        <w:widowControl w:val="0"/>
        <w:spacing w:line="520" w:lineRule="exact"/>
        <w:jc w:val="both"/>
        <w:outlineLvl w:val="2"/>
        <w:rPr>
          <w:rFonts w:hint="eastAsia" w:ascii="宋体" w:hAnsi="宋体" w:eastAsia="宋体" w:cs="宋体"/>
          <w:b/>
          <w:color w:val="auto"/>
          <w:kern w:val="2"/>
          <w:sz w:val="28"/>
          <w:szCs w:val="28"/>
          <w:highlight w:val="none"/>
          <w:lang w:val="en-US" w:eastAsia="zh-CN" w:bidi="ar-SA"/>
        </w:rPr>
      </w:pPr>
      <w:bookmarkStart w:id="181" w:name="_Toc107924585"/>
      <w:r>
        <w:rPr>
          <w:rFonts w:hint="eastAsia" w:ascii="宋体" w:hAnsi="宋体" w:eastAsia="宋体" w:cs="宋体"/>
          <w:b/>
          <w:color w:val="auto"/>
          <w:kern w:val="2"/>
          <w:sz w:val="28"/>
          <w:szCs w:val="28"/>
          <w:highlight w:val="none"/>
          <w:lang w:val="en-US" w:eastAsia="zh-CN" w:bidi="ar-SA"/>
        </w:rPr>
        <w:t>6.1.1点位原则</w:t>
      </w:r>
      <w:bookmarkEnd w:id="181"/>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监测点位应布设在重点单元周边并尽量接近重点单元。统筹规划重点区域内部监测点位的布设时，布设位置应尽量接近重点区域内污染隐患较大的重点单元。监测点位的布设应遵循不影响企业正常生产且不造成安全隐患与二次污染的原则。</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重点单元、重点区域及监测点/监测井的布设位置均应在企业平面布置图中标记，标记图应纳入监测报告。</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除在原有基础上增加监测点位外，监测点位一经确定不宜随意变动，每次采样时土壤监测点距离上次同一点位采样位置原则上不大于1m，地下水监测井应与上次采样井相同。</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根据地勘资料无土壤或地下水可采的区域，可不进行相应监测，但应在监测报告中提供地勘资料并予以说明。</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企业或邻近区域内现有的地下水监测井，如果符合本标准要求，可以作为地下水对照点或污染物监测井。</w:t>
      </w:r>
    </w:p>
    <w:p>
      <w:pPr>
        <w:keepNext/>
        <w:keepLines/>
        <w:widowControl w:val="0"/>
        <w:spacing w:line="520" w:lineRule="exact"/>
        <w:jc w:val="both"/>
        <w:outlineLvl w:val="2"/>
        <w:rPr>
          <w:rFonts w:hint="eastAsia" w:ascii="宋体" w:hAnsi="宋体" w:eastAsia="宋体" w:cs="宋体"/>
          <w:b/>
          <w:color w:val="auto"/>
          <w:kern w:val="2"/>
          <w:sz w:val="28"/>
          <w:szCs w:val="28"/>
          <w:highlight w:val="none"/>
          <w:lang w:val="en-US" w:eastAsia="zh-CN" w:bidi="ar-SA"/>
        </w:rPr>
      </w:pPr>
      <w:bookmarkStart w:id="182" w:name="_Toc107924586"/>
      <w:r>
        <w:rPr>
          <w:rFonts w:hint="eastAsia" w:ascii="宋体" w:hAnsi="宋体" w:eastAsia="宋体" w:cs="宋体"/>
          <w:b/>
          <w:color w:val="auto"/>
          <w:kern w:val="2"/>
          <w:sz w:val="28"/>
          <w:szCs w:val="28"/>
          <w:highlight w:val="none"/>
          <w:lang w:val="en-US" w:eastAsia="zh-CN" w:bidi="ar-SA"/>
        </w:rPr>
        <w:t>6.1.2土壤监测点位</w:t>
      </w:r>
      <w:bookmarkEnd w:id="182"/>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（1）布点原则：</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1）一类单元</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企业一类单元涉及的每个隐蔽性重点设施设备周边原则上均应布设至少1个深层土壤监测点，单元内部或周边还应布设至少1个表层土壤监测点。</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2）二类单元</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每个二类单元内部或周边原则上均应布设至少1个表层土壤监测点，具体位置及数量可根据单元大小或单元内重点场所或重点设施设备的数量及分布等实际情况适当调整。监测点原则上应布设在土壤裸露处，并兼顾考虑设置在雨水易于汇流和积聚的区域，污染途径包含扬散的单元还应结合污染物主要沉降位置确定点位。</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（2）选点位置：本次土壤共设6个监测点，企业内的车间、道路附近有绿化区，地面全硬化的区域在附近绿化带内取点，监测点选在未硬化或者附近绿化点，采样后做好采样点位的防护工作，方便下次取样。</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（3）采样深度：本次土壤监测以监测区域内表层土壤（0-0.5m处）为重点采样层，开展采样工作。</w:t>
      </w:r>
    </w:p>
    <w:p>
      <w:pPr>
        <w:keepNext/>
        <w:keepLines/>
        <w:widowControl w:val="0"/>
        <w:numPr>
          <w:ilvl w:val="0"/>
          <w:numId w:val="0"/>
        </w:numPr>
        <w:bidi w:val="0"/>
        <w:spacing w:line="520" w:lineRule="exact"/>
        <w:ind w:leftChars="0"/>
        <w:jc w:val="left"/>
        <w:outlineLvl w:val="1"/>
        <w:rPr>
          <w:rFonts w:hint="eastAsia" w:ascii="宋体" w:hAnsi="宋体" w:eastAsia="宋体" w:cs="宋体"/>
          <w:b/>
          <w:bCs/>
          <w:kern w:val="2"/>
          <w:sz w:val="28"/>
          <w:szCs w:val="32"/>
          <w:lang w:val="en-US" w:eastAsia="zh-CN" w:bidi="ar-SA"/>
        </w:rPr>
      </w:pPr>
      <w:bookmarkStart w:id="183" w:name="_Toc21760"/>
      <w:bookmarkStart w:id="184" w:name="_Toc19623"/>
      <w:bookmarkStart w:id="185" w:name="_Toc107924588"/>
      <w:bookmarkStart w:id="186" w:name="_Toc30905"/>
      <w:r>
        <w:rPr>
          <w:rFonts w:hint="eastAsia" w:ascii="宋体" w:hAnsi="宋体" w:eastAsia="宋体" w:cs="宋体"/>
          <w:b/>
          <w:bCs/>
          <w:kern w:val="2"/>
          <w:sz w:val="28"/>
          <w:szCs w:val="32"/>
          <w:lang w:val="en-US" w:eastAsia="zh-CN" w:bidi="ar-SA"/>
        </w:rPr>
        <w:t>6.2监测点位布设</w:t>
      </w:r>
      <w:bookmarkEnd w:id="183"/>
      <w:bookmarkEnd w:id="184"/>
      <w:bookmarkEnd w:id="185"/>
      <w:bookmarkEnd w:id="186"/>
    </w:p>
    <w:p>
      <w:pPr>
        <w:jc w:val="center"/>
        <w:outlineLvl w:val="9"/>
        <w:rPr>
          <w:rFonts w:hint="eastAsia" w:ascii="宋体" w:hAnsi="宋体" w:eastAsia="宋体" w:cs="宋体"/>
          <w:b/>
          <w:bCs/>
          <w:sz w:val="28"/>
          <w:highlight w:val="none"/>
          <w:lang w:val="en-US" w:eastAsia="zh-CN"/>
        </w:rPr>
      </w:pPr>
      <w:bookmarkStart w:id="187" w:name="_Toc28642"/>
      <w:bookmarkStart w:id="188" w:name="_Toc20353"/>
      <w:r>
        <w:rPr>
          <w:rFonts w:hint="eastAsia" w:ascii="宋体" w:hAnsi="宋体" w:eastAsia="宋体" w:cs="宋体"/>
          <w:b/>
          <w:bCs/>
          <w:sz w:val="28"/>
          <w:highlight w:val="none"/>
          <w:lang w:val="en-US" w:eastAsia="zh-CN"/>
        </w:rPr>
        <w:t>表6-1土壤检测点位一览表</w:t>
      </w:r>
      <w:bookmarkEnd w:id="187"/>
      <w:bookmarkEnd w:id="188"/>
    </w:p>
    <w:tbl>
      <w:tblPr>
        <w:tblStyle w:val="20"/>
        <w:tblW w:w="88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7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outlineLvl w:val="9"/>
              <w:rPr>
                <w:rFonts w:hint="eastAsia" w:ascii="宋体" w:hAnsi="宋体" w:eastAsia="宋体" w:cs="宋体"/>
                <w:b/>
                <w:bCs/>
                <w:color w:val="auto"/>
                <w:sz w:val="24"/>
                <w:szCs w:val="32"/>
                <w:vertAlign w:val="baseline"/>
                <w:lang w:val="en-US" w:eastAsia="zh-CN"/>
              </w:rPr>
            </w:pPr>
            <w:r>
              <w:rPr>
                <w:rFonts w:hint="eastAsia" w:ascii="宋体" w:hAnsi="宋体" w:eastAsia="宋体" w:cs="宋体"/>
                <w:b/>
                <w:bCs/>
                <w:color w:val="auto"/>
                <w:sz w:val="24"/>
                <w:szCs w:val="32"/>
                <w:vertAlign w:val="baseline"/>
                <w:lang w:val="en-US" w:eastAsia="zh-CN"/>
              </w:rPr>
              <w:t>编号</w:t>
            </w:r>
          </w:p>
        </w:tc>
        <w:tc>
          <w:tcPr>
            <w:tcW w:w="7500" w:type="dxa"/>
            <w:vAlign w:val="center"/>
          </w:tcPr>
          <w:p>
            <w:pPr>
              <w:numPr>
                <w:ilvl w:val="0"/>
                <w:numId w:val="0"/>
              </w:numPr>
              <w:jc w:val="center"/>
              <w:outlineLvl w:val="9"/>
              <w:rPr>
                <w:rFonts w:hint="eastAsia" w:ascii="宋体" w:hAnsi="宋体" w:eastAsia="宋体" w:cs="宋体"/>
                <w:b/>
                <w:bCs/>
                <w:color w:val="auto"/>
                <w:sz w:val="24"/>
                <w:szCs w:val="32"/>
                <w:vertAlign w:val="baseline"/>
                <w:lang w:val="en-US" w:eastAsia="zh-CN"/>
              </w:rPr>
            </w:pPr>
            <w:r>
              <w:rPr>
                <w:rFonts w:hint="eastAsia" w:ascii="宋体" w:hAnsi="宋体" w:eastAsia="宋体" w:cs="宋体"/>
                <w:b/>
                <w:bCs/>
                <w:color w:val="auto"/>
                <w:sz w:val="24"/>
                <w:szCs w:val="32"/>
                <w:vertAlign w:val="baseline"/>
                <w:lang w:val="en-US" w:eastAsia="zh-CN"/>
              </w:rPr>
              <w:t>点位名称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ind w:left="0" w:leftChars="0" w:firstLine="0" w:firstLineChars="0"/>
              <w:jc w:val="center"/>
              <w:outlineLvl w:val="9"/>
              <w:rPr>
                <w:rFonts w:hint="eastAsia" w:ascii="宋体" w:hAnsi="宋体" w:eastAsia="宋体" w:cs="宋体"/>
                <w:b w:val="0"/>
                <w:bCs w:val="0"/>
                <w:color w:val="auto"/>
                <w:kern w:val="2"/>
                <w:sz w:val="24"/>
                <w:szCs w:val="32"/>
                <w:vertAlign w:val="baseline"/>
                <w:lang w:val="en-US" w:eastAsia="zh-CN" w:bidi="ar-SA"/>
              </w:rPr>
            </w:pPr>
            <w:r>
              <w:rPr>
                <w:rFonts w:hint="eastAsia" w:ascii="宋体" w:hAnsi="宋体" w:eastAsia="宋体" w:cs="宋体"/>
                <w:b w:val="0"/>
                <w:bCs w:val="0"/>
                <w:color w:val="auto"/>
                <w:sz w:val="24"/>
                <w:szCs w:val="32"/>
                <w:vertAlign w:val="baseline"/>
                <w:lang w:val="en-US" w:eastAsia="zh-CN"/>
              </w:rPr>
              <w:t>1#</w:t>
            </w:r>
          </w:p>
        </w:tc>
        <w:tc>
          <w:tcPr>
            <w:tcW w:w="7500" w:type="dxa"/>
            <w:vAlign w:val="center"/>
          </w:tcPr>
          <w:p>
            <w:pPr>
              <w:numPr>
                <w:ilvl w:val="0"/>
                <w:numId w:val="0"/>
              </w:numPr>
              <w:ind w:left="0" w:leftChars="0" w:firstLine="0" w:firstLineChars="0"/>
              <w:jc w:val="center"/>
              <w:outlineLvl w:val="9"/>
              <w:rPr>
                <w:rFonts w:hint="eastAsia" w:ascii="宋体" w:hAnsi="宋体" w:eastAsia="宋体" w:cs="宋体"/>
                <w:b w:val="0"/>
                <w:bCs w:val="0"/>
                <w:color w:val="auto"/>
                <w:kern w:val="2"/>
                <w:sz w:val="24"/>
                <w:szCs w:val="32"/>
                <w:vertAlign w:val="baseline"/>
                <w:lang w:val="en-US" w:eastAsia="zh-CN" w:bidi="ar-SA"/>
              </w:rPr>
            </w:pPr>
            <w:r>
              <w:rPr>
                <w:rFonts w:hint="eastAsia" w:ascii="宋体" w:hAnsi="宋体" w:eastAsia="宋体" w:cs="宋体"/>
                <w:b w:val="0"/>
                <w:bCs w:val="0"/>
                <w:color w:val="auto"/>
                <w:kern w:val="2"/>
                <w:sz w:val="24"/>
                <w:szCs w:val="32"/>
                <w:vertAlign w:val="baseline"/>
                <w:lang w:val="en-US" w:eastAsia="zh-CN" w:bidi="ar-SA"/>
              </w:rPr>
              <w:t>消防水池、循环水池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outlineLvl w:val="9"/>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2#</w:t>
            </w:r>
          </w:p>
        </w:tc>
        <w:tc>
          <w:tcPr>
            <w:tcW w:w="7500" w:type="dxa"/>
            <w:vAlign w:val="center"/>
          </w:tcPr>
          <w:p>
            <w:pPr>
              <w:numPr>
                <w:ilvl w:val="0"/>
                <w:numId w:val="0"/>
              </w:numPr>
              <w:jc w:val="center"/>
              <w:outlineLvl w:val="9"/>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锅炉房、调节池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outlineLvl w:val="9"/>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3#</w:t>
            </w:r>
          </w:p>
        </w:tc>
        <w:tc>
          <w:tcPr>
            <w:tcW w:w="7500" w:type="dxa"/>
            <w:vAlign w:val="center"/>
          </w:tcPr>
          <w:p>
            <w:pPr>
              <w:numPr>
                <w:ilvl w:val="0"/>
                <w:numId w:val="0"/>
              </w:numPr>
              <w:jc w:val="center"/>
              <w:outlineLvl w:val="9"/>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事故水池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outlineLvl w:val="9"/>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4#</w:t>
            </w:r>
          </w:p>
        </w:tc>
        <w:tc>
          <w:tcPr>
            <w:tcW w:w="7500" w:type="dxa"/>
            <w:vAlign w:val="center"/>
          </w:tcPr>
          <w:p>
            <w:pPr>
              <w:numPr>
                <w:ilvl w:val="0"/>
                <w:numId w:val="0"/>
              </w:numPr>
              <w:jc w:val="center"/>
              <w:outlineLvl w:val="9"/>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主装置区、RCO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outlineLvl w:val="9"/>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5#</w:t>
            </w:r>
          </w:p>
        </w:tc>
        <w:tc>
          <w:tcPr>
            <w:tcW w:w="7500" w:type="dxa"/>
            <w:vAlign w:val="center"/>
          </w:tcPr>
          <w:p>
            <w:pPr>
              <w:numPr>
                <w:ilvl w:val="0"/>
                <w:numId w:val="0"/>
              </w:numPr>
              <w:jc w:val="center"/>
              <w:outlineLvl w:val="9"/>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储罐区、装载区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Align w:val="center"/>
          </w:tcPr>
          <w:p>
            <w:pPr>
              <w:numPr>
                <w:ilvl w:val="0"/>
                <w:numId w:val="0"/>
              </w:numPr>
              <w:jc w:val="center"/>
              <w:outlineLvl w:val="9"/>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auto"/>
                <w:sz w:val="24"/>
                <w:szCs w:val="32"/>
                <w:vertAlign w:val="baseline"/>
                <w:lang w:val="en-US" w:eastAsia="zh-CN"/>
              </w:rPr>
              <w:t>6#</w:t>
            </w:r>
          </w:p>
        </w:tc>
        <w:tc>
          <w:tcPr>
            <w:tcW w:w="7500" w:type="dxa"/>
            <w:vAlign w:val="center"/>
          </w:tcPr>
          <w:p>
            <w:pPr>
              <w:numPr>
                <w:ilvl w:val="0"/>
                <w:numId w:val="0"/>
              </w:numPr>
              <w:jc w:val="center"/>
              <w:outlineLvl w:val="9"/>
              <w:rPr>
                <w:rFonts w:hint="eastAsia" w:ascii="宋体" w:hAnsi="宋体" w:eastAsia="宋体" w:cs="宋体"/>
                <w:b w:val="0"/>
                <w:bCs w:val="0"/>
                <w:color w:val="auto"/>
                <w:sz w:val="24"/>
                <w:szCs w:val="32"/>
                <w:vertAlign w:val="baseline"/>
                <w:lang w:val="en-US" w:eastAsia="zh-CN"/>
              </w:rPr>
            </w:pPr>
            <w:r>
              <w:rPr>
                <w:rFonts w:hint="eastAsia" w:ascii="宋体" w:hAnsi="宋体" w:eastAsia="宋体" w:cs="宋体"/>
                <w:b w:val="0"/>
                <w:bCs w:val="0"/>
                <w:color w:val="000000" w:themeColor="text1"/>
                <w:sz w:val="24"/>
                <w:szCs w:val="24"/>
                <w:u w:val="none"/>
                <w14:textFill>
                  <w14:solidFill>
                    <w14:schemeClr w14:val="tx1"/>
                  </w14:solidFill>
                </w14:textFill>
              </w:rPr>
              <w:t>土壤背景</w:t>
            </w:r>
            <w:r>
              <w:rPr>
                <w:rFonts w:hint="eastAsia" w:ascii="宋体" w:hAnsi="宋体" w:eastAsia="宋体" w:cs="宋体"/>
                <w:b w:val="0"/>
                <w:bCs w:val="0"/>
                <w:color w:val="auto"/>
                <w:sz w:val="24"/>
                <w:szCs w:val="24"/>
                <w:u w:val="none"/>
              </w:rPr>
              <w:t>监测点</w:t>
            </w:r>
          </w:p>
        </w:tc>
      </w:tr>
    </w:tbl>
    <w:p>
      <w:pPr>
        <w:keepNext/>
        <w:keepLines/>
        <w:widowControl w:val="0"/>
        <w:numPr>
          <w:ilvl w:val="1"/>
          <w:numId w:val="0"/>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89" w:name="_Toc10675"/>
      <w:bookmarkStart w:id="190" w:name="_Toc27949"/>
      <w:bookmarkStart w:id="191" w:name="_Toc4208"/>
      <w:bookmarkStart w:id="192" w:name="_Toc28993"/>
      <w:r>
        <w:rPr>
          <w:rFonts w:hint="eastAsia" w:ascii="宋体" w:hAnsi="宋体" w:eastAsia="宋体" w:cs="宋体"/>
          <w:b/>
          <w:bCs/>
          <w:kern w:val="2"/>
          <w:sz w:val="28"/>
          <w:szCs w:val="32"/>
          <w:highlight w:val="none"/>
          <w:lang w:val="en-US" w:eastAsia="zh-CN" w:bidi="ar-SA"/>
        </w:rPr>
        <w:t>6.3各点位监测指标及选取原因</w:t>
      </w:r>
      <w:bookmarkEnd w:id="189"/>
      <w:bookmarkEnd w:id="190"/>
      <w:bookmarkEnd w:id="191"/>
      <w:bookmarkEnd w:id="192"/>
    </w:p>
    <w:p>
      <w:pPr>
        <w:bidi w:val="0"/>
        <w:spacing w:line="520" w:lineRule="exact"/>
        <w:ind w:firstLine="560" w:firstLineChars="200"/>
        <w:jc w:val="left"/>
        <w:rPr>
          <w:rFonts w:hint="eastAsia" w:ascii="宋体" w:hAnsi="宋体" w:eastAsia="宋体" w:cs="宋体"/>
          <w:color w:val="auto"/>
          <w:sz w:val="28"/>
          <w:highlight w:val="none"/>
        </w:rPr>
      </w:pPr>
      <w:r>
        <w:rPr>
          <w:rFonts w:hint="eastAsia" w:ascii="宋体" w:hAnsi="宋体" w:eastAsia="宋体" w:cs="宋体"/>
          <w:color w:val="auto"/>
          <w:sz w:val="28"/>
          <w:highlight w:val="none"/>
          <w:lang w:val="en-US" w:eastAsia="zh-CN"/>
        </w:rPr>
        <w:t>监测因子</w:t>
      </w:r>
      <w:r>
        <w:rPr>
          <w:rFonts w:hint="eastAsia" w:ascii="宋体" w:hAnsi="宋体" w:eastAsia="宋体" w:cs="宋体"/>
          <w:color w:val="auto"/>
          <w:sz w:val="28"/>
          <w:highlight w:val="none"/>
        </w:rPr>
        <w:t>按照《工业企业土壤和地下水自行监测技术指南（试行）》HJ1209-2021，本企业为</w:t>
      </w:r>
      <w:r>
        <w:rPr>
          <w:rFonts w:hint="eastAsia" w:ascii="宋体" w:hAnsi="宋体" w:eastAsia="宋体" w:cs="宋体"/>
          <w:color w:val="auto"/>
          <w:sz w:val="28"/>
          <w:highlight w:val="none"/>
          <w:lang w:eastAsia="zh-CN"/>
        </w:rPr>
        <w:t>该标准实施后第一年监测</w:t>
      </w:r>
      <w:r>
        <w:rPr>
          <w:rFonts w:hint="eastAsia" w:ascii="宋体" w:hAnsi="宋体" w:eastAsia="宋体" w:cs="宋体"/>
          <w:color w:val="auto"/>
          <w:sz w:val="28"/>
          <w:highlight w:val="none"/>
        </w:rPr>
        <w:t>，原则上所有土壤监测点的监测指标至少应包括GB36600表1基本项目（45项）</w:t>
      </w:r>
      <w:r>
        <w:rPr>
          <w:rFonts w:hint="eastAsia" w:ascii="宋体" w:hAnsi="宋体" w:eastAsia="宋体" w:cs="宋体"/>
          <w:color w:val="auto"/>
          <w:sz w:val="28"/>
          <w:highlight w:val="none"/>
          <w:lang w:eastAsia="zh-CN"/>
        </w:rPr>
        <w:t>及特征因子，地下水监测井的监测指标至少应包括GB/T14848表1常规指标（微生物指标、放射性指标除外</w:t>
      </w:r>
      <w:r>
        <w:rPr>
          <w:rFonts w:hint="eastAsia" w:ascii="宋体" w:hAnsi="宋体" w:eastAsia="宋体" w:cs="宋体"/>
          <w:color w:val="auto"/>
          <w:sz w:val="28"/>
          <w:highlight w:val="none"/>
        </w:rPr>
        <w:t>。具体监测项目见表6-</w:t>
      </w:r>
      <w:r>
        <w:rPr>
          <w:rFonts w:hint="eastAsia" w:ascii="宋体" w:hAnsi="宋体" w:eastAsia="宋体" w:cs="宋体"/>
          <w:color w:val="auto"/>
          <w:sz w:val="28"/>
          <w:highlight w:val="none"/>
          <w:lang w:val="en-US" w:eastAsia="zh-CN"/>
        </w:rPr>
        <w:t>3、6-4</w:t>
      </w:r>
      <w:r>
        <w:rPr>
          <w:rFonts w:hint="eastAsia" w:ascii="宋体" w:hAnsi="宋体" w:eastAsia="宋体" w:cs="宋体"/>
          <w:color w:val="auto"/>
          <w:sz w:val="28"/>
          <w:highlight w:val="none"/>
        </w:rPr>
        <w:t>。</w:t>
      </w:r>
    </w:p>
    <w:p>
      <w:pPr>
        <w:autoSpaceDE w:val="0"/>
        <w:adjustRightInd w:val="0"/>
        <w:snapToGrid w:val="0"/>
        <w:spacing w:line="520" w:lineRule="exact"/>
        <w:ind w:firstLine="482" w:firstLineChars="200"/>
        <w:jc w:val="center"/>
        <w:rPr>
          <w:rFonts w:hint="eastAsia" w:ascii="宋体" w:hAnsi="宋体" w:eastAsia="宋体" w:cs="宋体"/>
          <w:b/>
          <w:sz w:val="24"/>
          <w:szCs w:val="24"/>
        </w:rPr>
      </w:pPr>
      <w:r>
        <w:rPr>
          <w:rFonts w:hint="eastAsia" w:ascii="宋体" w:hAnsi="宋体" w:eastAsia="宋体" w:cs="宋体"/>
          <w:b/>
          <w:sz w:val="24"/>
          <w:szCs w:val="24"/>
        </w:rPr>
        <w:t>表6-</w:t>
      </w:r>
      <w:r>
        <w:rPr>
          <w:rFonts w:hint="eastAsia" w:ascii="宋体" w:hAnsi="宋体" w:eastAsia="宋体" w:cs="宋体"/>
          <w:b/>
          <w:sz w:val="24"/>
          <w:szCs w:val="24"/>
          <w:lang w:val="en-US" w:eastAsia="zh-CN"/>
        </w:rPr>
        <w:t>3</w:t>
      </w:r>
      <w:r>
        <w:rPr>
          <w:rFonts w:hint="eastAsia" w:ascii="宋体" w:hAnsi="宋体" w:eastAsia="宋体" w:cs="宋体"/>
          <w:b/>
          <w:sz w:val="24"/>
          <w:szCs w:val="24"/>
        </w:rPr>
        <w:t>土壤监测项目一览表</w:t>
      </w:r>
    </w:p>
    <w:tbl>
      <w:tblPr>
        <w:tblStyle w:val="27"/>
        <w:tblW w:w="49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9"/>
        <w:gridCol w:w="6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7" w:type="pct"/>
            <w:tcBorders>
              <w:top w:val="single" w:color="auto" w:sz="4" w:space="0"/>
              <w:left w:val="single" w:color="auto" w:sz="4" w:space="0"/>
              <w:bottom w:val="single" w:color="auto" w:sz="4" w:space="0"/>
              <w:right w:val="single" w:color="auto" w:sz="4" w:space="0"/>
            </w:tcBorders>
            <w:vAlign w:val="center"/>
          </w:tcPr>
          <w:p>
            <w:pPr>
              <w:autoSpaceDE w:val="0"/>
              <w:adjustRightInd w:val="0"/>
              <w:spacing w:line="240" w:lineRule="auto"/>
              <w:ind w:firstLine="0" w:firstLineChars="0"/>
              <w:jc w:val="center"/>
              <w:rPr>
                <w:rFonts w:hint="eastAsia" w:ascii="宋体" w:hAnsi="宋体" w:eastAsia="宋体" w:cs="宋体"/>
                <w:bCs/>
                <w:kern w:val="0"/>
                <w:sz w:val="21"/>
                <w:szCs w:val="21"/>
              </w:rPr>
            </w:pPr>
            <w:r>
              <w:rPr>
                <w:rFonts w:hint="eastAsia" w:ascii="宋体" w:hAnsi="宋体" w:eastAsia="宋体" w:cs="宋体"/>
                <w:bCs/>
                <w:kern w:val="0"/>
                <w:sz w:val="21"/>
                <w:szCs w:val="21"/>
              </w:rPr>
              <w:t>类别</w:t>
            </w:r>
          </w:p>
        </w:tc>
        <w:tc>
          <w:tcPr>
            <w:tcW w:w="3712" w:type="pct"/>
            <w:tcBorders>
              <w:top w:val="single" w:color="auto" w:sz="4" w:space="0"/>
              <w:left w:val="single" w:color="auto" w:sz="4" w:space="0"/>
              <w:bottom w:val="single" w:color="auto" w:sz="4" w:space="0"/>
              <w:right w:val="single" w:color="auto" w:sz="4" w:space="0"/>
            </w:tcBorders>
            <w:vAlign w:val="center"/>
          </w:tcPr>
          <w:p>
            <w:pPr>
              <w:autoSpaceDE w:val="0"/>
              <w:adjustRightInd w:val="0"/>
              <w:spacing w:line="240" w:lineRule="auto"/>
              <w:ind w:firstLine="0" w:firstLineChars="0"/>
              <w:jc w:val="center"/>
              <w:rPr>
                <w:rFonts w:hint="eastAsia" w:ascii="宋体" w:hAnsi="宋体" w:eastAsia="宋体" w:cs="宋体"/>
                <w:bCs/>
                <w:kern w:val="0"/>
                <w:sz w:val="21"/>
                <w:szCs w:val="21"/>
              </w:rPr>
            </w:pPr>
            <w:r>
              <w:rPr>
                <w:rFonts w:hint="eastAsia" w:ascii="宋体" w:hAnsi="宋体" w:eastAsia="宋体" w:cs="宋体"/>
                <w:bCs/>
                <w:kern w:val="0"/>
                <w:sz w:val="21"/>
                <w:szCs w:val="21"/>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7" w:type="pct"/>
            <w:tcBorders>
              <w:top w:val="single" w:color="auto" w:sz="4" w:space="0"/>
              <w:left w:val="single" w:color="auto" w:sz="4" w:space="0"/>
              <w:bottom w:val="single" w:color="auto" w:sz="4" w:space="0"/>
              <w:right w:val="single" w:color="auto" w:sz="4" w:space="0"/>
            </w:tcBorders>
            <w:vAlign w:val="center"/>
          </w:tcPr>
          <w:p>
            <w:pPr>
              <w:autoSpaceDE w:val="0"/>
              <w:adjustRightInd w:val="0"/>
              <w:spacing w:line="240" w:lineRule="auto"/>
              <w:ind w:firstLine="0" w:firstLineChars="0"/>
              <w:jc w:val="center"/>
              <w:rPr>
                <w:rFonts w:hint="eastAsia" w:ascii="宋体" w:hAnsi="宋体" w:eastAsia="宋体" w:cs="宋体"/>
                <w:bCs/>
                <w:kern w:val="0"/>
                <w:sz w:val="21"/>
                <w:szCs w:val="21"/>
              </w:rPr>
            </w:pPr>
            <w:r>
              <w:rPr>
                <w:rFonts w:hint="eastAsia" w:ascii="宋体" w:hAnsi="宋体" w:eastAsia="宋体" w:cs="宋体"/>
                <w:bCs/>
                <w:kern w:val="0"/>
                <w:sz w:val="21"/>
                <w:szCs w:val="21"/>
              </w:rPr>
              <w:t>土壤</w:t>
            </w:r>
          </w:p>
        </w:tc>
        <w:tc>
          <w:tcPr>
            <w:tcW w:w="3712" w:type="pct"/>
            <w:tcBorders>
              <w:top w:val="single" w:color="auto" w:sz="4" w:space="0"/>
              <w:left w:val="single" w:color="auto" w:sz="4" w:space="0"/>
              <w:bottom w:val="single" w:color="auto" w:sz="4" w:space="0"/>
              <w:right w:val="single" w:color="auto" w:sz="4" w:space="0"/>
            </w:tcBorders>
            <w:vAlign w:val="center"/>
          </w:tcPr>
          <w:p>
            <w:pPr>
              <w:autoSpaceDE w:val="0"/>
              <w:adjustRightInd w:val="0"/>
              <w:spacing w:line="240" w:lineRule="auto"/>
              <w:ind w:firstLine="0" w:firstLineChars="0"/>
              <w:jc w:val="center"/>
              <w:rPr>
                <w:rFonts w:hint="eastAsia" w:ascii="宋体" w:hAnsi="宋体" w:eastAsia="宋体" w:cs="宋体"/>
                <w:bCs/>
                <w:kern w:val="0"/>
                <w:sz w:val="21"/>
                <w:szCs w:val="21"/>
              </w:rPr>
            </w:pPr>
            <w:r>
              <w:rPr>
                <w:rFonts w:hint="eastAsia" w:ascii="宋体" w:hAnsi="宋体" w:eastAsia="宋体" w:cs="宋体"/>
                <w:bCs/>
                <w:kern w:val="0"/>
                <w:sz w:val="21"/>
                <w:szCs w:val="21"/>
                <w:lang w:eastAsia="zh-CN"/>
              </w:rPr>
              <w:t>土壤检测</w:t>
            </w:r>
            <w:r>
              <w:rPr>
                <w:rFonts w:hint="eastAsia" w:ascii="宋体" w:hAnsi="宋体" w:eastAsia="宋体" w:cs="宋体"/>
                <w:bCs/>
                <w:kern w:val="0"/>
                <w:sz w:val="21"/>
                <w:szCs w:val="21"/>
              </w:rPr>
              <w:t>因子：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α]蒽、苯并[α]芘、苯并[b]荧蒽、苯并[k]荧蒽、䓛、二苯并[α、h]蒽、茚并[1,2,3-cd]芘、萘</w:t>
            </w:r>
            <w:r>
              <w:rPr>
                <w:rFonts w:hint="eastAsia" w:ascii="宋体" w:hAnsi="宋体" w:eastAsia="宋体" w:cs="宋体"/>
                <w:bCs/>
                <w:kern w:val="0"/>
                <w:sz w:val="21"/>
                <w:szCs w:val="21"/>
                <w:lang w:val="en-US" w:eastAsia="zh-CN"/>
              </w:rPr>
              <w:t>45项；特征污染物：pH</w:t>
            </w:r>
            <w:r>
              <w:rPr>
                <w:rFonts w:hint="eastAsia" w:ascii="宋体" w:hAnsi="宋体" w:eastAsia="宋体" w:cs="宋体"/>
                <w:bCs/>
                <w:kern w:val="0"/>
                <w:sz w:val="21"/>
                <w:szCs w:val="21"/>
                <w:lang w:eastAsia="zh-CN"/>
              </w:rPr>
              <w:t>。</w:t>
            </w:r>
          </w:p>
        </w:tc>
      </w:tr>
    </w:tbl>
    <w:p>
      <w:pPr>
        <w:keepNext/>
        <w:keepLines/>
        <w:widowControl w:val="0"/>
        <w:tabs>
          <w:tab w:val="left" w:pos="223"/>
        </w:tabs>
        <w:spacing w:line="520" w:lineRule="exact"/>
        <w:ind w:firstLine="562" w:firstLineChars="200"/>
        <w:jc w:val="both"/>
        <w:outlineLvl w:val="1"/>
        <w:rPr>
          <w:rFonts w:hint="eastAsia" w:ascii="宋体" w:hAnsi="宋体" w:eastAsia="宋体" w:cs="宋体"/>
          <w:b/>
          <w:bCs/>
          <w:color w:val="auto"/>
          <w:kern w:val="2"/>
          <w:sz w:val="28"/>
          <w:szCs w:val="28"/>
          <w:highlight w:val="none"/>
          <w:lang w:val="en-US" w:eastAsia="zh-CN" w:bidi="ar-SA"/>
        </w:rPr>
      </w:pPr>
      <w:bookmarkStart w:id="193" w:name="_Toc107924590"/>
      <w:bookmarkStart w:id="194" w:name="_Toc17928"/>
      <w:r>
        <w:rPr>
          <w:rFonts w:hint="eastAsia" w:ascii="宋体" w:hAnsi="宋体" w:eastAsia="宋体" w:cs="宋体"/>
          <w:b/>
          <w:bCs/>
          <w:color w:val="auto"/>
          <w:kern w:val="2"/>
          <w:sz w:val="28"/>
          <w:szCs w:val="28"/>
          <w:highlight w:val="none"/>
          <w:lang w:val="en-US" w:eastAsia="zh-CN" w:bidi="ar-SA"/>
        </w:rPr>
        <w:t>6.4监测频次</w:t>
      </w:r>
      <w:bookmarkEnd w:id="193"/>
      <w:bookmarkEnd w:id="194"/>
    </w:p>
    <w:p>
      <w:pPr>
        <w:spacing w:line="520" w:lineRule="exact"/>
        <w:ind w:firstLine="560" w:firstLineChars="200"/>
        <w:jc w:val="both"/>
        <w:rPr>
          <w:rFonts w:hint="eastAsia" w:ascii="宋体" w:hAnsi="宋体" w:eastAsia="宋体" w:cs="宋体"/>
          <w:sz w:val="28"/>
          <w:szCs w:val="28"/>
        </w:rPr>
      </w:pPr>
      <w:r>
        <w:rPr>
          <w:rFonts w:hint="eastAsia" w:ascii="宋体" w:hAnsi="宋体" w:eastAsia="宋体" w:cs="宋体"/>
          <w:sz w:val="28"/>
          <w:szCs w:val="28"/>
        </w:rPr>
        <w:t>根据《工业企业土壤和地下水自行监测技术指南（试行）》HJ1209-2021，土壤环境重点监管企业土壤监测频次见下表。</w:t>
      </w:r>
    </w:p>
    <w:p>
      <w:pPr>
        <w:keepNext w:val="0"/>
        <w:keepLines w:val="0"/>
        <w:pageBreakBefore w:val="0"/>
        <w:tabs>
          <w:tab w:val="left" w:pos="2278"/>
        </w:tabs>
        <w:kinsoku/>
        <w:wordWrap/>
        <w:overflowPunct/>
        <w:topLinePunct w:val="0"/>
        <w:autoSpaceDE/>
        <w:autoSpaceDN/>
        <w:bidi w:val="0"/>
        <w:spacing w:line="520" w:lineRule="exact"/>
        <w:ind w:firstLine="482" w:firstLineChars="200"/>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表6-5自行监测的监测频次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9"/>
        <w:gridCol w:w="4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29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监测对象</w:t>
            </w:r>
          </w:p>
        </w:tc>
        <w:tc>
          <w:tcPr>
            <w:tcW w:w="270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2296" w:type="pc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土壤</w:t>
            </w:r>
          </w:p>
        </w:tc>
        <w:tc>
          <w:tcPr>
            <w:tcW w:w="270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采样深度为表层土壤的点位每年1次，采样深度为深层土壤的每3年1次</w:t>
            </w:r>
          </w:p>
        </w:tc>
      </w:tr>
    </w:tbl>
    <w:p>
      <w:pPr>
        <w:pStyle w:val="18"/>
        <w:rPr>
          <w:rFonts w:hint="eastAsia" w:ascii="宋体" w:hAnsi="宋体" w:eastAsia="宋体" w:cs="宋体"/>
          <w:sz w:val="28"/>
          <w:szCs w:val="36"/>
          <w:lang w:val="en-US" w:eastAsia="zh-CN"/>
        </w:rPr>
      </w:pPr>
      <w:bookmarkStart w:id="195" w:name="_Toc3178"/>
      <w:bookmarkStart w:id="196" w:name="_Toc7156"/>
      <w:bookmarkStart w:id="197" w:name="_Toc2213"/>
    </w:p>
    <w:p>
      <w:pPr>
        <w:pStyle w:val="10"/>
        <w:pageBreakBefore w:val="0"/>
        <w:kinsoku/>
        <w:wordWrap/>
        <w:overflowPunct/>
        <w:topLinePunct w:val="0"/>
        <w:bidi w:val="0"/>
        <w:snapToGrid w:val="0"/>
        <w:spacing w:line="360" w:lineRule="auto"/>
        <w:ind w:right="0" w:firstLine="560" w:firstLineChars="200"/>
        <w:rPr>
          <w:rFonts w:hint="eastAsia" w:ascii="宋体" w:hAnsi="宋体" w:eastAsia="宋体" w:cs="宋体"/>
          <w:b w:val="0"/>
          <w:bCs w:val="0"/>
          <w:color w:val="auto"/>
          <w:spacing w:val="0"/>
          <w:sz w:val="28"/>
          <w:szCs w:val="36"/>
          <w:highlight w:val="none"/>
          <w:u w:val="none"/>
          <w:lang w:val="en-US" w:eastAsia="zh-CN"/>
        </w:rPr>
      </w:pPr>
      <w:r>
        <w:rPr>
          <w:rFonts w:hint="eastAsia" w:ascii="宋体" w:hAnsi="宋体" w:eastAsia="宋体" w:cs="宋体"/>
          <w:color w:val="auto"/>
          <w:spacing w:val="0"/>
          <w:sz w:val="28"/>
          <w:szCs w:val="36"/>
          <w:highlight w:val="none"/>
          <w:u w:val="none"/>
          <w:lang w:val="en-US" w:eastAsia="zh-CN"/>
        </w:rPr>
        <w:t>公司于2017年12月5日委托中水电第十一工程局（郑州）有限公司出具了《河南中威高科技化工有限公司岩土工程勘察报告》，明确厂区地貌单元为低山丘陵地区，在勘探深度范围内未见地下水，根据《岩土工程勘察规范》第12.1.2条，由于该场地地下水埋藏较深，混凝土结构处于地下水位以上，设计与施工时可不考虑</w:t>
      </w:r>
      <w:r>
        <w:rPr>
          <w:rFonts w:hint="eastAsia" w:ascii="宋体" w:hAnsi="宋体" w:eastAsia="宋体" w:cs="宋体"/>
          <w:b w:val="0"/>
          <w:bCs w:val="0"/>
          <w:color w:val="auto"/>
          <w:spacing w:val="0"/>
          <w:sz w:val="28"/>
          <w:szCs w:val="36"/>
          <w:highlight w:val="none"/>
          <w:u w:val="none"/>
          <w:lang w:val="en-US" w:eastAsia="zh-CN"/>
        </w:rPr>
        <w:t>地下水的影响，可不取地下水样进行测试，详见附件3</w:t>
      </w:r>
      <w:r>
        <w:rPr>
          <w:rFonts w:hint="eastAsia" w:ascii="宋体" w:hAnsi="宋体" w:eastAsia="宋体" w:cs="宋体"/>
          <w:color w:val="auto"/>
          <w:spacing w:val="0"/>
          <w:sz w:val="28"/>
          <w:szCs w:val="36"/>
          <w:highlight w:val="none"/>
          <w:u w:val="none"/>
          <w:lang w:val="en-US" w:eastAsia="zh-CN"/>
        </w:rPr>
        <w:t>河南中威高科技化工有限公司</w:t>
      </w:r>
      <w:r>
        <w:rPr>
          <w:rFonts w:hint="eastAsia" w:ascii="宋体" w:hAnsi="宋体" w:eastAsia="宋体" w:cs="宋体"/>
          <w:b w:val="0"/>
          <w:bCs w:val="0"/>
          <w:color w:val="auto"/>
          <w:spacing w:val="0"/>
          <w:sz w:val="28"/>
          <w:szCs w:val="36"/>
          <w:highlight w:val="none"/>
          <w:u w:val="none"/>
          <w:lang w:val="en-US" w:eastAsia="zh-CN"/>
        </w:rPr>
        <w:t>岩土工程勘察报告（剖面图、钻孔柱状图）。</w:t>
      </w:r>
    </w:p>
    <w:p>
      <w:pPr>
        <w:pStyle w:val="2"/>
        <w:bidi w:val="0"/>
        <w:rPr>
          <w:rFonts w:hint="eastAsia" w:ascii="宋体" w:hAnsi="宋体" w:eastAsia="宋体" w:cs="宋体"/>
          <w:lang w:val="en-US" w:eastAsia="zh-CN"/>
        </w:rPr>
      </w:pPr>
      <w:bookmarkStart w:id="198" w:name="_Toc28870"/>
      <w:r>
        <w:rPr>
          <w:rFonts w:hint="eastAsia" w:ascii="宋体" w:hAnsi="宋体" w:eastAsia="宋体" w:cs="宋体"/>
          <w:lang w:val="en-US" w:eastAsia="zh-CN"/>
        </w:rPr>
        <w:t>7样品采集、保存、流转与制备</w:t>
      </w:r>
      <w:bookmarkEnd w:id="195"/>
      <w:bookmarkEnd w:id="196"/>
      <w:bookmarkEnd w:id="197"/>
      <w:bookmarkEnd w:id="198"/>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199" w:name="_Toc8311"/>
      <w:bookmarkStart w:id="200" w:name="_Toc6627"/>
      <w:bookmarkStart w:id="201" w:name="_Toc3536"/>
      <w:bookmarkStart w:id="202" w:name="_Toc2252"/>
      <w:r>
        <w:rPr>
          <w:rFonts w:hint="eastAsia" w:ascii="宋体" w:hAnsi="宋体" w:eastAsia="宋体" w:cs="宋体"/>
          <w:b/>
          <w:bCs/>
          <w:kern w:val="2"/>
          <w:sz w:val="28"/>
          <w:szCs w:val="32"/>
          <w:lang w:val="en-US" w:eastAsia="zh-CN" w:bidi="ar-SA"/>
        </w:rPr>
        <w:t>7.1现场采样位置、数量和深度</w:t>
      </w:r>
      <w:bookmarkEnd w:id="199"/>
      <w:bookmarkEnd w:id="200"/>
      <w:bookmarkEnd w:id="201"/>
      <w:bookmarkEnd w:id="202"/>
    </w:p>
    <w:p>
      <w:pPr>
        <w:spacing w:line="520" w:lineRule="exact"/>
        <w:ind w:firstLine="560" w:firstLineChars="200"/>
        <w:jc w:val="left"/>
        <w:rPr>
          <w:rFonts w:hint="eastAsia" w:ascii="宋体" w:hAnsi="宋体" w:eastAsia="宋体" w:cs="宋体"/>
          <w:sz w:val="28"/>
          <w:lang w:val="en-US" w:eastAsia="zh-CN"/>
        </w:rPr>
      </w:pPr>
      <w:r>
        <w:rPr>
          <w:rFonts w:hint="eastAsia" w:ascii="宋体" w:hAnsi="宋体" w:eastAsia="宋体" w:cs="宋体"/>
          <w:color w:val="auto"/>
          <w:sz w:val="28"/>
          <w:highlight w:val="none"/>
        </w:rPr>
        <w:t>依据国家相关政策、标准、导则等要求，结合企业厂区生产设施分布和生产工艺等实际情况，确定土壤监测点</w:t>
      </w:r>
      <w:r>
        <w:rPr>
          <w:rFonts w:hint="eastAsia" w:ascii="宋体" w:hAnsi="宋体" w:eastAsia="宋体" w:cs="宋体"/>
          <w:color w:val="auto"/>
          <w:sz w:val="28"/>
          <w:highlight w:val="none"/>
          <w:lang w:val="en-US" w:eastAsia="zh-CN"/>
        </w:rPr>
        <w:t>6个</w:t>
      </w:r>
      <w:r>
        <w:rPr>
          <w:rFonts w:hint="eastAsia" w:ascii="宋体" w:hAnsi="宋体" w:eastAsia="宋体" w:cs="宋体"/>
          <w:color w:val="auto"/>
          <w:sz w:val="28"/>
          <w:highlight w:val="none"/>
        </w:rPr>
        <w:t>，</w:t>
      </w:r>
      <w:r>
        <w:rPr>
          <w:rFonts w:hint="eastAsia" w:ascii="宋体" w:hAnsi="宋体" w:eastAsia="宋体" w:cs="宋体"/>
          <w:sz w:val="28"/>
          <w:lang w:val="en-US" w:eastAsia="zh-CN"/>
        </w:rPr>
        <w:t>具体采样位置、采样深度见下表。</w:t>
      </w:r>
    </w:p>
    <w:p>
      <w:pPr>
        <w:spacing w:line="520" w:lineRule="exact"/>
        <w:ind w:firstLine="3360" w:firstLineChars="1200"/>
        <w:jc w:val="left"/>
        <w:rPr>
          <w:rFonts w:hint="eastAsia" w:ascii="宋体" w:hAnsi="宋体" w:eastAsia="宋体" w:cs="宋体"/>
          <w:sz w:val="28"/>
          <w:lang w:val="en-US" w:eastAsia="zh-CN"/>
        </w:rPr>
      </w:pPr>
    </w:p>
    <w:p>
      <w:pPr>
        <w:spacing w:line="520" w:lineRule="exact"/>
        <w:ind w:firstLine="3360" w:firstLineChars="1200"/>
        <w:jc w:val="left"/>
        <w:rPr>
          <w:rFonts w:hint="eastAsia" w:ascii="宋体" w:hAnsi="宋体" w:eastAsia="宋体" w:cs="宋体"/>
          <w:sz w:val="28"/>
          <w:lang w:val="en-US" w:eastAsia="zh-CN"/>
        </w:rPr>
      </w:pPr>
      <w:r>
        <w:rPr>
          <w:rFonts w:hint="eastAsia" w:ascii="宋体" w:hAnsi="宋体" w:eastAsia="宋体" w:cs="宋体"/>
          <w:sz w:val="28"/>
          <w:lang w:val="en-US" w:eastAsia="zh-CN"/>
        </w:rPr>
        <w:t>表7-1土壤检测内容一览表</w:t>
      </w:r>
    </w:p>
    <w:tbl>
      <w:tblPr>
        <w:tblStyle w:val="19"/>
        <w:tblW w:w="5520" w:type="pct"/>
        <w:jc w:val="center"/>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Layout w:type="autofit"/>
        <w:tblCellMar>
          <w:top w:w="0" w:type="dxa"/>
          <w:left w:w="108" w:type="dxa"/>
          <w:bottom w:w="0" w:type="dxa"/>
          <w:right w:w="108" w:type="dxa"/>
        </w:tblCellMar>
      </w:tblPr>
      <w:tblGrid>
        <w:gridCol w:w="735"/>
        <w:gridCol w:w="992"/>
        <w:gridCol w:w="4022"/>
        <w:gridCol w:w="4128"/>
      </w:tblGrid>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类型</w:t>
            </w:r>
          </w:p>
        </w:tc>
        <w:tc>
          <w:tcPr>
            <w:tcW w:w="502"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2035"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检测点位</w:t>
            </w:r>
          </w:p>
        </w:tc>
        <w:tc>
          <w:tcPr>
            <w:tcW w:w="2089"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经度</w:t>
            </w: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vMerge w:val="restar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土壤</w:t>
            </w:r>
          </w:p>
        </w:tc>
        <w:tc>
          <w:tcPr>
            <w:tcW w:w="502"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035" w:type="pct"/>
            <w:vAlign w:val="center"/>
          </w:tcPr>
          <w:p>
            <w:pPr>
              <w:pageBreakBefore w:val="0"/>
              <w:numPr>
                <w:ilvl w:val="0"/>
                <w:numId w:val="0"/>
              </w:numPr>
              <w:kinsoku/>
              <w:wordWrap/>
              <w:overflowPunct/>
              <w:topLinePunct w:val="0"/>
              <w:bidi w:val="0"/>
              <w:spacing w:line="240" w:lineRule="auto"/>
              <w:ind w:left="0" w:leftChars="0" w:right="0" w:rightChars="0" w:firstLine="0" w:firstLineChars="0"/>
              <w:jc w:val="center"/>
              <w:rPr>
                <w:rFonts w:hint="eastAsia" w:ascii="宋体" w:hAnsi="宋体" w:eastAsia="宋体" w:cs="宋体"/>
                <w:b w:val="0"/>
                <w:bCs w:val="0"/>
                <w:color w:val="auto"/>
                <w:spacing w:val="0"/>
                <w:kern w:val="2"/>
                <w:sz w:val="22"/>
                <w:szCs w:val="28"/>
                <w:highlight w:val="none"/>
                <w:vertAlign w:val="baseline"/>
                <w:lang w:val="en-US" w:eastAsia="zh-CN" w:bidi="ar-SA"/>
              </w:rPr>
            </w:pPr>
            <w:r>
              <w:rPr>
                <w:rFonts w:hint="eastAsia" w:ascii="宋体" w:hAnsi="宋体" w:eastAsia="宋体" w:cs="宋体"/>
                <w:b w:val="0"/>
                <w:bCs w:val="0"/>
                <w:color w:val="auto"/>
                <w:spacing w:val="0"/>
                <w:kern w:val="2"/>
                <w:sz w:val="22"/>
                <w:szCs w:val="28"/>
                <w:highlight w:val="none"/>
                <w:vertAlign w:val="baseline"/>
                <w:lang w:val="en-US" w:eastAsia="zh-CN" w:bidi="ar-SA"/>
              </w:rPr>
              <w:t>研发楼、试验田</w:t>
            </w:r>
          </w:p>
        </w:tc>
        <w:tc>
          <w:tcPr>
            <w:tcW w:w="2089" w:type="pct"/>
            <w:vAlign w:val="center"/>
          </w:tcPr>
          <w:p>
            <w:pPr>
              <w:pageBreakBefore w:val="0"/>
              <w:numPr>
                <w:ilvl w:val="0"/>
                <w:numId w:val="0"/>
              </w:numPr>
              <w:kinsoku/>
              <w:wordWrap/>
              <w:overflowPunct/>
              <w:topLinePunct w:val="0"/>
              <w:bidi w:val="0"/>
              <w:spacing w:line="240" w:lineRule="auto"/>
              <w:ind w:left="0" w:leftChars="0" w:right="0" w:rightChars="0" w:firstLine="0" w:firstLineChars="0"/>
              <w:jc w:val="center"/>
              <w:rPr>
                <w:rFonts w:hint="eastAsia" w:ascii="宋体" w:hAnsi="宋体" w:eastAsia="宋体" w:cs="宋体"/>
                <w:b w:val="0"/>
                <w:bCs w:val="0"/>
                <w:color w:val="auto"/>
                <w:spacing w:val="0"/>
                <w:kern w:val="2"/>
                <w:sz w:val="22"/>
                <w:szCs w:val="28"/>
                <w:highlight w:val="none"/>
                <w:vertAlign w:val="baseline"/>
                <w:lang w:val="zh-CN" w:eastAsia="zh-CN" w:bidi="ar-SA"/>
              </w:rPr>
            </w:pPr>
            <w:r>
              <w:rPr>
                <w:rFonts w:hint="eastAsia" w:ascii="宋体" w:hAnsi="宋体" w:eastAsia="宋体" w:cs="宋体"/>
                <w:b w:val="0"/>
                <w:bCs w:val="0"/>
                <w:color w:val="auto"/>
                <w:spacing w:val="0"/>
                <w:sz w:val="22"/>
                <w:szCs w:val="28"/>
                <w:highlight w:val="none"/>
                <w:vertAlign w:val="baseline"/>
                <w:lang w:val="en-US" w:eastAsia="zh-CN"/>
              </w:rPr>
              <w:t>N：34°40'27.447''E：111°34'44.841''</w:t>
            </w: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vMerge w:val="continue"/>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p>
        </w:tc>
        <w:tc>
          <w:tcPr>
            <w:tcW w:w="502"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035" w:type="pct"/>
            <w:vAlign w:val="center"/>
          </w:tcPr>
          <w:p>
            <w:pPr>
              <w:pageBreakBefore w:val="0"/>
              <w:numPr>
                <w:ilvl w:val="0"/>
                <w:numId w:val="0"/>
              </w:numPr>
              <w:kinsoku/>
              <w:wordWrap/>
              <w:overflowPunct/>
              <w:topLinePunct w:val="0"/>
              <w:bidi w:val="0"/>
              <w:spacing w:line="240" w:lineRule="auto"/>
              <w:ind w:left="0" w:leftChars="0" w:right="0" w:rightChars="0" w:firstLine="0" w:firstLineChars="0"/>
              <w:jc w:val="center"/>
              <w:rPr>
                <w:rFonts w:hint="eastAsia" w:ascii="宋体" w:hAnsi="宋体" w:eastAsia="宋体" w:cs="宋体"/>
                <w:b w:val="0"/>
                <w:bCs w:val="0"/>
                <w:color w:val="auto"/>
                <w:spacing w:val="0"/>
                <w:kern w:val="2"/>
                <w:sz w:val="22"/>
                <w:szCs w:val="28"/>
                <w:highlight w:val="none"/>
                <w:vertAlign w:val="baseline"/>
                <w:lang w:val="en-US" w:eastAsia="zh-CN" w:bidi="ar-SA"/>
              </w:rPr>
            </w:pPr>
            <w:r>
              <w:rPr>
                <w:rFonts w:hint="eastAsia" w:ascii="宋体" w:hAnsi="宋体" w:eastAsia="宋体" w:cs="宋体"/>
                <w:b w:val="0"/>
                <w:bCs w:val="0"/>
                <w:color w:val="auto"/>
                <w:spacing w:val="0"/>
                <w:sz w:val="22"/>
                <w:szCs w:val="28"/>
                <w:highlight w:val="none"/>
                <w:vertAlign w:val="baseline"/>
                <w:lang w:val="en-US" w:eastAsia="zh-CN"/>
              </w:rPr>
              <w:t>粉剂车间、仓库B</w:t>
            </w:r>
          </w:p>
        </w:tc>
        <w:tc>
          <w:tcPr>
            <w:tcW w:w="2089" w:type="pct"/>
            <w:vAlign w:val="center"/>
          </w:tcPr>
          <w:p>
            <w:pPr>
              <w:pageBreakBefore w:val="0"/>
              <w:numPr>
                <w:ilvl w:val="0"/>
                <w:numId w:val="0"/>
              </w:numPr>
              <w:kinsoku/>
              <w:wordWrap/>
              <w:overflowPunct/>
              <w:topLinePunct w:val="0"/>
              <w:bidi w:val="0"/>
              <w:spacing w:line="240" w:lineRule="auto"/>
              <w:ind w:left="0" w:leftChars="0" w:right="0" w:rightChars="0" w:firstLine="0" w:firstLineChars="0"/>
              <w:jc w:val="center"/>
              <w:rPr>
                <w:rFonts w:hint="eastAsia" w:ascii="宋体" w:hAnsi="宋体" w:eastAsia="宋体" w:cs="宋体"/>
                <w:b w:val="0"/>
                <w:bCs w:val="0"/>
                <w:color w:val="auto"/>
                <w:spacing w:val="0"/>
                <w:kern w:val="2"/>
                <w:sz w:val="22"/>
                <w:szCs w:val="28"/>
                <w:highlight w:val="none"/>
                <w:vertAlign w:val="baseline"/>
                <w:lang w:val="zh-CN" w:eastAsia="zh-CN" w:bidi="ar-SA"/>
              </w:rPr>
            </w:pPr>
            <w:r>
              <w:rPr>
                <w:rFonts w:hint="eastAsia" w:ascii="宋体" w:hAnsi="宋体" w:eastAsia="宋体" w:cs="宋体"/>
                <w:b w:val="0"/>
                <w:bCs w:val="0"/>
                <w:color w:val="auto"/>
                <w:spacing w:val="0"/>
                <w:sz w:val="22"/>
                <w:szCs w:val="28"/>
                <w:highlight w:val="none"/>
                <w:vertAlign w:val="baseline"/>
                <w:lang w:val="en-US" w:eastAsia="zh-CN"/>
              </w:rPr>
              <w:t>N：34°40'24.700''E：111°34'42.109''</w:t>
            </w: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vMerge w:val="continue"/>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p>
        </w:tc>
        <w:tc>
          <w:tcPr>
            <w:tcW w:w="502"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035" w:type="pct"/>
            <w:vAlign w:val="center"/>
          </w:tcPr>
          <w:p>
            <w:pPr>
              <w:pageBreakBefore w:val="0"/>
              <w:numPr>
                <w:ilvl w:val="0"/>
                <w:numId w:val="0"/>
              </w:numPr>
              <w:kinsoku/>
              <w:wordWrap/>
              <w:overflowPunct/>
              <w:topLinePunct w:val="0"/>
              <w:bidi w:val="0"/>
              <w:spacing w:line="240" w:lineRule="auto"/>
              <w:ind w:left="0" w:leftChars="0" w:right="0" w:rightChars="0" w:firstLine="0" w:firstLineChars="0"/>
              <w:jc w:val="center"/>
              <w:rPr>
                <w:rFonts w:hint="eastAsia" w:ascii="宋体" w:hAnsi="宋体" w:eastAsia="宋体" w:cs="宋体"/>
                <w:b w:val="0"/>
                <w:bCs w:val="0"/>
                <w:color w:val="auto"/>
                <w:spacing w:val="0"/>
                <w:kern w:val="2"/>
                <w:sz w:val="22"/>
                <w:szCs w:val="28"/>
                <w:highlight w:val="none"/>
                <w:vertAlign w:val="baseline"/>
                <w:lang w:val="en-US" w:eastAsia="zh-CN" w:bidi="ar-SA"/>
              </w:rPr>
            </w:pPr>
            <w:r>
              <w:rPr>
                <w:rFonts w:hint="eastAsia" w:ascii="宋体" w:hAnsi="宋体" w:eastAsia="宋体" w:cs="宋体"/>
                <w:b w:val="0"/>
                <w:bCs w:val="0"/>
                <w:color w:val="auto"/>
                <w:spacing w:val="0"/>
                <w:sz w:val="22"/>
                <w:szCs w:val="28"/>
                <w:highlight w:val="none"/>
                <w:vertAlign w:val="baseline"/>
                <w:lang w:val="en-US" w:eastAsia="zh-CN"/>
              </w:rPr>
              <w:t>水剂车间、仓库A</w:t>
            </w:r>
          </w:p>
        </w:tc>
        <w:tc>
          <w:tcPr>
            <w:tcW w:w="2089" w:type="pct"/>
            <w:vAlign w:val="center"/>
          </w:tcPr>
          <w:p>
            <w:pPr>
              <w:pageBreakBefore w:val="0"/>
              <w:numPr>
                <w:ilvl w:val="0"/>
                <w:numId w:val="0"/>
              </w:numPr>
              <w:kinsoku/>
              <w:wordWrap/>
              <w:overflowPunct/>
              <w:topLinePunct w:val="0"/>
              <w:bidi w:val="0"/>
              <w:spacing w:line="240" w:lineRule="auto"/>
              <w:ind w:left="0" w:leftChars="0" w:right="0" w:rightChars="0" w:firstLine="0" w:firstLineChars="0"/>
              <w:jc w:val="center"/>
              <w:rPr>
                <w:rFonts w:hint="eastAsia" w:ascii="宋体" w:hAnsi="宋体" w:eastAsia="宋体" w:cs="宋体"/>
                <w:b w:val="0"/>
                <w:bCs w:val="0"/>
                <w:color w:val="auto"/>
                <w:spacing w:val="0"/>
                <w:kern w:val="2"/>
                <w:sz w:val="22"/>
                <w:szCs w:val="28"/>
                <w:highlight w:val="none"/>
                <w:vertAlign w:val="baseline"/>
                <w:lang w:val="zh-CN" w:eastAsia="zh-CN" w:bidi="ar-SA"/>
              </w:rPr>
            </w:pPr>
            <w:r>
              <w:rPr>
                <w:rFonts w:hint="eastAsia" w:ascii="宋体" w:hAnsi="宋体" w:eastAsia="宋体" w:cs="宋体"/>
                <w:b w:val="0"/>
                <w:bCs w:val="0"/>
                <w:color w:val="auto"/>
                <w:spacing w:val="0"/>
                <w:sz w:val="22"/>
                <w:szCs w:val="28"/>
                <w:highlight w:val="none"/>
                <w:vertAlign w:val="baseline"/>
                <w:lang w:val="en-US" w:eastAsia="zh-CN"/>
              </w:rPr>
              <w:t>N：34°40'24.994''E：111°34'44.909''</w:t>
            </w: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vMerge w:val="continue"/>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p>
        </w:tc>
        <w:tc>
          <w:tcPr>
            <w:tcW w:w="502"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2035" w:type="pct"/>
            <w:vAlign w:val="center"/>
          </w:tcPr>
          <w:p>
            <w:pPr>
              <w:pageBreakBefore w:val="0"/>
              <w:numPr>
                <w:ilvl w:val="0"/>
                <w:numId w:val="0"/>
              </w:numPr>
              <w:kinsoku/>
              <w:wordWrap/>
              <w:overflowPunct/>
              <w:topLinePunct w:val="0"/>
              <w:bidi w:val="0"/>
              <w:spacing w:line="240" w:lineRule="auto"/>
              <w:ind w:left="0" w:leftChars="0" w:right="0" w:rightChars="0" w:firstLine="0" w:firstLineChars="0"/>
              <w:jc w:val="center"/>
              <w:rPr>
                <w:rFonts w:hint="eastAsia" w:ascii="宋体" w:hAnsi="宋体" w:eastAsia="宋体" w:cs="宋体"/>
                <w:b w:val="0"/>
                <w:bCs w:val="0"/>
                <w:color w:val="auto"/>
                <w:spacing w:val="0"/>
                <w:kern w:val="2"/>
                <w:sz w:val="22"/>
                <w:szCs w:val="28"/>
                <w:highlight w:val="none"/>
                <w:vertAlign w:val="baseline"/>
                <w:lang w:val="en-US" w:eastAsia="zh-CN" w:bidi="ar-SA"/>
              </w:rPr>
            </w:pPr>
            <w:r>
              <w:rPr>
                <w:rFonts w:hint="eastAsia" w:ascii="宋体" w:hAnsi="宋体" w:eastAsia="宋体" w:cs="宋体"/>
                <w:b w:val="0"/>
                <w:bCs w:val="0"/>
                <w:color w:val="auto"/>
                <w:spacing w:val="0"/>
                <w:sz w:val="22"/>
                <w:szCs w:val="28"/>
                <w:highlight w:val="none"/>
                <w:vertAlign w:val="baseline"/>
                <w:lang w:val="en-US" w:eastAsia="zh-CN"/>
              </w:rPr>
              <w:t>合成车间、乳油车间、仓库C、仓库D</w:t>
            </w:r>
          </w:p>
        </w:tc>
        <w:tc>
          <w:tcPr>
            <w:tcW w:w="2089" w:type="pct"/>
            <w:vAlign w:val="center"/>
          </w:tcPr>
          <w:p>
            <w:pPr>
              <w:pageBreakBefore w:val="0"/>
              <w:numPr>
                <w:ilvl w:val="0"/>
                <w:numId w:val="0"/>
              </w:numPr>
              <w:kinsoku/>
              <w:wordWrap/>
              <w:overflowPunct/>
              <w:topLinePunct w:val="0"/>
              <w:bidi w:val="0"/>
              <w:spacing w:line="240" w:lineRule="auto"/>
              <w:ind w:left="0" w:leftChars="0" w:right="0" w:rightChars="0" w:firstLine="0" w:firstLineChars="0"/>
              <w:jc w:val="center"/>
              <w:rPr>
                <w:rFonts w:hint="eastAsia" w:ascii="宋体" w:hAnsi="宋体" w:eastAsia="宋体" w:cs="宋体"/>
                <w:b w:val="0"/>
                <w:bCs w:val="0"/>
                <w:color w:val="auto"/>
                <w:spacing w:val="0"/>
                <w:kern w:val="2"/>
                <w:sz w:val="22"/>
                <w:szCs w:val="28"/>
                <w:highlight w:val="none"/>
                <w:vertAlign w:val="baseline"/>
                <w:lang w:val="zh-CN" w:eastAsia="zh-CN" w:bidi="ar-SA"/>
              </w:rPr>
            </w:pPr>
            <w:r>
              <w:rPr>
                <w:rFonts w:hint="eastAsia" w:ascii="宋体" w:hAnsi="宋体" w:eastAsia="宋体" w:cs="宋体"/>
                <w:b w:val="0"/>
                <w:bCs w:val="0"/>
                <w:color w:val="auto"/>
                <w:spacing w:val="0"/>
                <w:sz w:val="22"/>
                <w:szCs w:val="28"/>
                <w:highlight w:val="none"/>
                <w:vertAlign w:val="baseline"/>
                <w:lang w:val="en-US" w:eastAsia="zh-CN"/>
              </w:rPr>
              <w:t>N：34°40'22.794''E：111°34'40.921''</w:t>
            </w: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vMerge w:val="continue"/>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p>
        </w:tc>
        <w:tc>
          <w:tcPr>
            <w:tcW w:w="502"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2035" w:type="pct"/>
            <w:vAlign w:val="center"/>
          </w:tcPr>
          <w:p>
            <w:pPr>
              <w:pageBreakBefore w:val="0"/>
              <w:numPr>
                <w:ilvl w:val="0"/>
                <w:numId w:val="0"/>
              </w:numPr>
              <w:kinsoku/>
              <w:wordWrap/>
              <w:overflowPunct/>
              <w:topLinePunct w:val="0"/>
              <w:bidi w:val="0"/>
              <w:spacing w:line="240" w:lineRule="auto"/>
              <w:ind w:left="0" w:leftChars="0" w:right="0" w:rightChars="0" w:firstLine="0" w:firstLineChars="0"/>
              <w:jc w:val="center"/>
              <w:rPr>
                <w:rFonts w:hint="eastAsia" w:ascii="宋体" w:hAnsi="宋体" w:eastAsia="宋体" w:cs="宋体"/>
                <w:b w:val="0"/>
                <w:bCs w:val="0"/>
                <w:color w:val="auto"/>
                <w:spacing w:val="0"/>
                <w:kern w:val="2"/>
                <w:sz w:val="22"/>
                <w:szCs w:val="28"/>
                <w:highlight w:val="none"/>
                <w:vertAlign w:val="baseline"/>
                <w:lang w:val="en-US" w:eastAsia="zh-CN" w:bidi="ar-SA"/>
              </w:rPr>
            </w:pPr>
            <w:r>
              <w:rPr>
                <w:rFonts w:hint="eastAsia" w:ascii="宋体" w:hAnsi="宋体" w:eastAsia="宋体" w:cs="宋体"/>
                <w:b w:val="0"/>
                <w:bCs w:val="0"/>
                <w:color w:val="auto"/>
                <w:spacing w:val="0"/>
                <w:sz w:val="22"/>
                <w:szCs w:val="28"/>
                <w:highlight w:val="none"/>
                <w:vertAlign w:val="baseline"/>
                <w:lang w:val="en-US" w:eastAsia="zh-CN"/>
              </w:rPr>
              <w:t>危废暂存间、污水处理站、事故池</w:t>
            </w:r>
          </w:p>
        </w:tc>
        <w:tc>
          <w:tcPr>
            <w:tcW w:w="2089" w:type="pct"/>
            <w:vAlign w:val="center"/>
          </w:tcPr>
          <w:p>
            <w:pPr>
              <w:pageBreakBefore w:val="0"/>
              <w:numPr>
                <w:ilvl w:val="0"/>
                <w:numId w:val="0"/>
              </w:numPr>
              <w:kinsoku/>
              <w:wordWrap/>
              <w:overflowPunct/>
              <w:topLinePunct w:val="0"/>
              <w:bidi w:val="0"/>
              <w:spacing w:line="240" w:lineRule="auto"/>
              <w:ind w:left="0" w:leftChars="0" w:right="0" w:rightChars="0" w:firstLine="0" w:firstLineChars="0"/>
              <w:jc w:val="center"/>
              <w:rPr>
                <w:rFonts w:hint="eastAsia" w:ascii="宋体" w:hAnsi="宋体" w:eastAsia="宋体" w:cs="宋体"/>
                <w:b w:val="0"/>
                <w:bCs w:val="0"/>
                <w:color w:val="auto"/>
                <w:spacing w:val="0"/>
                <w:kern w:val="2"/>
                <w:sz w:val="22"/>
                <w:szCs w:val="28"/>
                <w:highlight w:val="none"/>
                <w:vertAlign w:val="baseline"/>
                <w:lang w:val="zh-CN" w:eastAsia="zh-CN" w:bidi="ar-SA"/>
              </w:rPr>
            </w:pPr>
            <w:r>
              <w:rPr>
                <w:rFonts w:hint="eastAsia" w:ascii="宋体" w:hAnsi="宋体" w:eastAsia="宋体" w:cs="宋体"/>
                <w:b w:val="0"/>
                <w:bCs w:val="0"/>
                <w:color w:val="auto"/>
                <w:spacing w:val="0"/>
                <w:sz w:val="22"/>
                <w:szCs w:val="28"/>
                <w:highlight w:val="none"/>
                <w:vertAlign w:val="baseline"/>
                <w:lang w:val="en-US" w:eastAsia="zh-CN"/>
              </w:rPr>
              <w:t>N：34°40'22.175''E：111°34'39.260''</w:t>
            </w:r>
          </w:p>
        </w:tc>
      </w:tr>
      <w:tr>
        <w:tblPrEx>
          <w:tblBorders>
            <w:top w:val="single" w:color="000000" w:sz="4"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vMerge w:val="continue"/>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p>
        </w:tc>
        <w:tc>
          <w:tcPr>
            <w:tcW w:w="502" w:type="pct"/>
            <w:vAlign w:val="center"/>
          </w:tcPr>
          <w:p>
            <w:pPr>
              <w:keepNext w:val="0"/>
              <w:keepLines w:val="0"/>
              <w:pageBreakBefore w:val="0"/>
              <w:kinsoku/>
              <w:wordWrap/>
              <w:overflowPunct/>
              <w:topLinePunct w:val="0"/>
              <w:autoSpaceDE/>
              <w:autoSpaceDN/>
              <w:bidi w:val="0"/>
              <w:adjustRightInd/>
              <w:snapToGrid/>
              <w:ind w:left="0" w:right="0"/>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2035" w:type="pct"/>
            <w:vAlign w:val="center"/>
          </w:tcPr>
          <w:p>
            <w:pPr>
              <w:pageBreakBefore w:val="0"/>
              <w:numPr>
                <w:ilvl w:val="0"/>
                <w:numId w:val="0"/>
              </w:numPr>
              <w:kinsoku/>
              <w:wordWrap/>
              <w:overflowPunct/>
              <w:topLinePunct w:val="0"/>
              <w:bidi w:val="0"/>
              <w:spacing w:line="240" w:lineRule="auto"/>
              <w:ind w:left="0" w:leftChars="0" w:right="0" w:rightChars="0" w:firstLine="0" w:firstLineChars="0"/>
              <w:jc w:val="center"/>
              <w:rPr>
                <w:rFonts w:hint="eastAsia" w:ascii="宋体" w:hAnsi="宋体" w:eastAsia="宋体" w:cs="宋体"/>
                <w:b w:val="0"/>
                <w:bCs w:val="0"/>
                <w:color w:val="auto"/>
                <w:spacing w:val="0"/>
                <w:kern w:val="2"/>
                <w:sz w:val="22"/>
                <w:szCs w:val="28"/>
                <w:highlight w:val="none"/>
                <w:vertAlign w:val="baseline"/>
                <w:lang w:val="en-US" w:eastAsia="zh-CN" w:bidi="ar-SA"/>
              </w:rPr>
            </w:pPr>
            <w:r>
              <w:rPr>
                <w:rFonts w:hint="eastAsia" w:ascii="宋体" w:hAnsi="宋体" w:eastAsia="宋体" w:cs="宋体"/>
                <w:b w:val="0"/>
                <w:bCs w:val="0"/>
                <w:color w:val="auto"/>
                <w:spacing w:val="0"/>
                <w:sz w:val="22"/>
                <w:szCs w:val="22"/>
                <w:highlight w:val="none"/>
                <w:u w:val="none"/>
              </w:rPr>
              <w:t>土壤背景监测点</w:t>
            </w:r>
          </w:p>
        </w:tc>
        <w:tc>
          <w:tcPr>
            <w:tcW w:w="2089" w:type="pct"/>
            <w:vAlign w:val="center"/>
          </w:tcPr>
          <w:p>
            <w:pPr>
              <w:pageBreakBefore w:val="0"/>
              <w:numPr>
                <w:ilvl w:val="0"/>
                <w:numId w:val="0"/>
              </w:numPr>
              <w:kinsoku/>
              <w:wordWrap/>
              <w:overflowPunct/>
              <w:topLinePunct w:val="0"/>
              <w:bidi w:val="0"/>
              <w:spacing w:line="240" w:lineRule="auto"/>
              <w:ind w:left="0" w:leftChars="0" w:right="0" w:rightChars="0" w:firstLine="0" w:firstLineChars="0"/>
              <w:jc w:val="center"/>
              <w:rPr>
                <w:rFonts w:hint="eastAsia" w:ascii="宋体" w:hAnsi="宋体" w:eastAsia="宋体" w:cs="宋体"/>
                <w:b w:val="0"/>
                <w:bCs w:val="0"/>
                <w:color w:val="auto"/>
                <w:spacing w:val="0"/>
                <w:kern w:val="2"/>
                <w:sz w:val="22"/>
                <w:szCs w:val="28"/>
                <w:highlight w:val="none"/>
                <w:vertAlign w:val="baseline"/>
                <w:lang w:val="zh-CN" w:eastAsia="zh-CN" w:bidi="ar-SA"/>
              </w:rPr>
            </w:pPr>
            <w:r>
              <w:rPr>
                <w:rFonts w:hint="eastAsia" w:ascii="宋体" w:hAnsi="宋体" w:eastAsia="宋体" w:cs="宋体"/>
                <w:b w:val="0"/>
                <w:bCs w:val="0"/>
                <w:color w:val="auto"/>
                <w:spacing w:val="0"/>
                <w:sz w:val="22"/>
                <w:szCs w:val="28"/>
                <w:highlight w:val="none"/>
                <w:vertAlign w:val="baseline"/>
                <w:lang w:val="en-US" w:eastAsia="zh-CN"/>
              </w:rPr>
              <w:t>N：34°40'29.687''E：111°34'47.448''</w:t>
            </w:r>
          </w:p>
        </w:tc>
      </w:tr>
    </w:tbl>
    <w:p>
      <w:pPr>
        <w:keepNext/>
        <w:keepLines/>
        <w:widowControl w:val="0"/>
        <w:numPr>
          <w:ilvl w:val="1"/>
          <w:numId w:val="1"/>
        </w:numPr>
        <w:bidi w:val="0"/>
        <w:spacing w:line="520" w:lineRule="exact"/>
        <w:ind w:firstLine="0" w:firstLineChars="0"/>
        <w:jc w:val="left"/>
        <w:outlineLvl w:val="1"/>
        <w:rPr>
          <w:rFonts w:hint="eastAsia" w:ascii="宋体" w:hAnsi="宋体" w:eastAsia="宋体" w:cs="宋体"/>
          <w:snapToGrid/>
          <w:spacing w:val="6"/>
          <w:kern w:val="0"/>
          <w:sz w:val="28"/>
          <w:szCs w:val="22"/>
          <w:lang w:val="en-US" w:eastAsia="zh-CN" w:bidi="ar"/>
        </w:rPr>
      </w:pPr>
      <w:bookmarkStart w:id="203" w:name="_Toc8729"/>
      <w:bookmarkStart w:id="204" w:name="_Toc20812"/>
      <w:bookmarkStart w:id="205" w:name="_Toc3947"/>
      <w:r>
        <w:rPr>
          <w:rFonts w:hint="eastAsia" w:ascii="宋体" w:hAnsi="宋体" w:eastAsia="宋体" w:cs="宋体"/>
          <w:b/>
          <w:bCs/>
          <w:kern w:val="2"/>
          <w:sz w:val="28"/>
          <w:szCs w:val="32"/>
          <w:lang w:val="en-US" w:eastAsia="zh-CN" w:bidi="ar-SA"/>
        </w:rPr>
        <w:t>7.2现场采样工作流程</w:t>
      </w:r>
      <w:bookmarkEnd w:id="203"/>
      <w:bookmarkEnd w:id="204"/>
      <w:bookmarkEnd w:id="205"/>
    </w:p>
    <w:p>
      <w:pPr>
        <w:pageBreakBefore w:val="0"/>
        <w:kinsoku/>
        <w:wordWrap/>
        <w:overflowPunct/>
        <w:topLinePunct w:val="0"/>
        <w:autoSpaceDE/>
        <w:autoSpaceDN/>
        <w:bidi w:val="0"/>
        <w:spacing w:line="360" w:lineRule="auto"/>
        <w:ind w:left="0" w:leftChars="0" w:right="0" w:firstLine="0" w:firstLineChars="0"/>
        <w:textAlignment w:val="auto"/>
        <w:outlineLvl w:val="3"/>
        <w:rPr>
          <w:rFonts w:hint="eastAsia" w:ascii="宋体" w:hAnsi="宋体" w:eastAsia="宋体" w:cs="宋体"/>
          <w:color w:val="auto"/>
          <w:sz w:val="28"/>
          <w:szCs w:val="28"/>
          <w:highlight w:val="none"/>
          <w:u w:val="none"/>
        </w:rPr>
      </w:pPr>
      <w:bookmarkStart w:id="206" w:name="_Toc24631_WPSOffice_Level3"/>
      <w:bookmarkStart w:id="207" w:name="_Toc20246"/>
      <w:bookmarkStart w:id="208" w:name="_Toc9163"/>
      <w:bookmarkStart w:id="209" w:name="_Toc17162"/>
      <w:bookmarkStart w:id="210" w:name="_Toc8921"/>
      <w:r>
        <w:rPr>
          <w:rFonts w:hint="eastAsia" w:ascii="宋体" w:hAnsi="宋体" w:eastAsia="宋体" w:cs="宋体"/>
          <w:color w:val="auto"/>
          <w:sz w:val="28"/>
          <w:szCs w:val="28"/>
          <w:highlight w:val="none"/>
          <w:u w:val="none"/>
          <w:lang w:val="en-US" w:eastAsia="zh-CN"/>
        </w:rPr>
        <w:t>7.2.1</w:t>
      </w:r>
      <w:r>
        <w:rPr>
          <w:rFonts w:hint="eastAsia" w:ascii="宋体" w:hAnsi="宋体" w:eastAsia="宋体" w:cs="宋体"/>
          <w:color w:val="auto"/>
          <w:sz w:val="28"/>
          <w:szCs w:val="28"/>
          <w:highlight w:val="none"/>
          <w:u w:val="none"/>
        </w:rPr>
        <w:t>土壤采样</w:t>
      </w:r>
    </w:p>
    <w:p>
      <w:pPr>
        <w:pageBreakBefore w:val="0"/>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土壤样品采集、保存、转运检测等环节质量控制（保证）按《</w:t>
      </w:r>
      <w:r>
        <w:rPr>
          <w:rFonts w:hint="eastAsia" w:ascii="宋体" w:hAnsi="宋体" w:eastAsia="宋体" w:cs="宋体"/>
          <w:color w:val="auto"/>
          <w:kern w:val="2"/>
          <w:sz w:val="28"/>
          <w:szCs w:val="28"/>
          <w:highlight w:val="none"/>
          <w:u w:val="none"/>
          <w:lang w:val="en-US" w:eastAsia="zh-CN" w:bidi="ar-SA"/>
        </w:rPr>
        <w:t>建设用地土壤污染状况调查技术导则</w:t>
      </w:r>
      <w:r>
        <w:rPr>
          <w:rFonts w:hint="eastAsia" w:ascii="宋体" w:hAnsi="宋体" w:eastAsia="宋体" w:cs="宋体"/>
          <w:color w:val="auto"/>
          <w:sz w:val="28"/>
          <w:szCs w:val="28"/>
          <w:highlight w:val="none"/>
          <w:u w:val="none"/>
        </w:rPr>
        <w:t>》(H</w:t>
      </w:r>
      <w:r>
        <w:rPr>
          <w:rFonts w:hint="eastAsia" w:ascii="宋体" w:hAnsi="宋体" w:eastAsia="宋体" w:cs="宋体"/>
          <w:color w:val="auto"/>
          <w:sz w:val="28"/>
          <w:szCs w:val="28"/>
          <w:highlight w:val="none"/>
          <w:u w:val="none"/>
          <w:lang w:val="en-US" w:eastAsia="zh-CN"/>
        </w:rPr>
        <w:t>J</w:t>
      </w:r>
      <w:r>
        <w:rPr>
          <w:rFonts w:hint="eastAsia" w:ascii="宋体" w:hAnsi="宋体" w:eastAsia="宋体" w:cs="宋体"/>
          <w:color w:val="auto"/>
          <w:sz w:val="28"/>
          <w:szCs w:val="28"/>
          <w:highlight w:val="none"/>
          <w:u w:val="none"/>
        </w:rPr>
        <w:t>25.1-201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w:t>
      </w:r>
      <w:r>
        <w:rPr>
          <w:rFonts w:hint="eastAsia" w:ascii="宋体" w:hAnsi="宋体" w:eastAsia="宋体" w:cs="宋体"/>
          <w:color w:val="auto"/>
          <w:kern w:val="2"/>
          <w:sz w:val="28"/>
          <w:szCs w:val="28"/>
          <w:highlight w:val="none"/>
          <w:u w:val="none"/>
          <w:lang w:val="en-US" w:eastAsia="zh-CN" w:bidi="ar-SA"/>
        </w:rPr>
        <w:t>建设用地土壤污染风险管控和修复监测技术导则</w:t>
      </w:r>
      <w:r>
        <w:rPr>
          <w:rFonts w:hint="eastAsia" w:ascii="宋体" w:hAnsi="宋体" w:eastAsia="宋体" w:cs="宋体"/>
          <w:color w:val="auto"/>
          <w:sz w:val="28"/>
          <w:szCs w:val="28"/>
          <w:highlight w:val="none"/>
          <w:u w:val="none"/>
        </w:rPr>
        <w:t>》(HJ25.2-201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w:t>
      </w:r>
      <w:r>
        <w:rPr>
          <w:rFonts w:hint="eastAsia" w:ascii="宋体" w:hAnsi="宋体" w:eastAsia="宋体" w:cs="宋体"/>
          <w:color w:val="auto"/>
          <w:kern w:val="2"/>
          <w:sz w:val="28"/>
          <w:szCs w:val="28"/>
          <w:highlight w:val="none"/>
          <w:u w:val="none"/>
          <w:lang w:val="en-US" w:eastAsia="zh-CN" w:bidi="ar-SA"/>
        </w:rPr>
        <w:t>建设用地土壤污染风险评估技术导则</w:t>
      </w:r>
      <w:r>
        <w:rPr>
          <w:rFonts w:hint="eastAsia" w:ascii="宋体" w:hAnsi="宋体" w:eastAsia="宋体" w:cs="宋体"/>
          <w:color w:val="auto"/>
          <w:sz w:val="28"/>
          <w:szCs w:val="28"/>
          <w:highlight w:val="none"/>
          <w:u w:val="none"/>
        </w:rPr>
        <w:t>》（HJ25.3-201</w:t>
      </w:r>
      <w:r>
        <w:rPr>
          <w:rFonts w:hint="eastAsia" w:ascii="宋体" w:hAnsi="宋体" w:eastAsia="宋体" w:cs="宋体"/>
          <w:color w:val="auto"/>
          <w:sz w:val="28"/>
          <w:szCs w:val="28"/>
          <w:highlight w:val="none"/>
          <w:u w:val="none"/>
          <w:lang w:val="en-US" w:eastAsia="zh-CN"/>
        </w:rPr>
        <w:t>9</w:t>
      </w:r>
      <w:r>
        <w:rPr>
          <w:rFonts w:hint="eastAsia" w:ascii="宋体" w:hAnsi="宋体" w:eastAsia="宋体" w:cs="宋体"/>
          <w:color w:val="auto"/>
          <w:sz w:val="28"/>
          <w:szCs w:val="28"/>
          <w:highlight w:val="none"/>
          <w:u w:val="none"/>
        </w:rPr>
        <w:t>）;《土壤环境监测技术规范》（HJ/T166-2004）要求开展工作。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①工作流程前期准备</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前期资料准备：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采样点位确定：现场勘察确定各采样点位（坐标），竖好点位标识牌，并做好记录（包括影像记录）；各采样点位深度、采样层数及分层标识，并做好记录（包括影像记录）。</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采样工具：</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园状取土钻、螺旋取土钻、铁锹、铁铲、洛阳铲、竹片、竹刀、毛刷、采样洗涤装置。</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样品包装用品</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样品袋（聚乙烯）、棕色广口瓶（500ml）、样品现场暂存箱（冷链要求）。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4）记录工具</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GPS、罗盘、照相机、录像机、样品监控记录仪、卷尺、皮尺、自由夹、样品现场记录表、样品标签、点位标识牌。</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5）其他材料</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rPr>
        <w:t>药品箱、工作服、工作鞋、</w:t>
      </w:r>
      <w:bookmarkStart w:id="211" w:name="_Toc19612_WPSOffice_Level1"/>
      <w:r>
        <w:rPr>
          <w:rFonts w:hint="eastAsia" w:ascii="宋体" w:hAnsi="宋体" w:eastAsia="宋体" w:cs="宋体"/>
          <w:color w:val="auto"/>
          <w:sz w:val="28"/>
          <w:szCs w:val="28"/>
          <w:highlight w:val="none"/>
          <w:u w:val="none"/>
        </w:rPr>
        <w:t>手套等。</w:t>
      </w:r>
    </w:p>
    <w:bookmarkEnd w:id="211"/>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rPr>
        <w:t>②采样：影像记录点位标识牌，样品现场记录表开始记录，并做好采样全程记录；</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使用园状取土钻直接钻取到该点位要求的最深层，钻取结束取出柱状土样，按从下到上次序用竹片（竹刀）除去与金属采样器接触的部分土壤，再依次取样，装满棕色广口瓶，每个样品需加采一个付样（可用聚乙烯样品袋）；及时放入样品现场暂存箱（冷链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lang w:eastAsia="zh-CN"/>
        </w:rPr>
      </w:pPr>
      <w:r>
        <w:rPr>
          <w:rFonts w:hint="eastAsia" w:ascii="宋体" w:hAnsi="宋体" w:eastAsia="宋体" w:cs="宋体"/>
          <w:color w:val="auto"/>
          <w:sz w:val="28"/>
          <w:szCs w:val="28"/>
          <w:highlight w:val="none"/>
          <w:u w:val="none"/>
        </w:rPr>
        <w:t>③样品暂存及管理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样品现场采集后应及时送至样品暂存室冷链保存，同时填写好入室单（交接单）；样品暂存室监控记录仪时刻记录样品存放状况。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④样品现场记录表、样品标签、点位标识牌、样品入室记录（交接单）、样品出室记录（交接单）等内容。</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⑤样品流转</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样品应在规定的时间内送至实验室进行检测；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转运前核对</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从暂存室出库前必须逐件与样品标签、样品入室记录（交接单）进行核对，核对无误并填写好样品出室记录（交接单）后分类装箱；样品入室记录（交接单）、样品出室记录（交接单）均一式两份，分别由送样、押运人员和样品暂存室保存。</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样品转运：样品转运需全程保持冷链（&lt;4℃）；专人送样。</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样品交接：样品送达实验室后，送样人员和实验室接样人员必须逐件对样品标签和样品出室记录（交接单）核对；样品名称、采样地点、样品数量、包装、外观形态是否一致、完好；样品是否有损坏、污染；当样品有异议时，实验室接样人员应及时向送样人员询问，实验室接样人员应记录有关说明及处理意见；</w:t>
      </w:r>
    </w:p>
    <w:p>
      <w:pPr>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在上述工作完成后，送样人员和实验室接样人员在样品交接单上签字后即完成样品交接。</w:t>
      </w:r>
    </w:p>
    <w:bookmarkEnd w:id="206"/>
    <w:p>
      <w:pPr>
        <w:pStyle w:val="4"/>
        <w:pageBreakBefore w:val="0"/>
        <w:numPr>
          <w:ilvl w:val="2"/>
          <w:numId w:val="0"/>
        </w:numPr>
        <w:kinsoku/>
        <w:wordWrap/>
        <w:overflowPunct/>
        <w:topLinePunct w:val="0"/>
        <w:autoSpaceDE/>
        <w:autoSpaceDN/>
        <w:bidi w:val="0"/>
        <w:spacing w:before="0" w:beforeLines="0" w:after="0" w:afterLines="0" w:line="360" w:lineRule="auto"/>
        <w:ind w:left="0" w:leftChars="0" w:right="0"/>
        <w:textAlignment w:val="auto"/>
        <w:outlineLvl w:val="2"/>
        <w:rPr>
          <w:rFonts w:hint="eastAsia" w:ascii="宋体" w:hAnsi="宋体" w:eastAsia="宋体" w:cs="宋体"/>
          <w:color w:val="auto"/>
          <w:sz w:val="28"/>
          <w:szCs w:val="22"/>
          <w:highlight w:val="none"/>
          <w:u w:val="none"/>
          <w:lang w:val="en-US" w:eastAsia="zh-CN"/>
        </w:rPr>
      </w:pPr>
      <w:bookmarkStart w:id="212" w:name="4.6 现场质量控制与保障计划"/>
      <w:bookmarkEnd w:id="212"/>
      <w:bookmarkStart w:id="213" w:name="_Toc4809"/>
      <w:bookmarkStart w:id="214" w:name="_Toc14610"/>
      <w:bookmarkStart w:id="215" w:name="_Toc6878"/>
      <w:bookmarkStart w:id="216" w:name="_Toc9622_WPSOffice_Level2"/>
      <w:bookmarkStart w:id="217" w:name="_Toc26004785"/>
      <w:bookmarkStart w:id="218" w:name="_Toc32312"/>
      <w:r>
        <w:rPr>
          <w:rFonts w:hint="eastAsia" w:ascii="宋体" w:hAnsi="宋体" w:eastAsia="宋体" w:cs="宋体"/>
          <w:color w:val="auto"/>
          <w:sz w:val="28"/>
          <w:szCs w:val="22"/>
          <w:highlight w:val="none"/>
          <w:u w:val="none"/>
          <w:lang w:val="en-US" w:eastAsia="zh-CN"/>
        </w:rPr>
        <w:t>7.3实验室质量保证</w:t>
      </w:r>
      <w:bookmarkEnd w:id="213"/>
      <w:bookmarkEnd w:id="214"/>
      <w:bookmarkEnd w:id="215"/>
      <w:bookmarkEnd w:id="216"/>
      <w:bookmarkEnd w:id="217"/>
      <w:bookmarkEnd w:id="218"/>
    </w:p>
    <w:p>
      <w:pPr>
        <w:pageBreakBefore w:val="0"/>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（1）监测人员严格执行环境监测技术规范，监测人员具有土壤监测证书，监测所用仪器、量器经参加培训的人员进行校准。</w:t>
      </w:r>
    </w:p>
    <w:p>
      <w:pPr>
        <w:pageBreakBefore w:val="0"/>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（2）每批次样品分析时，应进行空白试验。分析测试方法有规定的，按分析测试方法的规定进行；分析测试方法无规定时，要求每批样品或每10个样品应至少做1次空白试验。</w:t>
      </w:r>
    </w:p>
    <w:p>
      <w:pPr>
        <w:pageBreakBefore w:val="0"/>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（3）每批次样品分析时，每个检测项目均须做平行双样分析。在每批次分析样品中，应随机抽取10%的样品进行平行双样分析（有机因子除外）；当批次样品数＜10时，应至少随机抽取1个样品进行平行双样分析。</w:t>
      </w:r>
    </w:p>
    <w:p>
      <w:pPr>
        <w:pageBreakBefore w:val="0"/>
        <w:kinsoku/>
        <w:wordWrap/>
        <w:overflowPunct/>
        <w:topLinePunct w:val="0"/>
        <w:autoSpaceDE/>
        <w:autoSpaceDN/>
        <w:bidi w:val="0"/>
        <w:spacing w:line="360" w:lineRule="auto"/>
        <w:ind w:left="0" w:leftChars="0" w:right="0" w:firstLine="560" w:firstLineChars="200"/>
        <w:textAlignment w:val="auto"/>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4）被测土壤样品应在每批次样品分析时同步均匀插入有证标准物质与被测样品同步进行分析测试。每批次同类型分析样品要求按样品数10%的比例插入标准物质样品；当批次分析样品数＜10时，应至少插入1个标准物质样品。</w:t>
      </w:r>
    </w:p>
    <w:p>
      <w:pPr>
        <w:pageBreakBefore w:val="0"/>
        <w:kinsoku/>
        <w:wordWrap/>
        <w:overflowPunct/>
        <w:topLinePunct w:val="0"/>
        <w:autoSpaceDE/>
        <w:autoSpaceDN/>
        <w:bidi w:val="0"/>
        <w:spacing w:line="360" w:lineRule="auto"/>
        <w:ind w:left="0" w:leftChars="0" w:right="0" w:firstLine="560" w:firstLineChars="200"/>
        <w:textAlignment w:val="auto"/>
        <w:outlineLvl w:val="3"/>
        <w:rPr>
          <w:rFonts w:hint="eastAsia" w:ascii="宋体" w:hAnsi="宋体" w:eastAsia="宋体" w:cs="宋体"/>
          <w:color w:val="auto"/>
          <w:sz w:val="28"/>
          <w:szCs w:val="28"/>
          <w:highlight w:val="none"/>
          <w:u w:val="none"/>
        </w:rPr>
      </w:pPr>
      <w:r>
        <w:rPr>
          <w:rFonts w:hint="eastAsia" w:ascii="宋体" w:hAnsi="宋体" w:eastAsia="宋体" w:cs="宋体"/>
          <w:color w:val="auto"/>
          <w:sz w:val="28"/>
          <w:szCs w:val="28"/>
          <w:highlight w:val="none"/>
          <w:u w:val="none"/>
        </w:rPr>
        <w:t>（5）监测数据严格实行三级审核制度。</w:t>
      </w:r>
    </w:p>
    <w:p>
      <w:pPr>
        <w:keepNext/>
        <w:keepLines/>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bCs/>
          <w:color w:val="auto"/>
          <w:sz w:val="30"/>
          <w:szCs w:val="30"/>
          <w:highlight w:val="none"/>
        </w:rPr>
      </w:pPr>
      <w:r>
        <w:rPr>
          <w:rFonts w:hint="eastAsia" w:ascii="宋体" w:hAnsi="宋体" w:eastAsia="宋体" w:cs="宋体"/>
          <w:b/>
          <w:color w:val="auto"/>
          <w:sz w:val="24"/>
          <w:highlight w:val="none"/>
          <w:lang w:val="en-US" w:eastAsia="zh-CN"/>
        </w:rPr>
        <w:t xml:space="preserve">表7-2 </w:t>
      </w:r>
      <w:r>
        <w:rPr>
          <w:rFonts w:hint="eastAsia" w:ascii="宋体" w:hAnsi="宋体" w:eastAsia="宋体" w:cs="宋体"/>
          <w:b/>
          <w:color w:val="auto"/>
          <w:sz w:val="24"/>
          <w:highlight w:val="none"/>
        </w:rPr>
        <w:t>检测分析方法和使用仪器一览表</w:t>
      </w:r>
    </w:p>
    <w:tbl>
      <w:tblPr>
        <w:tblStyle w:val="19"/>
        <w:tblW w:w="9118"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
        <w:gridCol w:w="3"/>
        <w:gridCol w:w="1468"/>
        <w:gridCol w:w="3661"/>
        <w:gridCol w:w="2444"/>
        <w:gridCol w:w="1378"/>
        <w:gridCol w:w="151"/>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678"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检测项目</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检测方法</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检测分析仪器及型号</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检出限</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609"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pH值</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土壤pH值的测定电位法</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HJ962-2018</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台式pH计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PHS-3E</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镉</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土壤质量铅、镉的测定石墨炉原子吸收分光光度法GB/T17141-1997</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原子吸收分光光度计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TAS-990AFG</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1370"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汞、砷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土壤和沉积物汞、砷、硒、铋、锑的测定原子荧光法HJ680-2013</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原子荧光光度计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PF31</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ascii="宋体" w:hAnsi="宋体" w:eastAsia="宋体" w:cs="宋体"/>
                <w:color w:val="auto"/>
                <w:spacing w:val="-20"/>
                <w:kern w:val="0"/>
                <w:szCs w:val="21"/>
                <w:highlight w:val="none"/>
              </w:rPr>
            </w:pPr>
            <w:r>
              <w:rPr>
                <w:rFonts w:hint="eastAsia" w:ascii="宋体" w:hAnsi="宋体" w:eastAsia="宋体" w:cs="宋体"/>
                <w:color w:val="auto"/>
                <w:spacing w:val="-20"/>
                <w:kern w:val="0"/>
                <w:szCs w:val="21"/>
                <w:highlight w:val="none"/>
              </w:rPr>
              <w:t>汞:0.002mg/kg;</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ascii="宋体" w:hAnsi="宋体" w:eastAsia="宋体" w:cs="宋体"/>
                <w:color w:val="auto"/>
                <w:kern w:val="0"/>
                <w:sz w:val="24"/>
                <w:highlight w:val="none"/>
              </w:rPr>
            </w:pPr>
            <w:r>
              <w:rPr>
                <w:rFonts w:hint="eastAsia" w:ascii="宋体" w:hAnsi="宋体" w:eastAsia="宋体" w:cs="宋体"/>
                <w:color w:val="auto"/>
                <w:spacing w:val="-20"/>
                <w:kern w:val="0"/>
                <w:szCs w:val="21"/>
                <w:highlight w:val="none"/>
              </w:rPr>
              <w:t>砷:0.01mg/kg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1221"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铬（六价）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土壤和沉积物六价铬的测定碱溶液提取-火焰原子吸收分光光度法</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HJ1082-2019</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原子吸收分光光度计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TAS-990AFG</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0.5mg/kg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1411"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铅、铜、镍</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土壤和沉积物铜、锌、铅、镍、铬的测定火焰原子吸收分光光度法</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HJ491-2019</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原子吸收分光光度计</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TAS-990AFG</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ascii="宋体" w:hAnsi="宋体" w:eastAsia="宋体" w:cs="宋体"/>
                <w:color w:val="auto"/>
                <w:spacing w:val="-20"/>
                <w:kern w:val="0"/>
                <w:szCs w:val="21"/>
                <w:highlight w:val="none"/>
              </w:rPr>
            </w:pPr>
            <w:r>
              <w:rPr>
                <w:rFonts w:hint="eastAsia" w:ascii="宋体" w:hAnsi="宋体" w:eastAsia="宋体" w:cs="宋体"/>
                <w:color w:val="auto"/>
                <w:spacing w:val="-20"/>
                <w:kern w:val="0"/>
                <w:szCs w:val="21"/>
                <w:highlight w:val="none"/>
              </w:rPr>
              <w:t>铅:10mg/kg;</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ascii="宋体" w:hAnsi="宋体" w:eastAsia="宋体" w:cs="宋体"/>
                <w:color w:val="auto"/>
                <w:spacing w:val="-20"/>
                <w:kern w:val="0"/>
                <w:szCs w:val="21"/>
                <w:highlight w:val="none"/>
              </w:rPr>
            </w:pPr>
            <w:r>
              <w:rPr>
                <w:rFonts w:hint="eastAsia" w:ascii="宋体" w:hAnsi="宋体" w:eastAsia="宋体" w:cs="宋体"/>
                <w:color w:val="auto"/>
                <w:spacing w:val="-20"/>
                <w:kern w:val="0"/>
                <w:szCs w:val="21"/>
                <w:highlight w:val="none"/>
              </w:rPr>
              <w:t>铜:1mg/kg;</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ascii="宋体" w:hAnsi="宋体" w:eastAsia="宋体" w:cs="宋体"/>
                <w:color w:val="auto"/>
                <w:kern w:val="0"/>
                <w:sz w:val="24"/>
                <w:highlight w:val="none"/>
              </w:rPr>
            </w:pPr>
            <w:r>
              <w:rPr>
                <w:rFonts w:hint="eastAsia" w:ascii="宋体" w:hAnsi="宋体" w:eastAsia="宋体" w:cs="宋体"/>
                <w:color w:val="auto"/>
                <w:spacing w:val="-20"/>
                <w:kern w:val="0"/>
                <w:szCs w:val="21"/>
                <w:highlight w:val="none"/>
              </w:rPr>
              <w:t>镍:3mg/kg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四氯化碳</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1.3μg/kg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氯仿</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1.1μg/kg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氯甲烷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1.0μg/kg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1,1-二氯乙烷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4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1,2-二氯乙烷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1.3μg/kg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1,1-二氯乙烯</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1.0μg/kg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顺-1,2-二氯乙烯</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1.3μg/kg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反-1,2-二氯乙烯</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1.4μg/kg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二氯甲烷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1.5μg/kg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1,2-二氯丙烷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1.1μg/kg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151" w:type="dxa"/>
          <w:trHeight w:val="914" w:hRule="atLeast"/>
          <w:jc w:val="center"/>
        </w:trPr>
        <w:tc>
          <w:tcPr>
            <w:tcW w:w="148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1,1,1,2-四氯乙烷</w:t>
            </w:r>
          </w:p>
        </w:tc>
        <w:tc>
          <w:tcPr>
            <w:tcW w:w="366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1,1,2,2-四氯乙烷</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四氯乙烯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1.4μg/kg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1,1,1-三氯乙烷</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1.3μg/kg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1,1,2-三氯乙烷</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三氯乙烯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1,2,3-三氯丙烷</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123"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氯乙烯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1.0μg/kg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1.9μg/kg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氯苯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1,2-二氯苯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1.5μg/kg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1,4-二氯苯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1.5μg/kg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乙苯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苯乙烯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1.1μg/kg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甲苯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1.3μg/kg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间二甲苯+对二甲苯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邻二甲苯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土壤和沉积物挥发性有机物的测定吹扫捕集/气相色谱-质谱法HJ605-2011</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1.2μg/kg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09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硝基苯</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0.09mg/kg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1"/>
          <w:gridAfter w:val="1"/>
          <w:wBefore w:w="13" w:type="dxa"/>
          <w:wAfter w:w="151" w:type="dxa"/>
          <w:trHeight w:val="1124" w:hRule="atLeast"/>
          <w:jc w:val="center"/>
        </w:trPr>
        <w:tc>
          <w:tcPr>
            <w:tcW w:w="1471"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苯胺</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37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97"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2-氯酚</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0.06mg/kg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苯并[a]蒽</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苯并[a]芘</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苯并[b]荧蒽</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0.2mg/kg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苯并[k]荧蒽</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䓛</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8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二苯并[a，h]蒽</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912"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茚并[1,2,3-cd]芘</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0.1mg/kg</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Before w:val="2"/>
          <w:wBefore w:w="16" w:type="dxa"/>
          <w:trHeight w:val="1028" w:hRule="atLeast"/>
          <w:jc w:val="center"/>
        </w:trPr>
        <w:tc>
          <w:tcPr>
            <w:tcW w:w="1468"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萘</w:t>
            </w:r>
          </w:p>
        </w:tc>
        <w:tc>
          <w:tcPr>
            <w:tcW w:w="3661"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土壤和沉积物半挥发性有机物的测定气相色谱-质谱法HJ834-2017</w:t>
            </w:r>
          </w:p>
        </w:tc>
        <w:tc>
          <w:tcPr>
            <w:tcW w:w="2444" w:type="dxa"/>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气相色谱质谱联用仪Agilent8860/5977B</w:t>
            </w:r>
          </w:p>
        </w:tc>
        <w:tc>
          <w:tcPr>
            <w:tcW w:w="1529" w:type="dxa"/>
            <w:gridSpan w:val="2"/>
            <w:vAlign w:val="center"/>
          </w:tcPr>
          <w:p>
            <w:pPr>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highlight w:val="none"/>
              </w:rPr>
              <w:t>0.09mg/kg</w:t>
            </w:r>
          </w:p>
        </w:tc>
      </w:tr>
      <w:bookmarkEnd w:id="207"/>
      <w:bookmarkEnd w:id="208"/>
      <w:bookmarkEnd w:id="209"/>
      <w:bookmarkEnd w:id="210"/>
    </w:tbl>
    <w:p>
      <w:pPr>
        <w:pStyle w:val="2"/>
        <w:bidi w:val="0"/>
        <w:rPr>
          <w:rFonts w:hint="eastAsia" w:ascii="宋体" w:hAnsi="宋体" w:eastAsia="宋体" w:cs="宋体"/>
          <w:b/>
          <w:bCs/>
          <w:kern w:val="2"/>
          <w:szCs w:val="32"/>
          <w:lang w:val="en-US" w:eastAsia="zh-CN" w:bidi="zh-CN"/>
        </w:rPr>
      </w:pPr>
      <w:bookmarkStart w:id="219" w:name="_Toc2344"/>
      <w:bookmarkStart w:id="220" w:name="_Toc19180"/>
      <w:bookmarkStart w:id="221" w:name="_Toc25764"/>
      <w:r>
        <w:rPr>
          <w:rFonts w:hint="eastAsia" w:ascii="宋体" w:hAnsi="宋体" w:eastAsia="宋体" w:cs="宋体"/>
          <w:lang w:val="en-US" w:eastAsia="zh-CN"/>
        </w:rPr>
        <w:t>8监测结果分析</w:t>
      </w:r>
      <w:bookmarkEnd w:id="219"/>
      <w:bookmarkEnd w:id="220"/>
      <w:bookmarkEnd w:id="221"/>
    </w:p>
    <w:p>
      <w:pPr>
        <w:keepNext/>
        <w:keepLines/>
        <w:widowControl w:val="0"/>
        <w:numPr>
          <w:ilvl w:val="0"/>
          <w:numId w:val="0"/>
        </w:numPr>
        <w:bidi w:val="0"/>
        <w:spacing w:before="120" w:after="120" w:line="520" w:lineRule="exact"/>
        <w:jc w:val="left"/>
        <w:outlineLvl w:val="1"/>
        <w:rPr>
          <w:rFonts w:hint="eastAsia" w:ascii="宋体" w:hAnsi="宋体" w:eastAsia="宋体" w:cs="宋体"/>
          <w:b/>
          <w:bCs/>
          <w:color w:val="auto"/>
          <w:kern w:val="2"/>
          <w:sz w:val="28"/>
          <w:szCs w:val="32"/>
          <w:highlight w:val="none"/>
          <w:lang w:val="en-US" w:eastAsia="zh-CN" w:bidi="ar-SA"/>
        </w:rPr>
      </w:pPr>
      <w:bookmarkStart w:id="222" w:name="_Toc5110"/>
      <w:bookmarkStart w:id="223" w:name="_Toc7327"/>
      <w:bookmarkStart w:id="224" w:name="_Toc17944"/>
      <w:r>
        <w:rPr>
          <w:rFonts w:hint="eastAsia" w:ascii="宋体" w:hAnsi="宋体" w:eastAsia="宋体" w:cs="宋体"/>
          <w:b/>
          <w:bCs/>
          <w:kern w:val="2"/>
          <w:sz w:val="28"/>
          <w:szCs w:val="32"/>
          <w:lang w:val="en-US" w:eastAsia="zh-CN" w:bidi="ar-SA"/>
        </w:rPr>
        <w:t>8.1</w:t>
      </w:r>
      <w:bookmarkEnd w:id="222"/>
      <w:bookmarkEnd w:id="223"/>
      <w:bookmarkStart w:id="225" w:name="_Toc23170"/>
      <w:bookmarkStart w:id="226" w:name="_Toc26279"/>
      <w:bookmarkStart w:id="227" w:name="_Toc29801"/>
      <w:bookmarkStart w:id="228" w:name="_Toc24379"/>
      <w:bookmarkStart w:id="229" w:name="_Toc14167"/>
      <w:r>
        <w:rPr>
          <w:rFonts w:hint="eastAsia" w:ascii="宋体" w:hAnsi="宋体" w:eastAsia="宋体" w:cs="宋体"/>
          <w:b/>
          <w:bCs/>
          <w:color w:val="auto"/>
          <w:kern w:val="2"/>
          <w:sz w:val="28"/>
          <w:szCs w:val="32"/>
          <w:highlight w:val="none"/>
          <w:lang w:val="en-US" w:eastAsia="zh-CN" w:bidi="ar-SA"/>
        </w:rPr>
        <w:t>执行及参考标准</w:t>
      </w:r>
      <w:bookmarkEnd w:id="224"/>
      <w:bookmarkEnd w:id="225"/>
      <w:bookmarkEnd w:id="226"/>
      <w:bookmarkEnd w:id="227"/>
      <w:bookmarkEnd w:id="228"/>
      <w:bookmarkEnd w:id="229"/>
    </w:p>
    <w:p>
      <w:pPr>
        <w:pStyle w:val="6"/>
        <w:pageBreakBefore w:val="0"/>
        <w:kinsoku/>
        <w:wordWrap/>
        <w:overflowPunct/>
        <w:topLinePunct w:val="0"/>
        <w:bidi w:val="0"/>
        <w:spacing w:line="360" w:lineRule="auto"/>
        <w:ind w:left="0" w:leftChars="0" w:right="0" w:firstLine="561"/>
        <w:rPr>
          <w:rFonts w:hint="eastAsia" w:ascii="宋体" w:hAnsi="宋体" w:eastAsia="宋体" w:cs="宋体"/>
          <w:color w:val="auto"/>
          <w:spacing w:val="0"/>
          <w:sz w:val="28"/>
          <w:szCs w:val="28"/>
          <w:highlight w:val="none"/>
        </w:rPr>
      </w:pPr>
      <w:bookmarkStart w:id="230" w:name="_Toc28218"/>
      <w:bookmarkStart w:id="231" w:name="_Toc25732"/>
      <w:bookmarkStart w:id="232" w:name="_Toc21438"/>
      <w:bookmarkStart w:id="233" w:name="_Toc4373"/>
      <w:r>
        <w:rPr>
          <w:rFonts w:hint="eastAsia" w:ascii="宋体" w:hAnsi="宋体" w:eastAsia="宋体" w:cs="宋体"/>
          <w:color w:val="auto"/>
          <w:spacing w:val="0"/>
          <w:sz w:val="28"/>
          <w:szCs w:val="28"/>
          <w:highlight w:val="none"/>
        </w:rPr>
        <w:t>对所采集的土壤样品监测数据进行汇总、统计、分析，分析结果对比《土壤环境质量建设用地土壤污染风险管控标准》（试行）（GB36600-2018）标准，《土壤环境质量农用地土壤污染风险管控标准》（试行）（GB</w:t>
      </w:r>
      <w:r>
        <w:rPr>
          <w:rFonts w:hint="eastAsia" w:ascii="宋体" w:hAnsi="宋体" w:eastAsia="宋体" w:cs="宋体"/>
          <w:color w:val="auto"/>
          <w:spacing w:val="0"/>
          <w:sz w:val="28"/>
          <w:szCs w:val="28"/>
          <w:highlight w:val="none"/>
          <w:lang w:val="en-US"/>
        </w:rPr>
        <w:t>15618</w:t>
      </w:r>
      <w:r>
        <w:rPr>
          <w:rFonts w:hint="eastAsia" w:ascii="宋体" w:hAnsi="宋体" w:eastAsia="宋体" w:cs="宋体"/>
          <w:color w:val="auto"/>
          <w:spacing w:val="0"/>
          <w:sz w:val="28"/>
          <w:szCs w:val="28"/>
          <w:highlight w:val="none"/>
        </w:rPr>
        <w:t>-2018）标准，</w:t>
      </w:r>
      <w:r>
        <w:rPr>
          <w:rFonts w:hint="eastAsia" w:ascii="宋体" w:hAnsi="宋体" w:eastAsia="宋体" w:cs="宋体"/>
          <w:color w:val="auto"/>
          <w:spacing w:val="0"/>
          <w:sz w:val="28"/>
          <w:szCs w:val="28"/>
          <w:highlight w:val="none"/>
          <w:lang w:eastAsia="zh-CN"/>
        </w:rPr>
        <w:t>以上两项</w:t>
      </w:r>
      <w:r>
        <w:rPr>
          <w:rFonts w:hint="eastAsia" w:ascii="宋体" w:hAnsi="宋体" w:eastAsia="宋体" w:cs="宋体"/>
          <w:color w:val="auto"/>
          <w:spacing w:val="0"/>
          <w:sz w:val="28"/>
          <w:szCs w:val="28"/>
          <w:highlight w:val="none"/>
        </w:rPr>
        <w:t>标准中没有的项目参考《场地土壤环境风险评价筛选值》（北京市地方标准DB11/T811-2011），评价</w:t>
      </w:r>
      <w:r>
        <w:rPr>
          <w:rFonts w:hint="eastAsia" w:cs="宋体"/>
          <w:color w:val="auto"/>
          <w:spacing w:val="0"/>
          <w:sz w:val="28"/>
          <w:szCs w:val="28"/>
          <w:highlight w:val="none"/>
          <w:lang w:eastAsia="zh-CN"/>
        </w:rPr>
        <w:t>河南省中威春雨植物营养有限公司</w:t>
      </w:r>
      <w:r>
        <w:rPr>
          <w:rFonts w:hint="eastAsia" w:ascii="宋体" w:hAnsi="宋体" w:eastAsia="宋体" w:cs="宋体"/>
          <w:color w:val="auto"/>
          <w:spacing w:val="0"/>
          <w:sz w:val="28"/>
          <w:szCs w:val="28"/>
          <w:highlight w:val="none"/>
        </w:rPr>
        <w:t>土壤质量情况符合建设用地的筛选值或管制值，或是超管制值。项目涉及的特征因子中，以上两项标准均无标准值的，仅作分析测试，结果保存用于之后土壤自行监测结果的的对比参考值。</w:t>
      </w:r>
    </w:p>
    <w:p>
      <w:pPr>
        <w:pStyle w:val="6"/>
        <w:pageBreakBefore w:val="0"/>
        <w:kinsoku/>
        <w:wordWrap/>
        <w:overflowPunct/>
        <w:topLinePunct w:val="0"/>
        <w:bidi w:val="0"/>
        <w:spacing w:line="360" w:lineRule="auto"/>
        <w:ind w:left="0" w:leftChars="0" w:right="0" w:firstLine="537"/>
        <w:rPr>
          <w:rFonts w:hint="eastAsia" w:ascii="宋体" w:hAnsi="宋体" w:eastAsia="宋体" w:cs="宋体"/>
          <w:b/>
          <w:color w:val="auto"/>
          <w:spacing w:val="-32"/>
          <w:sz w:val="28"/>
          <w:szCs w:val="28"/>
          <w:highlight w:val="none"/>
          <w:lang w:val="en-US" w:eastAsia="zh-CN"/>
        </w:rPr>
      </w:pPr>
      <w:r>
        <w:rPr>
          <w:rFonts w:hint="eastAsia" w:ascii="宋体" w:hAnsi="宋体" w:eastAsia="宋体" w:cs="宋体"/>
          <w:color w:val="auto"/>
          <w:spacing w:val="0"/>
          <w:sz w:val="28"/>
          <w:szCs w:val="28"/>
          <w:highlight w:val="none"/>
        </w:rPr>
        <w:t>建设用地土壤监测因子执行的《土壤环境质量建设用地土壤污染风险管控标准》（试行）（GB36600-2018）标准筛选值及管制值见表</w:t>
      </w:r>
      <w:r>
        <w:rPr>
          <w:rFonts w:hint="eastAsia" w:ascii="宋体" w:hAnsi="宋体" w:eastAsia="宋体" w:cs="宋体"/>
          <w:color w:val="auto"/>
          <w:spacing w:val="0"/>
          <w:sz w:val="28"/>
          <w:szCs w:val="28"/>
          <w:highlight w:val="none"/>
          <w:lang w:val="en-US" w:eastAsia="zh-CN"/>
        </w:rPr>
        <w:t>7</w:t>
      </w:r>
      <w:r>
        <w:rPr>
          <w:rFonts w:hint="eastAsia" w:ascii="宋体" w:hAnsi="宋体" w:eastAsia="宋体" w:cs="宋体"/>
          <w:color w:val="auto"/>
          <w:spacing w:val="0"/>
          <w:sz w:val="28"/>
          <w:szCs w:val="28"/>
          <w:highlight w:val="none"/>
        </w:rPr>
        <w:t>，农用地土壤监测因子执行的《土壤环境质量农用地土壤污染风险管控标准》（试行）（GB15618-2018）标准筛选值及管制值见表</w:t>
      </w:r>
      <w:r>
        <w:rPr>
          <w:rFonts w:hint="eastAsia" w:ascii="宋体" w:hAnsi="宋体" w:eastAsia="宋体" w:cs="宋体"/>
          <w:color w:val="auto"/>
          <w:spacing w:val="0"/>
          <w:sz w:val="28"/>
          <w:szCs w:val="28"/>
          <w:highlight w:val="none"/>
          <w:lang w:val="en-US" w:eastAsia="zh-CN"/>
        </w:rPr>
        <w:t>8-1</w:t>
      </w:r>
      <w:r>
        <w:rPr>
          <w:rFonts w:hint="eastAsia" w:ascii="宋体" w:hAnsi="宋体" w:eastAsia="宋体" w:cs="宋体"/>
          <w:color w:val="auto"/>
          <w:spacing w:val="0"/>
          <w:sz w:val="28"/>
          <w:szCs w:val="28"/>
          <w:highlight w:val="none"/>
        </w:rPr>
        <w:t>，《场地土壤环境风险评价筛选值》（北京市地方标准DB11/T811-2011）见表</w:t>
      </w:r>
      <w:r>
        <w:rPr>
          <w:rFonts w:hint="eastAsia" w:ascii="宋体" w:hAnsi="宋体" w:eastAsia="宋体" w:cs="宋体"/>
          <w:color w:val="auto"/>
          <w:spacing w:val="0"/>
          <w:sz w:val="28"/>
          <w:szCs w:val="28"/>
          <w:highlight w:val="none"/>
          <w:lang w:val="en-US" w:eastAsia="zh-CN"/>
        </w:rPr>
        <w:t>8-2</w:t>
      </w:r>
      <w:r>
        <w:rPr>
          <w:rFonts w:hint="eastAsia" w:ascii="宋体" w:hAnsi="宋体" w:eastAsia="宋体" w:cs="宋体"/>
          <w:color w:val="auto"/>
          <w:spacing w:val="0"/>
          <w:sz w:val="28"/>
          <w:szCs w:val="28"/>
          <w:highlight w:val="none"/>
        </w:rPr>
        <w:t>。</w:t>
      </w:r>
      <w:r>
        <w:rPr>
          <w:rFonts w:hint="eastAsia" w:cs="宋体"/>
          <w:color w:val="auto"/>
          <w:spacing w:val="0"/>
          <w:sz w:val="28"/>
          <w:szCs w:val="28"/>
          <w:highlight w:val="none"/>
          <w:lang w:val="en-US" w:eastAsia="zh-CN"/>
        </w:rPr>
        <w:t>河南省中威春雨植物营养有限公司</w:t>
      </w:r>
      <w:r>
        <w:rPr>
          <w:rFonts w:hint="eastAsia" w:ascii="宋体" w:hAnsi="宋体" w:eastAsia="宋体" w:cs="宋体"/>
          <w:color w:val="auto"/>
          <w:spacing w:val="0"/>
          <w:sz w:val="28"/>
          <w:szCs w:val="28"/>
          <w:highlight w:val="none"/>
          <w:lang w:val="en-US" w:eastAsia="zh-CN"/>
        </w:rPr>
        <w:t>土壤监测数据均符合以上标准限值要求。</w:t>
      </w:r>
    </w:p>
    <w:p>
      <w:pPr>
        <w:pageBreakBefore w:val="0"/>
        <w:kinsoku/>
        <w:wordWrap/>
        <w:overflowPunct/>
        <w:topLinePunct w:val="0"/>
        <w:bidi w:val="0"/>
        <w:spacing w:line="360" w:lineRule="auto"/>
        <w:ind w:left="0" w:leftChars="0" w:right="0"/>
        <w:jc w:val="center"/>
        <w:rPr>
          <w:rFonts w:hint="eastAsia" w:ascii="宋体" w:hAnsi="宋体" w:eastAsia="宋体" w:cs="宋体"/>
          <w:b/>
          <w:color w:val="auto"/>
          <w:spacing w:val="-2"/>
          <w:sz w:val="28"/>
          <w:szCs w:val="28"/>
          <w:highlight w:val="none"/>
        </w:rPr>
      </w:pPr>
      <w:r>
        <w:rPr>
          <w:rFonts w:hint="eastAsia" w:ascii="宋体" w:hAnsi="宋体" w:eastAsia="宋体" w:cs="宋体"/>
          <w:b/>
          <w:color w:val="auto"/>
          <w:spacing w:val="-32"/>
          <w:sz w:val="28"/>
          <w:szCs w:val="28"/>
          <w:highlight w:val="none"/>
        </w:rPr>
        <w:t>表</w:t>
      </w:r>
      <w:r>
        <w:rPr>
          <w:rFonts w:hint="eastAsia" w:ascii="宋体" w:hAnsi="宋体" w:eastAsia="宋体" w:cs="宋体"/>
          <w:b/>
          <w:color w:val="auto"/>
          <w:sz w:val="28"/>
          <w:szCs w:val="28"/>
          <w:highlight w:val="none"/>
          <w:lang w:val="en-US" w:eastAsia="zh-CN"/>
        </w:rPr>
        <w:t xml:space="preserve">8-1  </w:t>
      </w:r>
      <w:r>
        <w:rPr>
          <w:rFonts w:hint="eastAsia" w:ascii="宋体" w:hAnsi="宋体" w:eastAsia="宋体" w:cs="宋体"/>
          <w:b/>
          <w:color w:val="auto"/>
          <w:spacing w:val="-2"/>
          <w:sz w:val="28"/>
          <w:szCs w:val="28"/>
          <w:highlight w:val="none"/>
        </w:rPr>
        <w:t>建设用地土壤污染风险筛选值和管制值</w:t>
      </w:r>
    </w:p>
    <w:p>
      <w:pPr>
        <w:pageBreakBefore w:val="0"/>
        <w:kinsoku/>
        <w:wordWrap/>
        <w:overflowPunct/>
        <w:topLinePunct w:val="0"/>
        <w:bidi w:val="0"/>
        <w:spacing w:line="240" w:lineRule="auto"/>
        <w:ind w:left="0" w:leftChars="0" w:right="0"/>
        <w:jc w:val="center"/>
        <w:rPr>
          <w:rFonts w:hint="eastAsia" w:ascii="宋体" w:hAnsi="宋体" w:eastAsia="宋体" w:cs="宋体"/>
          <w:bCs/>
          <w:color w:val="auto"/>
          <w:sz w:val="24"/>
          <w:highlight w:val="none"/>
        </w:rPr>
      </w:pPr>
      <w:r>
        <w:rPr>
          <w:rFonts w:hint="eastAsia" w:ascii="宋体" w:hAnsi="宋体" w:eastAsia="宋体" w:cs="宋体"/>
          <w:bCs/>
          <w:color w:val="auto"/>
          <w:spacing w:val="-2"/>
          <w:sz w:val="24"/>
          <w:highlight w:val="none"/>
        </w:rPr>
        <w:t>单位：mg/kg</w:t>
      </w:r>
    </w:p>
    <w:tbl>
      <w:tblPr>
        <w:tblStyle w:val="19"/>
        <w:tblW w:w="91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2"/>
        <w:gridCol w:w="1754"/>
        <w:gridCol w:w="1453"/>
        <w:gridCol w:w="1146"/>
        <w:gridCol w:w="1362"/>
        <w:gridCol w:w="1310"/>
        <w:gridCol w:w="13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52" w:type="dxa"/>
            <w:vMerge w:val="restart"/>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序号</w:t>
            </w:r>
          </w:p>
        </w:tc>
        <w:tc>
          <w:tcPr>
            <w:tcW w:w="1754" w:type="dxa"/>
            <w:vMerge w:val="restart"/>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污染物项目</w:t>
            </w:r>
          </w:p>
        </w:tc>
        <w:tc>
          <w:tcPr>
            <w:tcW w:w="1453" w:type="dxa"/>
            <w:vMerge w:val="restart"/>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CAS编号</w:t>
            </w:r>
          </w:p>
        </w:tc>
        <w:tc>
          <w:tcPr>
            <w:tcW w:w="2508" w:type="dxa"/>
            <w:gridSpan w:val="2"/>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筛选值</w:t>
            </w:r>
          </w:p>
        </w:tc>
        <w:tc>
          <w:tcPr>
            <w:tcW w:w="2671" w:type="dxa"/>
            <w:gridSpan w:val="2"/>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管制值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jc w:val="center"/>
        </w:trPr>
        <w:tc>
          <w:tcPr>
            <w:tcW w:w="752" w:type="dxa"/>
            <w:vMerge w:val="continue"/>
            <w:tcBorders>
              <w:top w:val="nil"/>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p>
        </w:tc>
        <w:tc>
          <w:tcPr>
            <w:tcW w:w="1754" w:type="dxa"/>
            <w:vMerge w:val="continue"/>
            <w:tcBorders>
              <w:top w:val="nil"/>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p>
        </w:tc>
        <w:tc>
          <w:tcPr>
            <w:tcW w:w="1453" w:type="dxa"/>
            <w:vMerge w:val="continue"/>
            <w:tcBorders>
              <w:top w:val="nil"/>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第一类用地</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第二类用地</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第一类用地</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第二类用地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138" w:type="dxa"/>
            <w:gridSpan w:val="7"/>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重金属和无机物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铜</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7440-50-8</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18000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8000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铅</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7439-92-1</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400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800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镉</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7440-43-9</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47</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镍</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7440-02-0</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900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汞</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7439-97-6</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33</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7440-38-2</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铬（六价）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18540-29-9</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5.7</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9138" w:type="dxa"/>
            <w:gridSpan w:val="7"/>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半挥发性有机物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2-氯酚</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95-57-8</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2256</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硝基苯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98-95-3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34</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76</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190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萘</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91-20-3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苯并[a]蒽</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56-55-3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䓛</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218-01-9</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490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1293</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4900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13</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苯并(b)荧蒽</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205-99-2</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苯并(k)荧蒽</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207-08-9</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151</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苯并(a)芘</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50-32-8</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0.55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茚并(1,2,3-cd)芘</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193-39-5</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17</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二苯并(a,h)蒽</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53-70-3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0.55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18</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苯胺</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62-53-3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92</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260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211</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9138" w:type="dxa"/>
            <w:gridSpan w:val="7"/>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挥发性有机物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19</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71-43-2</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甲苯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108-88-3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21</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氯苯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108-90-7</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68</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270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22</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乙苯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100-41-4</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7.2</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72</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23</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邻二甲苯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95-47-6</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222</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640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640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24</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1，4-二氯苯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106-46-7</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1，2-二氯苯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95-50-1</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26</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间二甲苯+对二甲苯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108-38-3,106-42-3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163</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570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27</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氯甲烷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74-87-3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21</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二氯甲烷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75-09-2</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94</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616</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29</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1，1-二氯乙烷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75-34-3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1，1，1-三氯乙烷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71-55-6</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701</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840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840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31</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1，2-二氯乙烷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107-06-2</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0.52</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32</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1，2-二氯丙烷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78-87-5</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33</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1，1，2-三氯乙烷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79-00-5</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0.6</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34</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1，1，1，2-四氯乙烷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630-20-6</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2.6</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26</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35</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1，1，2，2-四氯乙烷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79-34-5</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6.8</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14</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36</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1，2，3-三氯丙烷</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96-18-4</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0.05</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37</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氯乙烯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75-01-4</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0.12</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0.43</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38</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三氯乙烯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79-01-6</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0.7</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39</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四氯乙烯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127-18-4</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53</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34</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40</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反-1,2-二氯乙烯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156-60-5</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54</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31</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41</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顺-1,2-二氯乙烯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156-59-2</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66</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596</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42</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1,1-二氯乙烯</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75-34-3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43</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氯仿</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67-66-3</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0.3</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0.9</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752" w:type="dxa"/>
            <w:vAlign w:val="top"/>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44</w:t>
            </w:r>
          </w:p>
        </w:tc>
        <w:tc>
          <w:tcPr>
            <w:tcW w:w="1754"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四氯化碳</w:t>
            </w:r>
          </w:p>
        </w:tc>
        <w:tc>
          <w:tcPr>
            <w:tcW w:w="1453"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56-23-5</w:t>
            </w:r>
          </w:p>
        </w:tc>
        <w:tc>
          <w:tcPr>
            <w:tcW w:w="1146"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0.9</w:t>
            </w:r>
          </w:p>
        </w:tc>
        <w:tc>
          <w:tcPr>
            <w:tcW w:w="1362"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2.8</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w:t>
            </w:r>
          </w:p>
        </w:tc>
        <w:tc>
          <w:tcPr>
            <w:tcW w:w="1361"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36</w:t>
            </w:r>
          </w:p>
        </w:tc>
      </w:tr>
    </w:tbl>
    <w:p>
      <w:pPr>
        <w:pStyle w:val="6"/>
        <w:pageBreakBefore w:val="0"/>
        <w:kinsoku/>
        <w:wordWrap/>
        <w:overflowPunct/>
        <w:topLinePunct w:val="0"/>
        <w:bidi w:val="0"/>
        <w:spacing w:line="240" w:lineRule="auto"/>
        <w:ind w:left="0" w:leftChars="0" w:right="0"/>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val="en-US" w:eastAsia="zh-CN"/>
        </w:rPr>
        <w:t>8-2</w:t>
      </w:r>
      <w:r>
        <w:rPr>
          <w:rFonts w:hint="eastAsia" w:ascii="宋体" w:hAnsi="宋体" w:eastAsia="宋体" w:cs="宋体"/>
          <w:b/>
          <w:bCs/>
          <w:color w:val="auto"/>
          <w:sz w:val="28"/>
          <w:szCs w:val="28"/>
          <w:highlight w:val="none"/>
        </w:rPr>
        <w:t>农用地土壤污染风险筛选值</w:t>
      </w:r>
    </w:p>
    <w:tbl>
      <w:tblPr>
        <w:tblStyle w:val="20"/>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1995"/>
        <w:gridCol w:w="1937"/>
        <w:gridCol w:w="1310"/>
        <w:gridCol w:w="1310"/>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Merge w:val="restart"/>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序号</w:t>
            </w:r>
          </w:p>
        </w:tc>
        <w:tc>
          <w:tcPr>
            <w:tcW w:w="1995" w:type="dxa"/>
            <w:vMerge w:val="restart"/>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污染物项目</w:t>
            </w:r>
          </w:p>
        </w:tc>
        <w:tc>
          <w:tcPr>
            <w:tcW w:w="5874" w:type="dxa"/>
            <w:gridSpan w:val="4"/>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31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p>
        </w:tc>
        <w:tc>
          <w:tcPr>
            <w:tcW w:w="1995"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p>
        </w:tc>
        <w:tc>
          <w:tcPr>
            <w:tcW w:w="193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pH≤5.5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5.5&lt;</w:t>
            </w:r>
            <w:r>
              <w:rPr>
                <w:rFonts w:hint="eastAsia" w:ascii="宋体" w:hAnsi="宋体" w:eastAsia="宋体" w:cs="宋体"/>
                <w:bCs/>
                <w:color w:val="auto"/>
                <w:sz w:val="21"/>
                <w:szCs w:val="21"/>
                <w:highlight w:val="none"/>
                <w:lang w:val="en-US" w:eastAsia="zh-CN"/>
              </w:rPr>
              <w:t>pH≤</w:t>
            </w:r>
            <w:r>
              <w:rPr>
                <w:rFonts w:hint="eastAsia" w:ascii="宋体" w:hAnsi="宋体" w:eastAsia="宋体" w:cs="宋体"/>
                <w:bCs/>
                <w:color w:val="auto"/>
                <w:sz w:val="21"/>
                <w:szCs w:val="21"/>
                <w:highlight w:val="none"/>
                <w:lang w:eastAsia="zh-CN"/>
              </w:rPr>
              <w:t>6</w:t>
            </w:r>
            <w:r>
              <w:rPr>
                <w:rFonts w:hint="eastAsia" w:ascii="宋体" w:hAnsi="宋体" w:eastAsia="宋体" w:cs="宋体"/>
                <w:bCs/>
                <w:color w:val="auto"/>
                <w:sz w:val="21"/>
                <w:szCs w:val="21"/>
                <w:highlight w:val="none"/>
                <w:lang w:val="en-US" w:eastAsia="zh-CN"/>
              </w:rPr>
              <w:t>.5</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6</w:t>
            </w:r>
            <w:r>
              <w:rPr>
                <w:rFonts w:hint="eastAsia" w:ascii="宋体" w:hAnsi="宋体" w:eastAsia="宋体" w:cs="宋体"/>
                <w:bCs/>
                <w:color w:val="auto"/>
                <w:sz w:val="21"/>
                <w:szCs w:val="21"/>
                <w:highlight w:val="none"/>
                <w:lang w:val="en-US" w:eastAsia="zh-CN"/>
              </w:rPr>
              <w:t>.5&lt;pH≤</w:t>
            </w:r>
            <w:r>
              <w:rPr>
                <w:rFonts w:hint="eastAsia" w:ascii="宋体" w:hAnsi="宋体" w:eastAsia="宋体" w:cs="宋体"/>
                <w:bCs/>
                <w:color w:val="auto"/>
                <w:sz w:val="21"/>
                <w:szCs w:val="21"/>
                <w:highlight w:val="none"/>
                <w:lang w:eastAsia="zh-CN"/>
              </w:rPr>
              <w:t>7</w:t>
            </w:r>
            <w:r>
              <w:rPr>
                <w:rFonts w:hint="eastAsia" w:ascii="宋体" w:hAnsi="宋体" w:eastAsia="宋体" w:cs="宋体"/>
                <w:bCs/>
                <w:color w:val="auto"/>
                <w:sz w:val="21"/>
                <w:szCs w:val="21"/>
                <w:highlight w:val="none"/>
                <w:lang w:val="en-US" w:eastAsia="zh-CN"/>
              </w:rPr>
              <w:t>.5</w:t>
            </w:r>
          </w:p>
        </w:tc>
        <w:tc>
          <w:tcPr>
            <w:tcW w:w="131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pH</w:t>
            </w:r>
            <w:r>
              <w:rPr>
                <w:rFonts w:hint="eastAsia" w:ascii="宋体" w:hAnsi="宋体" w:eastAsia="宋体" w:cs="宋体"/>
                <w:bCs/>
                <w:color w:val="auto"/>
                <w:sz w:val="21"/>
                <w:szCs w:val="21"/>
                <w:highlight w:val="none"/>
                <w:lang w:eastAsia="zh-CN"/>
              </w:rPr>
              <w:t>&gt;7</w:t>
            </w:r>
            <w:r>
              <w:rPr>
                <w:rFonts w:hint="eastAsia" w:ascii="宋体" w:hAnsi="宋体" w:eastAsia="宋体" w:cs="宋体"/>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w:t>
            </w:r>
          </w:p>
        </w:tc>
        <w:tc>
          <w:tcPr>
            <w:tcW w:w="1995"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镉</w:t>
            </w:r>
          </w:p>
        </w:tc>
        <w:tc>
          <w:tcPr>
            <w:tcW w:w="193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0.3</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0.3</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0.3</w:t>
            </w:r>
          </w:p>
        </w:tc>
        <w:tc>
          <w:tcPr>
            <w:tcW w:w="131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w:t>
            </w:r>
          </w:p>
        </w:tc>
        <w:tc>
          <w:tcPr>
            <w:tcW w:w="1995"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汞</w:t>
            </w:r>
          </w:p>
        </w:tc>
        <w:tc>
          <w:tcPr>
            <w:tcW w:w="193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1.3</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1.8</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2.4</w:t>
            </w:r>
          </w:p>
        </w:tc>
        <w:tc>
          <w:tcPr>
            <w:tcW w:w="131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c>
          <w:tcPr>
            <w:tcW w:w="1995"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砷</w:t>
            </w:r>
          </w:p>
        </w:tc>
        <w:tc>
          <w:tcPr>
            <w:tcW w:w="193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c>
          <w:tcPr>
            <w:tcW w:w="131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4</w:t>
            </w:r>
          </w:p>
        </w:tc>
        <w:tc>
          <w:tcPr>
            <w:tcW w:w="1995"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铅</w:t>
            </w:r>
          </w:p>
        </w:tc>
        <w:tc>
          <w:tcPr>
            <w:tcW w:w="193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90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120</w:t>
            </w:r>
          </w:p>
        </w:tc>
        <w:tc>
          <w:tcPr>
            <w:tcW w:w="131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w:t>
            </w:r>
          </w:p>
        </w:tc>
        <w:tc>
          <w:tcPr>
            <w:tcW w:w="1995"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铬</w:t>
            </w:r>
          </w:p>
        </w:tc>
        <w:tc>
          <w:tcPr>
            <w:tcW w:w="193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150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c>
          <w:tcPr>
            <w:tcW w:w="131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w:t>
            </w:r>
          </w:p>
        </w:tc>
        <w:tc>
          <w:tcPr>
            <w:tcW w:w="1995"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铜</w:t>
            </w:r>
          </w:p>
        </w:tc>
        <w:tc>
          <w:tcPr>
            <w:tcW w:w="193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50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c>
          <w:tcPr>
            <w:tcW w:w="131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c>
          <w:tcPr>
            <w:tcW w:w="1995"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镍</w:t>
            </w:r>
          </w:p>
        </w:tc>
        <w:tc>
          <w:tcPr>
            <w:tcW w:w="193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60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100</w:t>
            </w:r>
          </w:p>
        </w:tc>
        <w:tc>
          <w:tcPr>
            <w:tcW w:w="131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w:t>
            </w:r>
          </w:p>
        </w:tc>
        <w:tc>
          <w:tcPr>
            <w:tcW w:w="1995"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锌</w:t>
            </w:r>
          </w:p>
        </w:tc>
        <w:tc>
          <w:tcPr>
            <w:tcW w:w="193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200</w:t>
            </w:r>
          </w:p>
        </w:tc>
        <w:tc>
          <w:tcPr>
            <w:tcW w:w="1310"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250</w:t>
            </w:r>
          </w:p>
        </w:tc>
        <w:tc>
          <w:tcPr>
            <w:tcW w:w="1317" w:type="dxa"/>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9179" w:type="dxa"/>
            <w:gridSpan w:val="6"/>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注：重金属和类金属砷均按元素总量计。</w:t>
            </w:r>
          </w:p>
        </w:tc>
      </w:tr>
    </w:tbl>
    <w:p>
      <w:pPr>
        <w:pStyle w:val="6"/>
        <w:pageBreakBefore w:val="0"/>
        <w:kinsoku/>
        <w:wordWrap/>
        <w:overflowPunct/>
        <w:topLinePunct w:val="0"/>
        <w:bidi w:val="0"/>
        <w:spacing w:line="240" w:lineRule="auto"/>
        <w:ind w:left="0" w:leftChars="0" w:right="0"/>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val="en-US" w:eastAsia="zh-CN"/>
        </w:rPr>
        <w:t>8-3</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t>场地土壤环境风险评价筛选值单位：mg/kg</w:t>
      </w:r>
    </w:p>
    <w:tbl>
      <w:tblPr>
        <w:tblStyle w:val="19"/>
        <w:tblW w:w="893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50"/>
        <w:gridCol w:w="1111"/>
        <w:gridCol w:w="1987"/>
        <w:gridCol w:w="2049"/>
        <w:gridCol w:w="26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jc w:val="center"/>
        </w:trPr>
        <w:tc>
          <w:tcPr>
            <w:tcW w:w="1150" w:type="dxa"/>
            <w:tcBorders>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序号</w:t>
            </w:r>
          </w:p>
        </w:tc>
        <w:tc>
          <w:tcPr>
            <w:tcW w:w="1111" w:type="dxa"/>
            <w:tcBorders>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污染物</w:t>
            </w:r>
          </w:p>
        </w:tc>
        <w:tc>
          <w:tcPr>
            <w:tcW w:w="1987" w:type="dxa"/>
            <w:tcBorders>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住宅用地</w:t>
            </w:r>
          </w:p>
        </w:tc>
        <w:tc>
          <w:tcPr>
            <w:tcW w:w="2049" w:type="dxa"/>
            <w:tcBorders>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公园与绿地</w:t>
            </w:r>
          </w:p>
        </w:tc>
        <w:tc>
          <w:tcPr>
            <w:tcW w:w="2641" w:type="dxa"/>
            <w:tcBorders>
              <w:left w:val="single" w:color="000000" w:sz="6" w:space="0"/>
              <w:bottom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工业/商服用地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jc w:val="center"/>
        </w:trPr>
        <w:tc>
          <w:tcPr>
            <w:tcW w:w="8938" w:type="dxa"/>
            <w:gridSpan w:val="5"/>
            <w:tcBorders>
              <w:top w:val="single" w:color="000000" w:sz="6" w:space="0"/>
              <w:bottom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rPr>
              <w:t>无机污染物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2" w:hRule="atLeast"/>
          <w:jc w:val="center"/>
        </w:trPr>
        <w:tc>
          <w:tcPr>
            <w:tcW w:w="1150" w:type="dxa"/>
            <w:tcBorders>
              <w:top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111" w:type="dxa"/>
            <w:tcBorders>
              <w:top w:val="single" w:color="000000" w:sz="6" w:space="0"/>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氟化物</w:t>
            </w:r>
          </w:p>
        </w:tc>
        <w:tc>
          <w:tcPr>
            <w:tcW w:w="1987" w:type="dxa"/>
            <w:tcBorders>
              <w:top w:val="single" w:color="000000" w:sz="6" w:space="0"/>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rPr>
              <w:t>650</w:t>
            </w:r>
          </w:p>
        </w:tc>
        <w:tc>
          <w:tcPr>
            <w:tcW w:w="2049" w:type="dxa"/>
            <w:tcBorders>
              <w:top w:val="single" w:color="000000" w:sz="6" w:space="0"/>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rPr>
              <w:t>650</w:t>
            </w:r>
          </w:p>
        </w:tc>
        <w:tc>
          <w:tcPr>
            <w:tcW w:w="2641" w:type="dxa"/>
            <w:tcBorders>
              <w:top w:val="single" w:color="000000" w:sz="6" w:space="0"/>
              <w:left w:val="single" w:color="000000" w:sz="6" w:space="0"/>
              <w:bottom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rPr>
              <w:t>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1" w:hRule="atLeast"/>
          <w:jc w:val="center"/>
        </w:trPr>
        <w:tc>
          <w:tcPr>
            <w:tcW w:w="1150" w:type="dxa"/>
            <w:tcBorders>
              <w:top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bookmarkStart w:id="234" w:name="_Toc27438"/>
            <w:bookmarkStart w:id="235" w:name="_Toc53736373"/>
            <w:bookmarkStart w:id="236" w:name="_Toc31571"/>
            <w:r>
              <w:rPr>
                <w:rFonts w:hint="eastAsia" w:ascii="宋体" w:hAnsi="宋体" w:eastAsia="宋体" w:cs="宋体"/>
                <w:bCs/>
                <w:color w:val="auto"/>
                <w:sz w:val="21"/>
                <w:szCs w:val="21"/>
                <w:highlight w:val="none"/>
                <w:lang w:val="en-US" w:eastAsia="zh-CN"/>
              </w:rPr>
              <w:t>2</w:t>
            </w:r>
          </w:p>
        </w:tc>
        <w:tc>
          <w:tcPr>
            <w:tcW w:w="1111" w:type="dxa"/>
            <w:tcBorders>
              <w:top w:val="single" w:color="000000" w:sz="6" w:space="0"/>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kern w:val="2"/>
                <w:sz w:val="21"/>
                <w:szCs w:val="21"/>
                <w:highlight w:val="none"/>
                <w:lang w:val="zh-CN" w:eastAsia="zh-CN" w:bidi="zh-CN"/>
              </w:rPr>
            </w:pPr>
            <w:r>
              <w:rPr>
                <w:rFonts w:hint="eastAsia" w:ascii="宋体" w:hAnsi="宋体" w:eastAsia="宋体" w:cs="宋体"/>
                <w:bCs/>
                <w:color w:val="auto"/>
                <w:sz w:val="21"/>
                <w:szCs w:val="21"/>
                <w:highlight w:val="none"/>
              </w:rPr>
              <w:t>锌</w:t>
            </w:r>
          </w:p>
        </w:tc>
        <w:tc>
          <w:tcPr>
            <w:tcW w:w="1987" w:type="dxa"/>
            <w:tcBorders>
              <w:top w:val="single" w:color="000000" w:sz="6" w:space="0"/>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kern w:val="2"/>
                <w:sz w:val="21"/>
                <w:szCs w:val="21"/>
                <w:highlight w:val="none"/>
                <w:lang w:val="en-US" w:eastAsia="zh-CN" w:bidi="zh-CN"/>
              </w:rPr>
            </w:pPr>
            <w:r>
              <w:rPr>
                <w:rFonts w:hint="eastAsia" w:ascii="宋体" w:hAnsi="宋体" w:eastAsia="宋体" w:cs="宋体"/>
                <w:bCs/>
                <w:color w:val="auto"/>
                <w:sz w:val="21"/>
                <w:szCs w:val="21"/>
                <w:highlight w:val="none"/>
              </w:rPr>
              <w:t>3500</w:t>
            </w:r>
          </w:p>
        </w:tc>
        <w:tc>
          <w:tcPr>
            <w:tcW w:w="2049" w:type="dxa"/>
            <w:tcBorders>
              <w:top w:val="single" w:color="000000" w:sz="6" w:space="0"/>
              <w:left w:val="single" w:color="000000" w:sz="6" w:space="0"/>
              <w:bottom w:val="single" w:color="000000" w:sz="6" w:space="0"/>
              <w:right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kern w:val="2"/>
                <w:sz w:val="21"/>
                <w:szCs w:val="21"/>
                <w:highlight w:val="none"/>
                <w:lang w:val="en-US" w:eastAsia="zh-CN" w:bidi="zh-CN"/>
              </w:rPr>
            </w:pPr>
            <w:r>
              <w:rPr>
                <w:rFonts w:hint="eastAsia" w:ascii="宋体" w:hAnsi="宋体" w:eastAsia="宋体" w:cs="宋体"/>
                <w:bCs/>
                <w:color w:val="auto"/>
                <w:sz w:val="21"/>
                <w:szCs w:val="21"/>
                <w:highlight w:val="none"/>
              </w:rPr>
              <w:t>5000</w:t>
            </w:r>
          </w:p>
        </w:tc>
        <w:tc>
          <w:tcPr>
            <w:tcW w:w="2641" w:type="dxa"/>
            <w:tcBorders>
              <w:top w:val="single" w:color="000000" w:sz="6" w:space="0"/>
              <w:left w:val="single" w:color="000000" w:sz="6" w:space="0"/>
              <w:bottom w:val="single" w:color="000000" w:sz="6" w:space="0"/>
            </w:tcBorders>
            <w:vAlign w:val="center"/>
          </w:tcPr>
          <w:p>
            <w:pPr>
              <w:pStyle w:val="29"/>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宋体" w:hAnsi="宋体" w:eastAsia="宋体" w:cs="宋体"/>
                <w:bCs/>
                <w:color w:val="auto"/>
                <w:kern w:val="2"/>
                <w:sz w:val="21"/>
                <w:szCs w:val="21"/>
                <w:highlight w:val="none"/>
                <w:lang w:val="en-US" w:eastAsia="zh-CN" w:bidi="zh-CN"/>
              </w:rPr>
            </w:pPr>
            <w:r>
              <w:rPr>
                <w:rFonts w:hint="eastAsia" w:ascii="宋体" w:hAnsi="宋体" w:eastAsia="宋体" w:cs="宋体"/>
                <w:bCs/>
                <w:color w:val="auto"/>
                <w:sz w:val="21"/>
                <w:szCs w:val="21"/>
                <w:highlight w:val="none"/>
              </w:rPr>
              <w:t>10000</w:t>
            </w:r>
          </w:p>
        </w:tc>
      </w:tr>
    </w:tbl>
    <w:p>
      <w:pPr>
        <w:pageBreakBefore w:val="0"/>
        <w:kinsoku/>
        <w:wordWrap/>
        <w:overflowPunct/>
        <w:topLinePunct w:val="0"/>
        <w:autoSpaceDE/>
        <w:autoSpaceDN/>
        <w:bidi w:val="0"/>
        <w:spacing w:line="240" w:lineRule="auto"/>
        <w:ind w:left="0" w:leftChars="0" w:right="0" w:firstLine="0" w:firstLineChars="0"/>
        <w:jc w:val="both"/>
        <w:textAlignment w:val="auto"/>
        <w:outlineLvl w:val="9"/>
        <w:rPr>
          <w:rFonts w:hint="eastAsia" w:ascii="宋体" w:hAnsi="宋体" w:eastAsia="宋体" w:cs="宋体"/>
          <w:color w:val="auto"/>
          <w:highlight w:val="none"/>
          <w:lang w:val="en-US" w:eastAsia="zh-CN"/>
        </w:rPr>
      </w:pPr>
    </w:p>
    <w:bookmarkEnd w:id="234"/>
    <w:bookmarkEnd w:id="235"/>
    <w:bookmarkEnd w:id="236"/>
    <w:p>
      <w:pPr>
        <w:keepNext/>
        <w:keepLines/>
        <w:pageBreakBefore w:val="0"/>
        <w:kinsoku/>
        <w:wordWrap/>
        <w:overflowPunct/>
        <w:topLinePunct w:val="0"/>
        <w:bidi w:val="0"/>
        <w:snapToGrid w:val="0"/>
        <w:spacing w:line="240" w:lineRule="auto"/>
        <w:ind w:left="0" w:leftChars="0" w:right="0"/>
        <w:jc w:val="center"/>
        <w:rPr>
          <w:rFonts w:hint="eastAsia" w:ascii="宋体" w:hAnsi="宋体" w:eastAsia="宋体" w:cs="宋体"/>
          <w:b/>
          <w:bCs/>
          <w:color w:val="auto"/>
          <w:sz w:val="28"/>
          <w:szCs w:val="28"/>
          <w:highlight w:val="none"/>
        </w:rPr>
      </w:pPr>
      <w:bookmarkStart w:id="237" w:name="_Toc30694"/>
      <w:bookmarkStart w:id="238" w:name="_Toc31982"/>
      <w:bookmarkStart w:id="239" w:name="_Toc28980"/>
      <w:bookmarkStart w:id="240" w:name="_Toc2740"/>
      <w:bookmarkStart w:id="241" w:name="_Toc5706"/>
      <w:bookmarkStart w:id="242" w:name="_Toc53736374"/>
      <w:bookmarkStart w:id="243" w:name="_Toc12882"/>
      <w:bookmarkStart w:id="244" w:name="_Toc9907"/>
      <w:bookmarkStart w:id="245" w:name="_Toc21237"/>
      <w:bookmarkStart w:id="246" w:name="_Toc5297"/>
      <w:r>
        <w:rPr>
          <w:rFonts w:hint="eastAsia" w:ascii="宋体" w:hAnsi="宋体" w:eastAsia="宋体" w:cs="宋体"/>
          <w:b/>
          <w:bCs/>
          <w:color w:val="auto"/>
          <w:sz w:val="28"/>
          <w:szCs w:val="28"/>
          <w:highlight w:val="none"/>
          <w:lang w:val="en-US" w:eastAsia="zh-CN"/>
        </w:rPr>
        <w:t>表8-4土壤采样点位及</w:t>
      </w:r>
      <w:r>
        <w:rPr>
          <w:rFonts w:hint="eastAsia" w:ascii="宋体" w:hAnsi="宋体" w:eastAsia="宋体" w:cs="宋体"/>
          <w:b/>
          <w:bCs/>
          <w:color w:val="auto"/>
          <w:sz w:val="28"/>
          <w:szCs w:val="28"/>
          <w:highlight w:val="none"/>
        </w:rPr>
        <w:t>样品信息</w:t>
      </w:r>
    </w:p>
    <w:bookmarkEnd w:id="237"/>
    <w:bookmarkEnd w:id="238"/>
    <w:bookmarkEnd w:id="239"/>
    <w:bookmarkEnd w:id="240"/>
    <w:bookmarkEnd w:id="241"/>
    <w:bookmarkEnd w:id="242"/>
    <w:bookmarkEnd w:id="243"/>
    <w:bookmarkEnd w:id="244"/>
    <w:bookmarkEnd w:id="245"/>
    <w:bookmarkEnd w:id="246"/>
    <w:tbl>
      <w:tblPr>
        <w:tblStyle w:val="19"/>
        <w:tblW w:w="52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703"/>
        <w:gridCol w:w="1861"/>
        <w:gridCol w:w="2666"/>
        <w:gridCol w:w="2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blHeader/>
          <w:jc w:val="center"/>
        </w:trPr>
        <w:tc>
          <w:tcPr>
            <w:tcW w:w="40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sz w:val="21"/>
                <w:szCs w:val="21"/>
                <w:highlight w:val="none"/>
              </w:rPr>
              <w:t>类别</w:t>
            </w:r>
          </w:p>
        </w:tc>
        <w:tc>
          <w:tcPr>
            <w:tcW w:w="90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sz w:val="21"/>
                <w:szCs w:val="21"/>
                <w:highlight w:val="none"/>
                <w:lang w:eastAsia="zh-CN"/>
              </w:rPr>
              <w:t>采样点位</w:t>
            </w:r>
          </w:p>
        </w:tc>
        <w:tc>
          <w:tcPr>
            <w:tcW w:w="98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sz w:val="21"/>
                <w:szCs w:val="21"/>
                <w:highlight w:val="none"/>
                <w:lang w:val="en-US" w:eastAsia="zh-CN"/>
              </w:rPr>
              <w:t>监测日期</w:t>
            </w:r>
          </w:p>
        </w:tc>
        <w:tc>
          <w:tcPr>
            <w:tcW w:w="141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sz w:val="21"/>
                <w:szCs w:val="21"/>
                <w:highlight w:val="none"/>
                <w:lang w:eastAsia="zh-CN"/>
              </w:rPr>
              <w:t>采样点位坐标</w:t>
            </w:r>
          </w:p>
        </w:tc>
        <w:tc>
          <w:tcPr>
            <w:tcW w:w="1287"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样品状态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404"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pacing w:val="0"/>
                <w:sz w:val="21"/>
                <w:szCs w:val="21"/>
                <w:highlight w:val="none"/>
                <w:lang w:eastAsia="zh-CN"/>
              </w:rPr>
            </w:pPr>
            <w:r>
              <w:rPr>
                <w:rFonts w:hint="eastAsia" w:ascii="宋体" w:hAnsi="宋体" w:eastAsia="宋体" w:cs="宋体"/>
                <w:color w:val="auto"/>
                <w:spacing w:val="0"/>
                <w:sz w:val="21"/>
                <w:szCs w:val="21"/>
                <w:highlight w:val="none"/>
                <w:lang w:eastAsia="zh-CN"/>
              </w:rPr>
              <w:t>土壤</w:t>
            </w:r>
          </w:p>
        </w:tc>
        <w:tc>
          <w:tcPr>
            <w:tcW w:w="904" w:type="pct"/>
            <w:tcBorders>
              <w:tl2br w:val="nil"/>
              <w:tr2bl w:val="nil"/>
            </w:tcBorders>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color w:val="auto"/>
                <w:spacing w:val="0"/>
                <w:sz w:val="21"/>
                <w:szCs w:val="21"/>
                <w:highlight w:val="none"/>
                <w:lang w:val="en-US" w:eastAsia="zh-CN"/>
              </w:rPr>
            </w:pPr>
            <w:r>
              <w:rPr>
                <w:rFonts w:hint="eastAsia" w:ascii="宋体" w:hAnsi="宋体" w:eastAsia="宋体" w:cs="宋体"/>
                <w:b w:val="0"/>
                <w:bCs w:val="0"/>
                <w:color w:val="auto"/>
                <w:spacing w:val="0"/>
                <w:kern w:val="2"/>
                <w:sz w:val="21"/>
                <w:szCs w:val="21"/>
                <w:highlight w:val="none"/>
                <w:vertAlign w:val="baseline"/>
                <w:lang w:val="en-US" w:eastAsia="zh-CN" w:bidi="ar-SA"/>
              </w:rPr>
              <w:t>研发楼、试验田</w:t>
            </w:r>
          </w:p>
        </w:tc>
        <w:tc>
          <w:tcPr>
            <w:tcW w:w="9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2023年6月18日</w:t>
            </w:r>
          </w:p>
        </w:tc>
        <w:tc>
          <w:tcPr>
            <w:tcW w:w="14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kern w:val="0"/>
                <w:sz w:val="21"/>
                <w:szCs w:val="21"/>
                <w:highlight w:val="none"/>
              </w:rPr>
              <w:t>N</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3</w:t>
            </w:r>
            <w:r>
              <w:rPr>
                <w:rFonts w:hint="eastAsia" w:ascii="宋体" w:hAnsi="宋体" w:eastAsia="宋体" w:cs="宋体"/>
                <w:color w:val="auto"/>
                <w:spacing w:val="0"/>
                <w:kern w:val="0"/>
                <w:sz w:val="21"/>
                <w:szCs w:val="21"/>
                <w:highlight w:val="none"/>
                <w:lang w:val="en-US" w:eastAsia="zh-CN"/>
              </w:rPr>
              <w:t>4</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40</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27.447</w:t>
            </w:r>
            <w:r>
              <w:rPr>
                <w:rFonts w:hint="eastAsia" w:ascii="宋体" w:hAnsi="宋体" w:eastAsia="宋体" w:cs="宋体"/>
                <w:color w:val="auto"/>
                <w:spacing w:val="0"/>
                <w:kern w:val="0"/>
                <w:sz w:val="21"/>
                <w:szCs w:val="21"/>
                <w:highlight w:val="none"/>
              </w:rPr>
              <w:t>''E</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11</w:t>
            </w:r>
            <w:r>
              <w:rPr>
                <w:rFonts w:hint="eastAsia" w:ascii="宋体" w:hAnsi="宋体" w:eastAsia="宋体" w:cs="宋体"/>
                <w:color w:val="auto"/>
                <w:spacing w:val="0"/>
                <w:kern w:val="0"/>
                <w:sz w:val="21"/>
                <w:szCs w:val="21"/>
                <w:highlight w:val="none"/>
                <w:lang w:val="en-US" w:eastAsia="zh-CN"/>
              </w:rPr>
              <w:t>1</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34</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44.841</w:t>
            </w:r>
            <w:r>
              <w:rPr>
                <w:rFonts w:hint="eastAsia" w:ascii="宋体" w:hAnsi="宋体" w:eastAsia="宋体" w:cs="宋体"/>
                <w:color w:val="auto"/>
                <w:spacing w:val="0"/>
                <w:kern w:val="0"/>
                <w:sz w:val="21"/>
                <w:szCs w:val="21"/>
                <w:highlight w:val="none"/>
              </w:rPr>
              <w:t>''</w:t>
            </w:r>
          </w:p>
        </w:tc>
        <w:tc>
          <w:tcPr>
            <w:tcW w:w="12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kern w:val="0"/>
                <w:sz w:val="21"/>
                <w:szCs w:val="21"/>
                <w:highlight w:val="none"/>
              </w:rPr>
              <w:t>固态、</w:t>
            </w:r>
            <w:r>
              <w:rPr>
                <w:rFonts w:hint="eastAsia" w:ascii="宋体" w:hAnsi="宋体" w:eastAsia="宋体" w:cs="宋体"/>
                <w:color w:val="auto"/>
                <w:spacing w:val="0"/>
                <w:kern w:val="0"/>
                <w:sz w:val="21"/>
                <w:szCs w:val="21"/>
                <w:highlight w:val="none"/>
                <w:lang w:val="en-US" w:eastAsia="zh-CN"/>
              </w:rPr>
              <w:t>红</w:t>
            </w:r>
            <w:r>
              <w:rPr>
                <w:rFonts w:hint="eastAsia" w:ascii="宋体" w:hAnsi="宋体" w:eastAsia="宋体" w:cs="宋体"/>
                <w:color w:val="auto"/>
                <w:spacing w:val="0"/>
                <w:kern w:val="0"/>
                <w:sz w:val="21"/>
                <w:szCs w:val="21"/>
                <w:highlight w:val="none"/>
              </w:rPr>
              <w:t>色、</w:t>
            </w:r>
            <w:r>
              <w:rPr>
                <w:rFonts w:hint="eastAsia" w:ascii="宋体" w:hAnsi="宋体" w:eastAsia="宋体" w:cs="宋体"/>
                <w:color w:val="auto"/>
                <w:spacing w:val="0"/>
                <w:kern w:val="0"/>
                <w:sz w:val="21"/>
                <w:szCs w:val="21"/>
                <w:highlight w:val="none"/>
                <w:lang w:val="en-US" w:eastAsia="zh-CN"/>
              </w:rPr>
              <w:t>壤土</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干燥</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少量</w:t>
            </w:r>
            <w:r>
              <w:rPr>
                <w:rFonts w:hint="eastAsia" w:ascii="宋体" w:hAnsi="宋体" w:eastAsia="宋体" w:cs="宋体"/>
                <w:color w:val="auto"/>
                <w:spacing w:val="0"/>
                <w:kern w:val="0"/>
                <w:sz w:val="21"/>
                <w:szCs w:val="21"/>
                <w:highlight w:val="none"/>
              </w:rPr>
              <w:t>砂粒、</w:t>
            </w:r>
            <w:r>
              <w:rPr>
                <w:rFonts w:hint="eastAsia" w:ascii="宋体" w:hAnsi="宋体" w:eastAsia="宋体" w:cs="宋体"/>
                <w:color w:val="auto"/>
                <w:spacing w:val="0"/>
                <w:kern w:val="0"/>
                <w:sz w:val="21"/>
                <w:szCs w:val="21"/>
                <w:highlight w:val="none"/>
                <w:lang w:val="en-US" w:eastAsia="zh-CN"/>
              </w:rPr>
              <w:t>少量根系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40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pacing w:val="0"/>
                <w:sz w:val="21"/>
                <w:szCs w:val="21"/>
                <w:highlight w:val="none"/>
                <w:lang w:eastAsia="zh-CN"/>
              </w:rPr>
            </w:pPr>
          </w:p>
        </w:tc>
        <w:tc>
          <w:tcPr>
            <w:tcW w:w="904" w:type="pct"/>
            <w:tcBorders>
              <w:tl2br w:val="nil"/>
              <w:tr2bl w:val="nil"/>
            </w:tcBorders>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color w:val="auto"/>
                <w:spacing w:val="0"/>
                <w:sz w:val="21"/>
                <w:szCs w:val="21"/>
                <w:highlight w:val="none"/>
                <w:lang w:val="en-US" w:eastAsia="zh-CN"/>
              </w:rPr>
            </w:pPr>
            <w:r>
              <w:rPr>
                <w:rFonts w:hint="eastAsia" w:ascii="宋体" w:hAnsi="宋体" w:eastAsia="宋体" w:cs="宋体"/>
                <w:b w:val="0"/>
                <w:bCs w:val="0"/>
                <w:color w:val="auto"/>
                <w:spacing w:val="0"/>
                <w:sz w:val="21"/>
                <w:szCs w:val="21"/>
                <w:highlight w:val="none"/>
                <w:vertAlign w:val="baseline"/>
                <w:lang w:val="en-US" w:eastAsia="zh-CN"/>
              </w:rPr>
              <w:t>粉剂车间、仓库B</w:t>
            </w:r>
          </w:p>
        </w:tc>
        <w:tc>
          <w:tcPr>
            <w:tcW w:w="9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2023年6月18日</w:t>
            </w:r>
          </w:p>
        </w:tc>
        <w:tc>
          <w:tcPr>
            <w:tcW w:w="14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0"/>
                <w:sz w:val="21"/>
                <w:szCs w:val="21"/>
                <w:highlight w:val="none"/>
              </w:rPr>
              <w:t>N</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3</w:t>
            </w:r>
            <w:r>
              <w:rPr>
                <w:rFonts w:hint="eastAsia" w:ascii="宋体" w:hAnsi="宋体" w:eastAsia="宋体" w:cs="宋体"/>
                <w:color w:val="auto"/>
                <w:spacing w:val="0"/>
                <w:kern w:val="0"/>
                <w:sz w:val="21"/>
                <w:szCs w:val="21"/>
                <w:highlight w:val="none"/>
                <w:lang w:val="en-US" w:eastAsia="zh-CN"/>
              </w:rPr>
              <w:t>4</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40</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24.700</w:t>
            </w:r>
            <w:r>
              <w:rPr>
                <w:rFonts w:hint="eastAsia" w:ascii="宋体" w:hAnsi="宋体" w:eastAsia="宋体" w:cs="宋体"/>
                <w:color w:val="auto"/>
                <w:spacing w:val="0"/>
                <w:kern w:val="0"/>
                <w:sz w:val="21"/>
                <w:szCs w:val="21"/>
                <w:highlight w:val="none"/>
              </w:rPr>
              <w:t>''E</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11</w:t>
            </w:r>
            <w:r>
              <w:rPr>
                <w:rFonts w:hint="eastAsia" w:ascii="宋体" w:hAnsi="宋体" w:eastAsia="宋体" w:cs="宋体"/>
                <w:color w:val="auto"/>
                <w:spacing w:val="0"/>
                <w:kern w:val="0"/>
                <w:sz w:val="21"/>
                <w:szCs w:val="21"/>
                <w:highlight w:val="none"/>
                <w:lang w:val="en-US" w:eastAsia="zh-CN"/>
              </w:rPr>
              <w:t>1</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34</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42.109</w:t>
            </w:r>
            <w:r>
              <w:rPr>
                <w:rFonts w:hint="eastAsia" w:ascii="宋体" w:hAnsi="宋体" w:eastAsia="宋体" w:cs="宋体"/>
                <w:color w:val="auto"/>
                <w:spacing w:val="0"/>
                <w:kern w:val="0"/>
                <w:sz w:val="21"/>
                <w:szCs w:val="21"/>
                <w:highlight w:val="none"/>
              </w:rPr>
              <w:t>''</w:t>
            </w:r>
          </w:p>
        </w:tc>
        <w:tc>
          <w:tcPr>
            <w:tcW w:w="12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kern w:val="0"/>
                <w:sz w:val="21"/>
                <w:szCs w:val="21"/>
                <w:highlight w:val="none"/>
              </w:rPr>
              <w:t>固态、</w:t>
            </w:r>
            <w:r>
              <w:rPr>
                <w:rFonts w:hint="eastAsia" w:ascii="宋体" w:hAnsi="宋体" w:eastAsia="宋体" w:cs="宋体"/>
                <w:color w:val="auto"/>
                <w:spacing w:val="0"/>
                <w:kern w:val="0"/>
                <w:sz w:val="21"/>
                <w:szCs w:val="21"/>
                <w:highlight w:val="none"/>
                <w:lang w:val="en-US" w:eastAsia="zh-CN"/>
              </w:rPr>
              <w:t>红</w:t>
            </w:r>
            <w:r>
              <w:rPr>
                <w:rFonts w:hint="eastAsia" w:ascii="宋体" w:hAnsi="宋体" w:eastAsia="宋体" w:cs="宋体"/>
                <w:color w:val="auto"/>
                <w:spacing w:val="0"/>
                <w:kern w:val="0"/>
                <w:sz w:val="21"/>
                <w:szCs w:val="21"/>
                <w:highlight w:val="none"/>
              </w:rPr>
              <w:t>色、</w:t>
            </w:r>
            <w:r>
              <w:rPr>
                <w:rFonts w:hint="eastAsia" w:ascii="宋体" w:hAnsi="宋体" w:eastAsia="宋体" w:cs="宋体"/>
                <w:color w:val="auto"/>
                <w:spacing w:val="0"/>
                <w:kern w:val="0"/>
                <w:sz w:val="21"/>
                <w:szCs w:val="21"/>
                <w:highlight w:val="none"/>
                <w:lang w:val="en-US" w:eastAsia="zh-CN"/>
              </w:rPr>
              <w:t>壤土</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干燥</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无</w:t>
            </w:r>
            <w:r>
              <w:rPr>
                <w:rFonts w:hint="eastAsia" w:ascii="宋体" w:hAnsi="宋体" w:eastAsia="宋体" w:cs="宋体"/>
                <w:color w:val="auto"/>
                <w:spacing w:val="0"/>
                <w:kern w:val="0"/>
                <w:sz w:val="21"/>
                <w:szCs w:val="21"/>
                <w:highlight w:val="none"/>
              </w:rPr>
              <w:t>砂粒、</w:t>
            </w:r>
            <w:r>
              <w:rPr>
                <w:rFonts w:hint="eastAsia" w:ascii="宋体" w:hAnsi="宋体" w:eastAsia="宋体" w:cs="宋体"/>
                <w:color w:val="auto"/>
                <w:spacing w:val="0"/>
                <w:kern w:val="0"/>
                <w:sz w:val="21"/>
                <w:szCs w:val="21"/>
                <w:highlight w:val="none"/>
                <w:lang w:val="en-US" w:eastAsia="zh-CN"/>
              </w:rPr>
              <w:t>少量根系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40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pacing w:val="0"/>
                <w:sz w:val="21"/>
                <w:szCs w:val="21"/>
                <w:highlight w:val="none"/>
                <w:lang w:eastAsia="zh-CN"/>
              </w:rPr>
            </w:pPr>
          </w:p>
        </w:tc>
        <w:tc>
          <w:tcPr>
            <w:tcW w:w="904" w:type="pct"/>
            <w:tcBorders>
              <w:tl2br w:val="nil"/>
              <w:tr2bl w:val="nil"/>
            </w:tcBorders>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color w:val="auto"/>
                <w:spacing w:val="0"/>
                <w:sz w:val="21"/>
                <w:szCs w:val="21"/>
                <w:highlight w:val="none"/>
                <w:lang w:val="en-US" w:eastAsia="zh-CN"/>
              </w:rPr>
            </w:pPr>
            <w:r>
              <w:rPr>
                <w:rFonts w:hint="eastAsia" w:ascii="宋体" w:hAnsi="宋体" w:eastAsia="宋体" w:cs="宋体"/>
                <w:b w:val="0"/>
                <w:bCs w:val="0"/>
                <w:color w:val="auto"/>
                <w:spacing w:val="0"/>
                <w:sz w:val="21"/>
                <w:szCs w:val="21"/>
                <w:highlight w:val="none"/>
                <w:vertAlign w:val="baseline"/>
                <w:lang w:val="en-US" w:eastAsia="zh-CN"/>
              </w:rPr>
              <w:t>水剂车间、仓库A</w:t>
            </w:r>
          </w:p>
        </w:tc>
        <w:tc>
          <w:tcPr>
            <w:tcW w:w="9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2023年6月18日</w:t>
            </w:r>
          </w:p>
        </w:tc>
        <w:tc>
          <w:tcPr>
            <w:tcW w:w="14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kern w:val="0"/>
                <w:sz w:val="21"/>
                <w:szCs w:val="21"/>
                <w:highlight w:val="none"/>
              </w:rPr>
              <w:t>N</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3</w:t>
            </w:r>
            <w:r>
              <w:rPr>
                <w:rFonts w:hint="eastAsia" w:ascii="宋体" w:hAnsi="宋体" w:eastAsia="宋体" w:cs="宋体"/>
                <w:color w:val="auto"/>
                <w:spacing w:val="0"/>
                <w:kern w:val="0"/>
                <w:sz w:val="21"/>
                <w:szCs w:val="21"/>
                <w:highlight w:val="none"/>
                <w:lang w:val="en-US" w:eastAsia="zh-CN"/>
              </w:rPr>
              <w:t>4</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40</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24.994</w:t>
            </w:r>
            <w:r>
              <w:rPr>
                <w:rFonts w:hint="eastAsia" w:ascii="宋体" w:hAnsi="宋体" w:eastAsia="宋体" w:cs="宋体"/>
                <w:color w:val="auto"/>
                <w:spacing w:val="0"/>
                <w:kern w:val="0"/>
                <w:sz w:val="21"/>
                <w:szCs w:val="21"/>
                <w:highlight w:val="none"/>
              </w:rPr>
              <w:t>''E</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11</w:t>
            </w:r>
            <w:r>
              <w:rPr>
                <w:rFonts w:hint="eastAsia" w:ascii="宋体" w:hAnsi="宋体" w:eastAsia="宋体" w:cs="宋体"/>
                <w:color w:val="auto"/>
                <w:spacing w:val="0"/>
                <w:kern w:val="0"/>
                <w:sz w:val="21"/>
                <w:szCs w:val="21"/>
                <w:highlight w:val="none"/>
                <w:lang w:val="en-US" w:eastAsia="zh-CN"/>
              </w:rPr>
              <w:t>1</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34</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44.909</w:t>
            </w:r>
            <w:r>
              <w:rPr>
                <w:rFonts w:hint="eastAsia" w:ascii="宋体" w:hAnsi="宋体" w:eastAsia="宋体" w:cs="宋体"/>
                <w:color w:val="auto"/>
                <w:spacing w:val="0"/>
                <w:kern w:val="0"/>
                <w:sz w:val="21"/>
                <w:szCs w:val="21"/>
                <w:highlight w:val="none"/>
              </w:rPr>
              <w:t>''</w:t>
            </w:r>
          </w:p>
        </w:tc>
        <w:tc>
          <w:tcPr>
            <w:tcW w:w="12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kern w:val="0"/>
                <w:sz w:val="21"/>
                <w:szCs w:val="21"/>
                <w:highlight w:val="none"/>
              </w:rPr>
              <w:t>固态、</w:t>
            </w:r>
            <w:r>
              <w:rPr>
                <w:rFonts w:hint="eastAsia" w:ascii="宋体" w:hAnsi="宋体" w:eastAsia="宋体" w:cs="宋体"/>
                <w:color w:val="auto"/>
                <w:spacing w:val="0"/>
                <w:kern w:val="0"/>
                <w:sz w:val="21"/>
                <w:szCs w:val="21"/>
                <w:highlight w:val="none"/>
                <w:lang w:val="en-US" w:eastAsia="zh-CN"/>
              </w:rPr>
              <w:t>红</w:t>
            </w:r>
            <w:r>
              <w:rPr>
                <w:rFonts w:hint="eastAsia" w:ascii="宋体" w:hAnsi="宋体" w:eastAsia="宋体" w:cs="宋体"/>
                <w:color w:val="auto"/>
                <w:spacing w:val="0"/>
                <w:kern w:val="0"/>
                <w:sz w:val="21"/>
                <w:szCs w:val="21"/>
                <w:highlight w:val="none"/>
              </w:rPr>
              <w:t>色、</w:t>
            </w:r>
            <w:r>
              <w:rPr>
                <w:rFonts w:hint="eastAsia" w:ascii="宋体" w:hAnsi="宋体" w:eastAsia="宋体" w:cs="宋体"/>
                <w:color w:val="auto"/>
                <w:spacing w:val="0"/>
                <w:kern w:val="0"/>
                <w:sz w:val="21"/>
                <w:szCs w:val="21"/>
                <w:highlight w:val="none"/>
                <w:lang w:val="en-US" w:eastAsia="zh-CN"/>
              </w:rPr>
              <w:t>壤土</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干燥</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无</w:t>
            </w:r>
            <w:r>
              <w:rPr>
                <w:rFonts w:hint="eastAsia" w:ascii="宋体" w:hAnsi="宋体" w:eastAsia="宋体" w:cs="宋体"/>
                <w:color w:val="auto"/>
                <w:spacing w:val="0"/>
                <w:kern w:val="0"/>
                <w:sz w:val="21"/>
                <w:szCs w:val="21"/>
                <w:highlight w:val="none"/>
              </w:rPr>
              <w:t>砂粒、</w:t>
            </w:r>
            <w:r>
              <w:rPr>
                <w:rFonts w:hint="eastAsia" w:ascii="宋体" w:hAnsi="宋体" w:eastAsia="宋体" w:cs="宋体"/>
                <w:color w:val="auto"/>
                <w:spacing w:val="0"/>
                <w:kern w:val="0"/>
                <w:sz w:val="21"/>
                <w:szCs w:val="21"/>
                <w:highlight w:val="none"/>
                <w:lang w:val="en-US" w:eastAsia="zh-CN"/>
              </w:rPr>
              <w:t>少量根系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40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pacing w:val="0"/>
                <w:sz w:val="21"/>
                <w:szCs w:val="21"/>
                <w:highlight w:val="none"/>
                <w:lang w:eastAsia="zh-CN"/>
              </w:rPr>
            </w:pPr>
          </w:p>
        </w:tc>
        <w:tc>
          <w:tcPr>
            <w:tcW w:w="904" w:type="pct"/>
            <w:tcBorders>
              <w:tl2br w:val="nil"/>
              <w:tr2bl w:val="nil"/>
            </w:tcBorders>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color w:val="auto"/>
                <w:spacing w:val="0"/>
                <w:sz w:val="21"/>
                <w:szCs w:val="21"/>
                <w:highlight w:val="none"/>
                <w:lang w:val="en-US" w:eastAsia="zh-CN"/>
              </w:rPr>
            </w:pPr>
            <w:r>
              <w:rPr>
                <w:rFonts w:hint="eastAsia" w:ascii="宋体" w:hAnsi="宋体" w:eastAsia="宋体" w:cs="宋体"/>
                <w:b w:val="0"/>
                <w:bCs w:val="0"/>
                <w:color w:val="auto"/>
                <w:spacing w:val="0"/>
                <w:sz w:val="21"/>
                <w:szCs w:val="21"/>
                <w:highlight w:val="none"/>
                <w:vertAlign w:val="baseline"/>
                <w:lang w:val="en-US" w:eastAsia="zh-CN"/>
              </w:rPr>
              <w:t>合成车间、乳油车间、仓库C、仓库D</w:t>
            </w:r>
          </w:p>
        </w:tc>
        <w:tc>
          <w:tcPr>
            <w:tcW w:w="9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2023年6月18日</w:t>
            </w:r>
          </w:p>
        </w:tc>
        <w:tc>
          <w:tcPr>
            <w:tcW w:w="14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kern w:val="0"/>
                <w:sz w:val="21"/>
                <w:szCs w:val="21"/>
                <w:highlight w:val="none"/>
              </w:rPr>
              <w:t>N</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3</w:t>
            </w:r>
            <w:r>
              <w:rPr>
                <w:rFonts w:hint="eastAsia" w:ascii="宋体" w:hAnsi="宋体" w:eastAsia="宋体" w:cs="宋体"/>
                <w:color w:val="auto"/>
                <w:spacing w:val="0"/>
                <w:kern w:val="0"/>
                <w:sz w:val="21"/>
                <w:szCs w:val="21"/>
                <w:highlight w:val="none"/>
                <w:lang w:val="en-US" w:eastAsia="zh-CN"/>
              </w:rPr>
              <w:t>4</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40</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22.794</w:t>
            </w:r>
            <w:r>
              <w:rPr>
                <w:rFonts w:hint="eastAsia" w:ascii="宋体" w:hAnsi="宋体" w:eastAsia="宋体" w:cs="宋体"/>
                <w:color w:val="auto"/>
                <w:spacing w:val="0"/>
                <w:kern w:val="0"/>
                <w:sz w:val="21"/>
                <w:szCs w:val="21"/>
                <w:highlight w:val="none"/>
              </w:rPr>
              <w:t>''E</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11</w:t>
            </w:r>
            <w:r>
              <w:rPr>
                <w:rFonts w:hint="eastAsia" w:ascii="宋体" w:hAnsi="宋体" w:eastAsia="宋体" w:cs="宋体"/>
                <w:color w:val="auto"/>
                <w:spacing w:val="0"/>
                <w:kern w:val="0"/>
                <w:sz w:val="21"/>
                <w:szCs w:val="21"/>
                <w:highlight w:val="none"/>
                <w:lang w:val="en-US" w:eastAsia="zh-CN"/>
              </w:rPr>
              <w:t>1</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34</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40.921</w:t>
            </w:r>
            <w:r>
              <w:rPr>
                <w:rFonts w:hint="eastAsia" w:ascii="宋体" w:hAnsi="宋体" w:eastAsia="宋体" w:cs="宋体"/>
                <w:color w:val="auto"/>
                <w:spacing w:val="0"/>
                <w:kern w:val="0"/>
                <w:sz w:val="21"/>
                <w:szCs w:val="21"/>
                <w:highlight w:val="none"/>
              </w:rPr>
              <w:t>''</w:t>
            </w:r>
          </w:p>
        </w:tc>
        <w:tc>
          <w:tcPr>
            <w:tcW w:w="12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spacing w:val="0"/>
                <w:sz w:val="21"/>
                <w:szCs w:val="21"/>
                <w:highlight w:val="none"/>
                <w:lang w:val="en-US" w:eastAsia="zh-CN"/>
              </w:rPr>
            </w:pPr>
            <w:r>
              <w:rPr>
                <w:rFonts w:hint="eastAsia" w:ascii="宋体" w:hAnsi="宋体" w:eastAsia="宋体" w:cs="宋体"/>
                <w:color w:val="auto"/>
                <w:spacing w:val="0"/>
                <w:kern w:val="0"/>
                <w:sz w:val="21"/>
                <w:szCs w:val="21"/>
                <w:highlight w:val="none"/>
              </w:rPr>
              <w:t>固态、</w:t>
            </w:r>
            <w:r>
              <w:rPr>
                <w:rFonts w:hint="eastAsia" w:ascii="宋体" w:hAnsi="宋体" w:eastAsia="宋体" w:cs="宋体"/>
                <w:color w:val="auto"/>
                <w:spacing w:val="0"/>
                <w:kern w:val="0"/>
                <w:sz w:val="21"/>
                <w:szCs w:val="21"/>
                <w:highlight w:val="none"/>
                <w:lang w:val="en-US" w:eastAsia="zh-CN"/>
              </w:rPr>
              <w:t>红</w:t>
            </w:r>
            <w:r>
              <w:rPr>
                <w:rFonts w:hint="eastAsia" w:ascii="宋体" w:hAnsi="宋体" w:eastAsia="宋体" w:cs="宋体"/>
                <w:color w:val="auto"/>
                <w:spacing w:val="0"/>
                <w:kern w:val="0"/>
                <w:sz w:val="21"/>
                <w:szCs w:val="21"/>
                <w:highlight w:val="none"/>
              </w:rPr>
              <w:t>色、</w:t>
            </w:r>
            <w:r>
              <w:rPr>
                <w:rFonts w:hint="eastAsia" w:ascii="宋体" w:hAnsi="宋体" w:eastAsia="宋体" w:cs="宋体"/>
                <w:color w:val="auto"/>
                <w:spacing w:val="0"/>
                <w:kern w:val="0"/>
                <w:sz w:val="21"/>
                <w:szCs w:val="21"/>
                <w:highlight w:val="none"/>
                <w:lang w:val="en-US" w:eastAsia="zh-CN"/>
              </w:rPr>
              <w:t>壤土</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干燥</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无</w:t>
            </w:r>
            <w:r>
              <w:rPr>
                <w:rFonts w:hint="eastAsia" w:ascii="宋体" w:hAnsi="宋体" w:eastAsia="宋体" w:cs="宋体"/>
                <w:color w:val="auto"/>
                <w:spacing w:val="0"/>
                <w:kern w:val="0"/>
                <w:sz w:val="21"/>
                <w:szCs w:val="21"/>
                <w:highlight w:val="none"/>
              </w:rPr>
              <w:t>砂粒、</w:t>
            </w:r>
            <w:r>
              <w:rPr>
                <w:rFonts w:hint="eastAsia" w:ascii="宋体" w:hAnsi="宋体" w:eastAsia="宋体" w:cs="宋体"/>
                <w:color w:val="auto"/>
                <w:spacing w:val="0"/>
                <w:kern w:val="0"/>
                <w:sz w:val="21"/>
                <w:szCs w:val="21"/>
                <w:highlight w:val="none"/>
                <w:lang w:val="en-US" w:eastAsia="zh-CN"/>
              </w:rPr>
              <w:t>少量根系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40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pacing w:val="0"/>
                <w:sz w:val="21"/>
                <w:szCs w:val="21"/>
                <w:highlight w:val="none"/>
                <w:lang w:eastAsia="zh-CN"/>
              </w:rPr>
            </w:pPr>
          </w:p>
        </w:tc>
        <w:tc>
          <w:tcPr>
            <w:tcW w:w="904" w:type="pct"/>
            <w:tcBorders>
              <w:tl2br w:val="nil"/>
              <w:tr2bl w:val="nil"/>
            </w:tcBorders>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b w:val="0"/>
                <w:bCs w:val="0"/>
                <w:color w:val="auto"/>
                <w:spacing w:val="0"/>
                <w:sz w:val="21"/>
                <w:szCs w:val="21"/>
                <w:highlight w:val="none"/>
                <w:vertAlign w:val="baseline"/>
                <w:lang w:val="en-US" w:eastAsia="zh-CN"/>
              </w:rPr>
              <w:t>危废暂存间、污水处理站、事故池</w:t>
            </w:r>
          </w:p>
        </w:tc>
        <w:tc>
          <w:tcPr>
            <w:tcW w:w="9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2023年6月18日</w:t>
            </w:r>
          </w:p>
        </w:tc>
        <w:tc>
          <w:tcPr>
            <w:tcW w:w="14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0"/>
                <w:sz w:val="21"/>
                <w:szCs w:val="21"/>
                <w:highlight w:val="none"/>
              </w:rPr>
              <w:t>N</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3</w:t>
            </w:r>
            <w:r>
              <w:rPr>
                <w:rFonts w:hint="eastAsia" w:ascii="宋体" w:hAnsi="宋体" w:eastAsia="宋体" w:cs="宋体"/>
                <w:color w:val="auto"/>
                <w:spacing w:val="0"/>
                <w:kern w:val="0"/>
                <w:sz w:val="21"/>
                <w:szCs w:val="21"/>
                <w:highlight w:val="none"/>
                <w:lang w:val="en-US" w:eastAsia="zh-CN"/>
              </w:rPr>
              <w:t>4</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40</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22.175</w:t>
            </w:r>
            <w:r>
              <w:rPr>
                <w:rFonts w:hint="eastAsia" w:ascii="宋体" w:hAnsi="宋体" w:eastAsia="宋体" w:cs="宋体"/>
                <w:color w:val="auto"/>
                <w:spacing w:val="0"/>
                <w:kern w:val="0"/>
                <w:sz w:val="21"/>
                <w:szCs w:val="21"/>
                <w:highlight w:val="none"/>
              </w:rPr>
              <w:t>''E</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11</w:t>
            </w:r>
            <w:r>
              <w:rPr>
                <w:rFonts w:hint="eastAsia" w:ascii="宋体" w:hAnsi="宋体" w:eastAsia="宋体" w:cs="宋体"/>
                <w:color w:val="auto"/>
                <w:spacing w:val="0"/>
                <w:kern w:val="0"/>
                <w:sz w:val="21"/>
                <w:szCs w:val="21"/>
                <w:highlight w:val="none"/>
                <w:lang w:val="en-US" w:eastAsia="zh-CN"/>
              </w:rPr>
              <w:t>1</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34</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39.260</w:t>
            </w:r>
            <w:r>
              <w:rPr>
                <w:rFonts w:hint="eastAsia" w:ascii="宋体" w:hAnsi="宋体" w:eastAsia="宋体" w:cs="宋体"/>
                <w:color w:val="auto"/>
                <w:spacing w:val="0"/>
                <w:kern w:val="0"/>
                <w:sz w:val="21"/>
                <w:szCs w:val="21"/>
                <w:highlight w:val="none"/>
              </w:rPr>
              <w:t>''</w:t>
            </w:r>
          </w:p>
        </w:tc>
        <w:tc>
          <w:tcPr>
            <w:tcW w:w="12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0"/>
                <w:sz w:val="21"/>
                <w:szCs w:val="21"/>
                <w:highlight w:val="none"/>
              </w:rPr>
              <w:t>固态、</w:t>
            </w:r>
            <w:r>
              <w:rPr>
                <w:rFonts w:hint="eastAsia" w:ascii="宋体" w:hAnsi="宋体" w:eastAsia="宋体" w:cs="宋体"/>
                <w:color w:val="auto"/>
                <w:spacing w:val="0"/>
                <w:kern w:val="0"/>
                <w:sz w:val="21"/>
                <w:szCs w:val="21"/>
                <w:highlight w:val="none"/>
                <w:lang w:val="en-US" w:eastAsia="zh-CN"/>
              </w:rPr>
              <w:t>红</w:t>
            </w:r>
            <w:r>
              <w:rPr>
                <w:rFonts w:hint="eastAsia" w:ascii="宋体" w:hAnsi="宋体" w:eastAsia="宋体" w:cs="宋体"/>
                <w:color w:val="auto"/>
                <w:spacing w:val="0"/>
                <w:kern w:val="0"/>
                <w:sz w:val="21"/>
                <w:szCs w:val="21"/>
                <w:highlight w:val="none"/>
              </w:rPr>
              <w:t>色、</w:t>
            </w:r>
            <w:r>
              <w:rPr>
                <w:rFonts w:hint="eastAsia" w:ascii="宋体" w:hAnsi="宋体" w:eastAsia="宋体" w:cs="宋体"/>
                <w:color w:val="auto"/>
                <w:spacing w:val="0"/>
                <w:kern w:val="0"/>
                <w:sz w:val="21"/>
                <w:szCs w:val="21"/>
                <w:highlight w:val="none"/>
                <w:lang w:val="en-US" w:eastAsia="zh-CN"/>
              </w:rPr>
              <w:t>壤土</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干燥</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无</w:t>
            </w:r>
            <w:r>
              <w:rPr>
                <w:rFonts w:hint="eastAsia" w:ascii="宋体" w:hAnsi="宋体" w:eastAsia="宋体" w:cs="宋体"/>
                <w:color w:val="auto"/>
                <w:spacing w:val="0"/>
                <w:kern w:val="0"/>
                <w:sz w:val="21"/>
                <w:szCs w:val="21"/>
                <w:highlight w:val="none"/>
              </w:rPr>
              <w:t>砂粒、</w:t>
            </w:r>
            <w:r>
              <w:rPr>
                <w:rFonts w:hint="eastAsia" w:ascii="宋体" w:hAnsi="宋体" w:eastAsia="宋体" w:cs="宋体"/>
                <w:color w:val="auto"/>
                <w:spacing w:val="0"/>
                <w:kern w:val="0"/>
                <w:sz w:val="21"/>
                <w:szCs w:val="21"/>
                <w:highlight w:val="none"/>
                <w:lang w:val="en-US" w:eastAsia="zh-CN"/>
              </w:rPr>
              <w:t>少量根系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404"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rPr>
                <w:rFonts w:hint="eastAsia" w:ascii="宋体" w:hAnsi="宋体" w:eastAsia="宋体" w:cs="宋体"/>
                <w:color w:val="auto"/>
                <w:spacing w:val="0"/>
                <w:sz w:val="21"/>
                <w:szCs w:val="21"/>
                <w:highlight w:val="none"/>
                <w:lang w:eastAsia="zh-CN"/>
              </w:rPr>
            </w:pPr>
          </w:p>
        </w:tc>
        <w:tc>
          <w:tcPr>
            <w:tcW w:w="904" w:type="pct"/>
            <w:tcBorders>
              <w:tl2br w:val="nil"/>
              <w:tr2bl w:val="nil"/>
            </w:tcBorders>
            <w:noWrap w:val="0"/>
            <w:vAlign w:val="center"/>
          </w:tcPr>
          <w:p>
            <w:pPr>
              <w:pageBreakBefore w:val="0"/>
              <w:numPr>
                <w:ilvl w:val="0"/>
                <w:numId w:val="0"/>
              </w:numPr>
              <w:kinsoku/>
              <w:wordWrap/>
              <w:overflowPunct/>
              <w:topLinePunct w:val="0"/>
              <w:bidi w:val="0"/>
              <w:spacing w:line="240" w:lineRule="auto"/>
              <w:ind w:left="0" w:leftChars="0" w:right="0" w:firstLine="0" w:firstLineChars="0"/>
              <w:jc w:val="center"/>
              <w:rPr>
                <w:rFonts w:hint="eastAsia" w:ascii="宋体" w:hAnsi="宋体" w:eastAsia="宋体" w:cs="宋体"/>
                <w:color w:val="auto"/>
                <w:spacing w:val="0"/>
                <w:sz w:val="21"/>
                <w:szCs w:val="21"/>
                <w:highlight w:val="none"/>
                <w:lang w:val="en-US" w:eastAsia="zh-CN" w:bidi="ar-SA"/>
              </w:rPr>
            </w:pPr>
            <w:r>
              <w:rPr>
                <w:rFonts w:hint="eastAsia" w:ascii="宋体" w:hAnsi="宋体" w:eastAsia="宋体" w:cs="宋体"/>
                <w:b w:val="0"/>
                <w:bCs w:val="0"/>
                <w:color w:val="auto"/>
                <w:spacing w:val="0"/>
                <w:sz w:val="21"/>
                <w:szCs w:val="21"/>
                <w:highlight w:val="none"/>
                <w:u w:val="none"/>
              </w:rPr>
              <w:t>土壤背景监测点</w:t>
            </w:r>
          </w:p>
        </w:tc>
        <w:tc>
          <w:tcPr>
            <w:tcW w:w="98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2"/>
                <w:sz w:val="21"/>
                <w:szCs w:val="21"/>
                <w:highlight w:val="none"/>
                <w:lang w:val="en-US" w:eastAsia="zh-CN" w:bidi="ar-SA"/>
              </w:rPr>
              <w:t>2023年6月18日</w:t>
            </w:r>
          </w:p>
        </w:tc>
        <w:tc>
          <w:tcPr>
            <w:tcW w:w="141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0"/>
                <w:sz w:val="21"/>
                <w:szCs w:val="21"/>
                <w:highlight w:val="none"/>
              </w:rPr>
              <w:t>N</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3</w:t>
            </w:r>
            <w:r>
              <w:rPr>
                <w:rFonts w:hint="eastAsia" w:ascii="宋体" w:hAnsi="宋体" w:eastAsia="宋体" w:cs="宋体"/>
                <w:color w:val="auto"/>
                <w:spacing w:val="0"/>
                <w:kern w:val="0"/>
                <w:sz w:val="21"/>
                <w:szCs w:val="21"/>
                <w:highlight w:val="none"/>
                <w:lang w:val="en-US" w:eastAsia="zh-CN"/>
              </w:rPr>
              <w:t>4</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40</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29.687</w:t>
            </w:r>
            <w:r>
              <w:rPr>
                <w:rFonts w:hint="eastAsia" w:ascii="宋体" w:hAnsi="宋体" w:eastAsia="宋体" w:cs="宋体"/>
                <w:color w:val="auto"/>
                <w:spacing w:val="0"/>
                <w:kern w:val="0"/>
                <w:sz w:val="21"/>
                <w:szCs w:val="21"/>
                <w:highlight w:val="none"/>
              </w:rPr>
              <w:t>''E</w:t>
            </w:r>
            <w:r>
              <w:rPr>
                <w:rFonts w:hint="eastAsia" w:ascii="宋体" w:hAnsi="宋体" w:eastAsia="宋体" w:cs="宋体"/>
                <w:color w:val="auto"/>
                <w:spacing w:val="0"/>
                <w:kern w:val="0"/>
                <w:sz w:val="21"/>
                <w:szCs w:val="21"/>
                <w:highlight w:val="none"/>
                <w:lang w:eastAsia="zh-CN"/>
              </w:rPr>
              <w:t>：</w:t>
            </w:r>
            <w:r>
              <w:rPr>
                <w:rFonts w:hint="eastAsia" w:ascii="宋体" w:hAnsi="宋体" w:eastAsia="宋体" w:cs="宋体"/>
                <w:color w:val="auto"/>
                <w:spacing w:val="0"/>
                <w:kern w:val="0"/>
                <w:sz w:val="21"/>
                <w:szCs w:val="21"/>
                <w:highlight w:val="none"/>
              </w:rPr>
              <w:t>11</w:t>
            </w:r>
            <w:r>
              <w:rPr>
                <w:rFonts w:hint="eastAsia" w:ascii="宋体" w:hAnsi="宋体" w:eastAsia="宋体" w:cs="宋体"/>
                <w:color w:val="auto"/>
                <w:spacing w:val="0"/>
                <w:kern w:val="0"/>
                <w:sz w:val="21"/>
                <w:szCs w:val="21"/>
                <w:highlight w:val="none"/>
                <w:lang w:val="en-US" w:eastAsia="zh-CN"/>
              </w:rPr>
              <w:t>1</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34</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47.448</w:t>
            </w:r>
            <w:r>
              <w:rPr>
                <w:rFonts w:hint="eastAsia" w:ascii="宋体" w:hAnsi="宋体" w:eastAsia="宋体" w:cs="宋体"/>
                <w:color w:val="auto"/>
                <w:spacing w:val="0"/>
                <w:kern w:val="0"/>
                <w:sz w:val="21"/>
                <w:szCs w:val="21"/>
                <w:highlight w:val="none"/>
              </w:rPr>
              <w:t>''</w:t>
            </w:r>
          </w:p>
        </w:tc>
        <w:tc>
          <w:tcPr>
            <w:tcW w:w="128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spacing w:line="240" w:lineRule="auto"/>
              <w:ind w:left="0" w:leftChars="0" w:right="0" w:firstLine="0" w:firstLineChars="0"/>
              <w:jc w:val="center"/>
              <w:textAlignment w:val="center"/>
              <w:rPr>
                <w:rFonts w:hint="eastAsia" w:ascii="宋体" w:hAnsi="宋体" w:eastAsia="宋体" w:cs="宋体"/>
                <w:color w:val="auto"/>
                <w:spacing w:val="0"/>
                <w:kern w:val="2"/>
                <w:sz w:val="21"/>
                <w:szCs w:val="21"/>
                <w:highlight w:val="none"/>
                <w:lang w:val="en-US" w:eastAsia="zh-CN" w:bidi="ar-SA"/>
              </w:rPr>
            </w:pPr>
            <w:r>
              <w:rPr>
                <w:rFonts w:hint="eastAsia" w:ascii="宋体" w:hAnsi="宋体" w:eastAsia="宋体" w:cs="宋体"/>
                <w:color w:val="auto"/>
                <w:spacing w:val="0"/>
                <w:kern w:val="0"/>
                <w:sz w:val="21"/>
                <w:szCs w:val="21"/>
                <w:highlight w:val="none"/>
              </w:rPr>
              <w:t>固态、</w:t>
            </w:r>
            <w:r>
              <w:rPr>
                <w:rFonts w:hint="eastAsia" w:ascii="宋体" w:hAnsi="宋体" w:eastAsia="宋体" w:cs="宋体"/>
                <w:color w:val="auto"/>
                <w:spacing w:val="0"/>
                <w:kern w:val="0"/>
                <w:sz w:val="21"/>
                <w:szCs w:val="21"/>
                <w:highlight w:val="none"/>
                <w:lang w:val="en-US" w:eastAsia="zh-CN"/>
              </w:rPr>
              <w:t>红</w:t>
            </w:r>
            <w:r>
              <w:rPr>
                <w:rFonts w:hint="eastAsia" w:ascii="宋体" w:hAnsi="宋体" w:eastAsia="宋体" w:cs="宋体"/>
                <w:color w:val="auto"/>
                <w:spacing w:val="0"/>
                <w:kern w:val="0"/>
                <w:sz w:val="21"/>
                <w:szCs w:val="21"/>
                <w:highlight w:val="none"/>
              </w:rPr>
              <w:t>色、</w:t>
            </w:r>
            <w:r>
              <w:rPr>
                <w:rFonts w:hint="eastAsia" w:ascii="宋体" w:hAnsi="宋体" w:eastAsia="宋体" w:cs="宋体"/>
                <w:color w:val="auto"/>
                <w:spacing w:val="0"/>
                <w:kern w:val="0"/>
                <w:sz w:val="21"/>
                <w:szCs w:val="21"/>
                <w:highlight w:val="none"/>
                <w:lang w:val="en-US" w:eastAsia="zh-CN"/>
              </w:rPr>
              <w:t>壤土</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干燥</w:t>
            </w:r>
            <w:r>
              <w:rPr>
                <w:rFonts w:hint="eastAsia" w:ascii="宋体" w:hAnsi="宋体" w:eastAsia="宋体" w:cs="宋体"/>
                <w:color w:val="auto"/>
                <w:spacing w:val="0"/>
                <w:kern w:val="0"/>
                <w:sz w:val="21"/>
                <w:szCs w:val="21"/>
                <w:highlight w:val="none"/>
              </w:rPr>
              <w:t>、</w:t>
            </w:r>
            <w:r>
              <w:rPr>
                <w:rFonts w:hint="eastAsia" w:ascii="宋体" w:hAnsi="宋体" w:eastAsia="宋体" w:cs="宋体"/>
                <w:color w:val="auto"/>
                <w:spacing w:val="0"/>
                <w:kern w:val="0"/>
                <w:sz w:val="21"/>
                <w:szCs w:val="21"/>
                <w:highlight w:val="none"/>
                <w:lang w:val="en-US" w:eastAsia="zh-CN"/>
              </w:rPr>
              <w:t>少量</w:t>
            </w:r>
            <w:r>
              <w:rPr>
                <w:rFonts w:hint="eastAsia" w:ascii="宋体" w:hAnsi="宋体" w:eastAsia="宋体" w:cs="宋体"/>
                <w:color w:val="auto"/>
                <w:spacing w:val="0"/>
                <w:kern w:val="0"/>
                <w:sz w:val="21"/>
                <w:szCs w:val="21"/>
                <w:highlight w:val="none"/>
              </w:rPr>
              <w:t>砂粒、</w:t>
            </w:r>
            <w:r>
              <w:rPr>
                <w:rFonts w:hint="eastAsia" w:ascii="宋体" w:hAnsi="宋体" w:eastAsia="宋体" w:cs="宋体"/>
                <w:color w:val="auto"/>
                <w:spacing w:val="0"/>
                <w:kern w:val="0"/>
                <w:sz w:val="21"/>
                <w:szCs w:val="21"/>
                <w:highlight w:val="none"/>
                <w:lang w:val="en-US" w:eastAsia="zh-CN"/>
              </w:rPr>
              <w:t>少量根系</w:t>
            </w:r>
          </w:p>
        </w:tc>
      </w:tr>
    </w:tbl>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247" w:name="_Toc22528"/>
      <w:r>
        <w:rPr>
          <w:rFonts w:hint="eastAsia" w:ascii="宋体" w:hAnsi="宋体" w:eastAsia="宋体" w:cs="宋体"/>
          <w:b/>
          <w:bCs/>
          <w:kern w:val="2"/>
          <w:sz w:val="28"/>
          <w:szCs w:val="32"/>
          <w:lang w:val="en-US" w:eastAsia="zh-CN" w:bidi="ar-SA"/>
        </w:rPr>
        <w:t>8.2监测结果</w:t>
      </w:r>
      <w:bookmarkEnd w:id="230"/>
      <w:bookmarkEnd w:id="231"/>
      <w:bookmarkEnd w:id="232"/>
      <w:bookmarkEnd w:id="233"/>
      <w:bookmarkEnd w:id="247"/>
    </w:p>
    <w:p>
      <w:pPr>
        <w:keepNext w:val="0"/>
        <w:keepLines w:val="0"/>
        <w:pageBreakBefore w:val="0"/>
        <w:widowControl w:val="0"/>
        <w:kinsoku/>
        <w:wordWrap/>
        <w:overflowPunct/>
        <w:topLinePunct w:val="0"/>
        <w:autoSpaceDE/>
        <w:autoSpaceDN/>
        <w:bidi w:val="0"/>
        <w:adjustRightInd/>
        <w:snapToGrid/>
        <w:spacing w:line="520" w:lineRule="exact"/>
        <w:ind w:left="0" w:right="0" w:firstLine="560" w:firstLineChars="200"/>
        <w:jc w:val="left"/>
        <w:textAlignment w:val="auto"/>
        <w:rPr>
          <w:rFonts w:hint="eastAsia" w:ascii="宋体" w:hAnsi="宋体" w:eastAsia="宋体" w:cs="宋体"/>
          <w:color w:val="auto"/>
          <w:kern w:val="2"/>
          <w:sz w:val="28"/>
          <w:szCs w:val="28"/>
          <w:highlight w:val="none"/>
          <w:lang w:val="zh-CN" w:eastAsia="zh-CN" w:bidi="zh-CN"/>
        </w:rPr>
      </w:pPr>
      <w:r>
        <w:rPr>
          <w:rFonts w:hint="eastAsia" w:ascii="宋体" w:hAnsi="宋体" w:eastAsia="宋体" w:cs="宋体"/>
          <w:color w:val="auto"/>
          <w:kern w:val="2"/>
          <w:sz w:val="28"/>
          <w:szCs w:val="28"/>
          <w:highlight w:val="none"/>
          <w:lang w:val="zh-CN" w:eastAsia="zh-CN" w:bidi="zh-CN"/>
        </w:rPr>
        <w:t>监测结果汇总情况见下表：</w:t>
      </w:r>
    </w:p>
    <w:p>
      <w:pPr>
        <w:keepNext w:val="0"/>
        <w:keepLines w:val="0"/>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宋体" w:hAnsi="宋体" w:eastAsia="宋体" w:cs="宋体"/>
          <w:color w:val="auto"/>
          <w:spacing w:val="0"/>
          <w:highlight w:val="none"/>
        </w:rPr>
      </w:pPr>
      <w:bookmarkStart w:id="248" w:name="_Toc1875"/>
      <w:bookmarkStart w:id="249" w:name="_Toc27605"/>
      <w:bookmarkStart w:id="250" w:name="_Toc20781"/>
      <w:r>
        <w:rPr>
          <w:rFonts w:hint="eastAsia" w:ascii="宋体" w:hAnsi="宋体" w:eastAsia="宋体" w:cs="宋体"/>
          <w:b/>
          <w:color w:val="auto"/>
          <w:sz w:val="24"/>
          <w:highlight w:val="none"/>
        </w:rPr>
        <w:t>表</w:t>
      </w:r>
      <w:r>
        <w:rPr>
          <w:rFonts w:hint="eastAsia" w:ascii="宋体" w:hAnsi="宋体" w:eastAsia="宋体" w:cs="宋体"/>
          <w:b/>
          <w:color w:val="auto"/>
          <w:sz w:val="24"/>
          <w:highlight w:val="none"/>
          <w:lang w:val="en-US" w:eastAsia="zh-CN"/>
        </w:rPr>
        <w:t>8</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val="en-US" w:eastAsia="zh-CN"/>
        </w:rPr>
        <w:t>5</w:t>
      </w:r>
      <w:r>
        <w:rPr>
          <w:rFonts w:hint="eastAsia" w:ascii="宋体" w:hAnsi="宋体" w:eastAsia="宋体" w:cs="宋体"/>
          <w:b/>
          <w:color w:val="auto"/>
          <w:sz w:val="24"/>
          <w:highlight w:val="none"/>
        </w:rPr>
        <w:t xml:space="preserve">  土壤检测结果统计表</w:t>
      </w:r>
    </w:p>
    <w:tbl>
      <w:tblPr>
        <w:tblStyle w:val="19"/>
        <w:tblW w:w="9318" w:type="dxa"/>
        <w:tblInd w:w="-347" w:type="dxa"/>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85"/>
        <w:gridCol w:w="1856"/>
        <w:gridCol w:w="1692"/>
        <w:gridCol w:w="1504"/>
        <w:gridCol w:w="1684"/>
        <w:gridCol w:w="1497"/>
      </w:tblGrid>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7" w:hRule="atLeast"/>
          <w:tblHeader/>
        </w:trPr>
        <w:tc>
          <w:tcPr>
            <w:tcW w:w="108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采样时间</w:t>
            </w:r>
          </w:p>
        </w:tc>
        <w:tc>
          <w:tcPr>
            <w:tcW w:w="18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检测地点</w:t>
            </w: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检测因子</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检测结果</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检测因子</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检测结果</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trPr>
        <w:tc>
          <w:tcPr>
            <w:tcW w:w="1085"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rPr>
            </w:pPr>
            <w:r>
              <w:rPr>
                <w:rFonts w:hint="eastAsia" w:ascii="宋体" w:hAnsi="宋体" w:eastAsia="宋体" w:cs="宋体"/>
                <w:color w:val="auto"/>
                <w:spacing w:val="0"/>
                <w:kern w:val="0"/>
                <w:sz w:val="24"/>
                <w:highlight w:val="none"/>
              </w:rPr>
              <w:t>202</w:t>
            </w:r>
            <w:r>
              <w:rPr>
                <w:rFonts w:hint="eastAsia" w:ascii="宋体" w:hAnsi="宋体" w:eastAsia="宋体" w:cs="宋体"/>
                <w:color w:val="auto"/>
                <w:spacing w:val="0"/>
                <w:kern w:val="0"/>
                <w:sz w:val="24"/>
                <w:highlight w:val="none"/>
                <w:lang w:val="en-US" w:eastAsia="zh-CN"/>
              </w:rPr>
              <w:t>3</w:t>
            </w:r>
            <w:r>
              <w:rPr>
                <w:rFonts w:hint="eastAsia" w:ascii="宋体" w:hAnsi="宋体" w:eastAsia="宋体" w:cs="宋体"/>
                <w:color w:val="auto"/>
                <w:spacing w:val="0"/>
                <w:kern w:val="0"/>
                <w:sz w:val="24"/>
                <w:highlight w:val="none"/>
              </w:rPr>
              <w:t>.0</w:t>
            </w:r>
            <w:r>
              <w:rPr>
                <w:rFonts w:hint="eastAsia" w:ascii="宋体" w:hAnsi="宋体" w:eastAsia="宋体" w:cs="宋体"/>
                <w:color w:val="auto"/>
                <w:spacing w:val="0"/>
                <w:kern w:val="0"/>
                <w:sz w:val="24"/>
                <w:highlight w:val="none"/>
                <w:lang w:val="en-US" w:eastAsia="zh-CN"/>
              </w:rPr>
              <w:t>6.18</w:t>
            </w:r>
          </w:p>
        </w:tc>
        <w:tc>
          <w:tcPr>
            <w:tcW w:w="1856"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lang w:val="en-US" w:eastAsia="zh-CN"/>
              </w:rPr>
              <w:t>研发楼、试验田</w:t>
            </w:r>
          </w:p>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（N</w:t>
            </w:r>
            <w:r>
              <w:rPr>
                <w:rFonts w:hint="eastAsia" w:ascii="宋体" w:hAnsi="宋体" w:eastAsia="宋体" w:cs="宋体"/>
                <w:color w:val="auto"/>
                <w:spacing w:val="0"/>
                <w:kern w:val="0"/>
                <w:sz w:val="24"/>
                <w:highlight w:val="none"/>
                <w:lang w:eastAsia="zh-CN"/>
              </w:rPr>
              <w:t>：</w:t>
            </w:r>
            <w:r>
              <w:rPr>
                <w:rFonts w:hint="eastAsia" w:ascii="宋体" w:hAnsi="宋体" w:eastAsia="宋体" w:cs="宋体"/>
                <w:color w:val="auto"/>
                <w:spacing w:val="0"/>
                <w:kern w:val="0"/>
                <w:sz w:val="24"/>
                <w:highlight w:val="none"/>
              </w:rPr>
              <w:t>3</w:t>
            </w:r>
            <w:r>
              <w:rPr>
                <w:rFonts w:hint="eastAsia" w:ascii="宋体" w:hAnsi="宋体" w:eastAsia="宋体" w:cs="宋体"/>
                <w:color w:val="auto"/>
                <w:spacing w:val="0"/>
                <w:kern w:val="0"/>
                <w:sz w:val="24"/>
                <w:highlight w:val="none"/>
                <w:lang w:val="en-US" w:eastAsia="zh-CN"/>
              </w:rPr>
              <w:t>4</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40</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27.447</w:t>
            </w:r>
            <w:r>
              <w:rPr>
                <w:rFonts w:hint="eastAsia" w:ascii="宋体" w:hAnsi="宋体" w:eastAsia="宋体" w:cs="宋体"/>
                <w:color w:val="auto"/>
                <w:spacing w:val="0"/>
                <w:kern w:val="0"/>
                <w:sz w:val="24"/>
                <w:highlight w:val="none"/>
              </w:rPr>
              <w:t>''E</w:t>
            </w:r>
            <w:r>
              <w:rPr>
                <w:rFonts w:hint="eastAsia" w:ascii="宋体" w:hAnsi="宋体" w:eastAsia="宋体" w:cs="宋体"/>
                <w:color w:val="auto"/>
                <w:spacing w:val="0"/>
                <w:kern w:val="0"/>
                <w:sz w:val="24"/>
                <w:highlight w:val="none"/>
                <w:lang w:eastAsia="zh-CN"/>
              </w:rPr>
              <w:t>：</w:t>
            </w:r>
            <w:r>
              <w:rPr>
                <w:rFonts w:hint="eastAsia" w:ascii="宋体" w:hAnsi="宋体" w:eastAsia="宋体" w:cs="宋体"/>
                <w:color w:val="auto"/>
                <w:spacing w:val="0"/>
                <w:kern w:val="0"/>
                <w:sz w:val="24"/>
                <w:highlight w:val="none"/>
              </w:rPr>
              <w:t>11</w:t>
            </w:r>
            <w:r>
              <w:rPr>
                <w:rFonts w:hint="eastAsia" w:ascii="宋体" w:hAnsi="宋体" w:eastAsia="宋体" w:cs="宋体"/>
                <w:color w:val="auto"/>
                <w:spacing w:val="0"/>
                <w:kern w:val="0"/>
                <w:sz w:val="24"/>
                <w:highlight w:val="none"/>
                <w:lang w:val="en-US" w:eastAsia="zh-CN"/>
              </w:rPr>
              <w:t>1</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34</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44.841</w:t>
            </w:r>
            <w:r>
              <w:rPr>
                <w:rFonts w:hint="eastAsia" w:ascii="宋体" w:hAnsi="宋体" w:eastAsia="宋体" w:cs="宋体"/>
                <w:color w:val="auto"/>
                <w:spacing w:val="0"/>
                <w:kern w:val="0"/>
                <w:sz w:val="24"/>
                <w:highlight w:val="none"/>
              </w:rPr>
              <w:t>''）</w:t>
            </w: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pH值</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lang w:val="en-US" w:eastAsia="zh-CN"/>
              </w:rPr>
              <w:t>8.12</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三氯乙烯</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9" w:hRule="atLeast"/>
        </w:trPr>
        <w:tc>
          <w:tcPr>
            <w:tcW w:w="10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5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砷</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9.80</w:t>
            </w:r>
            <w:r>
              <w:rPr>
                <w:rFonts w:hint="eastAsia" w:ascii="宋体" w:hAnsi="宋体" w:eastAsia="宋体" w:cs="宋体"/>
                <w:color w:val="auto"/>
                <w:spacing w:val="0"/>
                <w:kern w:val="0"/>
                <w:sz w:val="24"/>
                <w:highlight w:val="none"/>
              </w:rPr>
              <w:t>mg/kg</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1,2,3-三氯丙烷</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10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5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镉</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0.82</w:t>
            </w:r>
            <w:r>
              <w:rPr>
                <w:rFonts w:hint="eastAsia" w:ascii="宋体" w:hAnsi="宋体" w:eastAsia="宋体" w:cs="宋体"/>
                <w:color w:val="auto"/>
                <w:spacing w:val="0"/>
                <w:kern w:val="0"/>
                <w:sz w:val="24"/>
                <w:highlight w:val="none"/>
              </w:rPr>
              <w:t>mg/kg</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氯乙烯</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10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5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铬（六价）</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10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5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铜</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68</w:t>
            </w:r>
            <w:r>
              <w:rPr>
                <w:rFonts w:hint="eastAsia" w:ascii="宋体" w:hAnsi="宋体" w:eastAsia="宋体" w:cs="宋体"/>
                <w:color w:val="auto"/>
                <w:spacing w:val="0"/>
                <w:kern w:val="0"/>
                <w:sz w:val="24"/>
                <w:highlight w:val="none"/>
              </w:rPr>
              <w:t>mg/kg</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氯苯</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10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5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铅</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169</w:t>
            </w:r>
            <w:r>
              <w:rPr>
                <w:rFonts w:hint="eastAsia" w:ascii="宋体" w:hAnsi="宋体" w:eastAsia="宋体" w:cs="宋体"/>
                <w:color w:val="auto"/>
                <w:spacing w:val="0"/>
                <w:kern w:val="0"/>
                <w:sz w:val="24"/>
                <w:highlight w:val="none"/>
              </w:rPr>
              <w:t>mg/kg</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1,2-二氯苯</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10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5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汞</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0</w:t>
            </w:r>
            <w:r>
              <w:rPr>
                <w:rFonts w:hint="eastAsia" w:ascii="宋体" w:hAnsi="宋体" w:eastAsia="宋体" w:cs="宋体"/>
                <w:color w:val="auto"/>
                <w:spacing w:val="0"/>
                <w:kern w:val="0"/>
                <w:sz w:val="24"/>
                <w:highlight w:val="none"/>
                <w:lang w:val="en-US" w:eastAsia="zh-CN"/>
              </w:rPr>
              <w:t>.341</w:t>
            </w:r>
            <w:r>
              <w:rPr>
                <w:rFonts w:hint="eastAsia" w:ascii="宋体" w:hAnsi="宋体" w:eastAsia="宋体" w:cs="宋体"/>
                <w:color w:val="auto"/>
                <w:spacing w:val="0"/>
                <w:kern w:val="0"/>
                <w:sz w:val="24"/>
                <w:highlight w:val="none"/>
              </w:rPr>
              <w:t>mg/kg</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1,4-二氯苯</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10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5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镍</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82</w:t>
            </w:r>
            <w:r>
              <w:rPr>
                <w:rFonts w:hint="eastAsia" w:ascii="宋体" w:hAnsi="宋体" w:eastAsia="宋体" w:cs="宋体"/>
                <w:color w:val="auto"/>
                <w:spacing w:val="0"/>
                <w:kern w:val="0"/>
                <w:sz w:val="24"/>
                <w:highlight w:val="none"/>
              </w:rPr>
              <w:t>mg/kg</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乙苯</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10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5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四氯化碳</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苯乙烯</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10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5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氯仿</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未检出</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甲苯</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10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5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氯甲烷</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间,对-二甲苯</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10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5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1,1-二氯乙烷</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未检出</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邻-二甲苯</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10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5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1,2-二氯乙烷</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未检出</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硝基苯</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10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5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1,1-二氯乙烯</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苯胺</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9" w:hRule="atLeast"/>
        </w:trPr>
        <w:tc>
          <w:tcPr>
            <w:tcW w:w="10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5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顺-1,2-二氯乙烯</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2-氯酚</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9" w:hRule="atLeast"/>
        </w:trPr>
        <w:tc>
          <w:tcPr>
            <w:tcW w:w="108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5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反-1,2-二氯乙烯</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苯并[a]蒽</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10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5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二氯甲烷</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苯并[a]芘</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10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5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1,2-二氯丙烷</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苯并[b]荧蒽</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9" w:hRule="atLeast"/>
        </w:trPr>
        <w:tc>
          <w:tcPr>
            <w:tcW w:w="10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5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1,1,1,2-四氯乙烷</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苯并[k]荧蒽</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9" w:hRule="atLeast"/>
        </w:trPr>
        <w:tc>
          <w:tcPr>
            <w:tcW w:w="10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5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1,1,2,2-四氯乙烷</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䓛</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5" w:hRule="atLeast"/>
        </w:trPr>
        <w:tc>
          <w:tcPr>
            <w:tcW w:w="10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5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四氯乙烯</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二苯并[a，h]蒽</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39" w:hRule="atLeast"/>
        </w:trPr>
        <w:tc>
          <w:tcPr>
            <w:tcW w:w="10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5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1,1,1-三氯乙烷</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茚并[1,2,3-cd]芘</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5" w:hRule="atLeast"/>
        </w:trPr>
        <w:tc>
          <w:tcPr>
            <w:tcW w:w="10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5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1,1,2-三氯乙烷</w:t>
            </w:r>
          </w:p>
        </w:tc>
        <w:tc>
          <w:tcPr>
            <w:tcW w:w="150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萘</w:t>
            </w:r>
          </w:p>
        </w:tc>
        <w:tc>
          <w:tcPr>
            <w:tcW w:w="14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9" w:hRule="atLeast"/>
        </w:trPr>
        <w:tc>
          <w:tcPr>
            <w:tcW w:w="10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5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样品状态</w:t>
            </w:r>
          </w:p>
        </w:tc>
        <w:tc>
          <w:tcPr>
            <w:tcW w:w="4685" w:type="dxa"/>
            <w:gridSpan w:val="3"/>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固态、</w:t>
            </w:r>
            <w:r>
              <w:rPr>
                <w:rFonts w:hint="eastAsia" w:ascii="宋体" w:hAnsi="宋体" w:eastAsia="宋体" w:cs="宋体"/>
                <w:color w:val="auto"/>
                <w:spacing w:val="0"/>
                <w:kern w:val="0"/>
                <w:sz w:val="24"/>
                <w:highlight w:val="none"/>
                <w:lang w:val="en-US" w:eastAsia="zh-CN"/>
              </w:rPr>
              <w:t>红</w:t>
            </w:r>
            <w:r>
              <w:rPr>
                <w:rFonts w:hint="eastAsia" w:ascii="宋体" w:hAnsi="宋体" w:eastAsia="宋体" w:cs="宋体"/>
                <w:color w:val="auto"/>
                <w:spacing w:val="0"/>
                <w:kern w:val="0"/>
                <w:sz w:val="24"/>
                <w:highlight w:val="none"/>
              </w:rPr>
              <w:t>色、</w:t>
            </w:r>
            <w:r>
              <w:rPr>
                <w:rFonts w:hint="eastAsia" w:ascii="宋体" w:hAnsi="宋体" w:eastAsia="宋体" w:cs="宋体"/>
                <w:color w:val="auto"/>
                <w:spacing w:val="0"/>
                <w:kern w:val="0"/>
                <w:sz w:val="24"/>
                <w:highlight w:val="none"/>
                <w:lang w:val="en-US" w:eastAsia="zh-CN"/>
              </w:rPr>
              <w:t>壤土</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干燥</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少量</w:t>
            </w:r>
            <w:r>
              <w:rPr>
                <w:rFonts w:hint="eastAsia" w:ascii="宋体" w:hAnsi="宋体" w:eastAsia="宋体" w:cs="宋体"/>
                <w:color w:val="auto"/>
                <w:spacing w:val="0"/>
                <w:kern w:val="0"/>
                <w:sz w:val="24"/>
                <w:highlight w:val="none"/>
              </w:rPr>
              <w:t>砂粒、</w:t>
            </w:r>
            <w:r>
              <w:rPr>
                <w:rFonts w:hint="eastAsia" w:ascii="宋体" w:hAnsi="宋体" w:eastAsia="宋体" w:cs="宋体"/>
                <w:color w:val="auto"/>
                <w:spacing w:val="0"/>
                <w:kern w:val="0"/>
                <w:sz w:val="24"/>
                <w:highlight w:val="none"/>
                <w:lang w:val="en-US" w:eastAsia="zh-CN"/>
              </w:rPr>
              <w:t>少量根系</w:t>
            </w:r>
          </w:p>
        </w:tc>
      </w:tr>
    </w:tbl>
    <w:p>
      <w:pPr>
        <w:keepNext w:val="0"/>
        <w:keepLines w:val="0"/>
        <w:pageBreakBefore w:val="0"/>
        <w:kinsoku/>
        <w:wordWrap/>
        <w:overflowPunct/>
        <w:topLinePunct w:val="0"/>
        <w:autoSpaceDE/>
        <w:autoSpaceDN/>
        <w:bidi w:val="0"/>
        <w:spacing w:line="240" w:lineRule="auto"/>
        <w:ind w:left="0" w:leftChars="0" w:right="0" w:firstLine="0" w:firstLineChars="0"/>
        <w:jc w:val="center"/>
        <w:rPr>
          <w:rFonts w:hint="eastAsia" w:ascii="宋体" w:hAnsi="宋体" w:eastAsia="宋体" w:cs="宋体"/>
          <w:color w:val="auto"/>
          <w:spacing w:val="0"/>
          <w:highlight w:val="none"/>
        </w:rPr>
      </w:pPr>
      <w:r>
        <w:rPr>
          <w:rFonts w:hint="eastAsia" w:ascii="宋体" w:hAnsi="宋体" w:eastAsia="宋体" w:cs="宋体"/>
          <w:b/>
          <w:color w:val="auto"/>
          <w:spacing w:val="0"/>
          <w:sz w:val="24"/>
          <w:highlight w:val="none"/>
        </w:rPr>
        <w:t>土壤检测结果统计表</w:t>
      </w:r>
    </w:p>
    <w:tbl>
      <w:tblPr>
        <w:tblStyle w:val="19"/>
        <w:tblW w:w="9056" w:type="dxa"/>
        <w:tblInd w:w="-256" w:type="dxa"/>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81"/>
        <w:gridCol w:w="1822"/>
        <w:gridCol w:w="1659"/>
        <w:gridCol w:w="1475"/>
        <w:gridCol w:w="1651"/>
        <w:gridCol w:w="1468"/>
      </w:tblGrid>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64" w:hRule="atLeast"/>
          <w:tblHeader/>
        </w:trPr>
        <w:tc>
          <w:tcPr>
            <w:tcW w:w="98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采样时间</w:t>
            </w:r>
          </w:p>
        </w:tc>
        <w:tc>
          <w:tcPr>
            <w:tcW w:w="182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检测地点</w:t>
            </w: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检测因子</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检测结果</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检测因子</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检测结果</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3" w:hRule="atLeast"/>
        </w:trPr>
        <w:tc>
          <w:tcPr>
            <w:tcW w:w="981"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rPr>
            </w:pPr>
            <w:r>
              <w:rPr>
                <w:rFonts w:hint="eastAsia" w:ascii="宋体" w:hAnsi="宋体" w:eastAsia="宋体" w:cs="宋体"/>
                <w:color w:val="auto"/>
                <w:spacing w:val="0"/>
                <w:kern w:val="0"/>
                <w:sz w:val="24"/>
                <w:highlight w:val="none"/>
              </w:rPr>
              <w:t>202</w:t>
            </w:r>
            <w:r>
              <w:rPr>
                <w:rFonts w:hint="eastAsia" w:ascii="宋体" w:hAnsi="宋体" w:eastAsia="宋体" w:cs="宋体"/>
                <w:color w:val="auto"/>
                <w:spacing w:val="0"/>
                <w:kern w:val="0"/>
                <w:sz w:val="24"/>
                <w:highlight w:val="none"/>
                <w:lang w:val="en-US" w:eastAsia="zh-CN"/>
              </w:rPr>
              <w:t>3</w:t>
            </w:r>
            <w:r>
              <w:rPr>
                <w:rFonts w:hint="eastAsia" w:ascii="宋体" w:hAnsi="宋体" w:eastAsia="宋体" w:cs="宋体"/>
                <w:color w:val="auto"/>
                <w:spacing w:val="0"/>
                <w:kern w:val="0"/>
                <w:sz w:val="24"/>
                <w:highlight w:val="none"/>
              </w:rPr>
              <w:t>.0</w:t>
            </w:r>
            <w:r>
              <w:rPr>
                <w:rFonts w:hint="eastAsia" w:ascii="宋体" w:hAnsi="宋体" w:eastAsia="宋体" w:cs="宋体"/>
                <w:color w:val="auto"/>
                <w:spacing w:val="0"/>
                <w:kern w:val="0"/>
                <w:sz w:val="24"/>
                <w:highlight w:val="none"/>
                <w:lang w:val="en-US" w:eastAsia="zh-CN"/>
              </w:rPr>
              <w:t>6.18</w:t>
            </w:r>
          </w:p>
        </w:tc>
        <w:tc>
          <w:tcPr>
            <w:tcW w:w="1822"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粉剂车间、仓库B</w:t>
            </w:r>
            <w:r>
              <w:rPr>
                <w:rFonts w:hint="eastAsia" w:ascii="宋体" w:hAnsi="宋体" w:eastAsia="宋体" w:cs="宋体"/>
                <w:color w:val="auto"/>
                <w:spacing w:val="0"/>
                <w:kern w:val="0"/>
                <w:sz w:val="24"/>
                <w:highlight w:val="none"/>
              </w:rPr>
              <w:t>（N</w:t>
            </w:r>
            <w:r>
              <w:rPr>
                <w:rFonts w:hint="eastAsia" w:ascii="宋体" w:hAnsi="宋体" w:eastAsia="宋体" w:cs="宋体"/>
                <w:color w:val="auto"/>
                <w:spacing w:val="0"/>
                <w:kern w:val="0"/>
                <w:sz w:val="24"/>
                <w:highlight w:val="none"/>
                <w:lang w:eastAsia="zh-CN"/>
              </w:rPr>
              <w:t>：</w:t>
            </w:r>
            <w:r>
              <w:rPr>
                <w:rFonts w:hint="eastAsia" w:ascii="宋体" w:hAnsi="宋体" w:eastAsia="宋体" w:cs="宋体"/>
                <w:color w:val="auto"/>
                <w:spacing w:val="0"/>
                <w:kern w:val="0"/>
                <w:sz w:val="24"/>
                <w:highlight w:val="none"/>
              </w:rPr>
              <w:t>3</w:t>
            </w:r>
            <w:r>
              <w:rPr>
                <w:rFonts w:hint="eastAsia" w:ascii="宋体" w:hAnsi="宋体" w:eastAsia="宋体" w:cs="宋体"/>
                <w:color w:val="auto"/>
                <w:spacing w:val="0"/>
                <w:kern w:val="0"/>
                <w:sz w:val="24"/>
                <w:highlight w:val="none"/>
                <w:lang w:val="en-US" w:eastAsia="zh-CN"/>
              </w:rPr>
              <w:t>4</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40</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24.700</w:t>
            </w:r>
            <w:r>
              <w:rPr>
                <w:rFonts w:hint="eastAsia" w:ascii="宋体" w:hAnsi="宋体" w:eastAsia="宋体" w:cs="宋体"/>
                <w:color w:val="auto"/>
                <w:spacing w:val="0"/>
                <w:kern w:val="0"/>
                <w:sz w:val="24"/>
                <w:highlight w:val="none"/>
              </w:rPr>
              <w:t>''E</w:t>
            </w:r>
            <w:r>
              <w:rPr>
                <w:rFonts w:hint="eastAsia" w:ascii="宋体" w:hAnsi="宋体" w:eastAsia="宋体" w:cs="宋体"/>
                <w:color w:val="auto"/>
                <w:spacing w:val="0"/>
                <w:kern w:val="0"/>
                <w:sz w:val="24"/>
                <w:highlight w:val="none"/>
                <w:lang w:eastAsia="zh-CN"/>
              </w:rPr>
              <w:t>：</w:t>
            </w:r>
            <w:r>
              <w:rPr>
                <w:rFonts w:hint="eastAsia" w:ascii="宋体" w:hAnsi="宋体" w:eastAsia="宋体" w:cs="宋体"/>
                <w:color w:val="auto"/>
                <w:spacing w:val="0"/>
                <w:kern w:val="0"/>
                <w:sz w:val="24"/>
                <w:highlight w:val="none"/>
              </w:rPr>
              <w:t>11</w:t>
            </w:r>
            <w:r>
              <w:rPr>
                <w:rFonts w:hint="eastAsia" w:ascii="宋体" w:hAnsi="宋体" w:eastAsia="宋体" w:cs="宋体"/>
                <w:color w:val="auto"/>
                <w:spacing w:val="0"/>
                <w:kern w:val="0"/>
                <w:sz w:val="24"/>
                <w:highlight w:val="none"/>
                <w:lang w:val="en-US" w:eastAsia="zh-CN"/>
              </w:rPr>
              <w:t>1</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34</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42.109</w:t>
            </w:r>
            <w:r>
              <w:rPr>
                <w:rFonts w:hint="eastAsia" w:ascii="宋体" w:hAnsi="宋体" w:eastAsia="宋体" w:cs="宋体"/>
                <w:color w:val="auto"/>
                <w:spacing w:val="0"/>
                <w:kern w:val="0"/>
                <w:sz w:val="24"/>
                <w:highlight w:val="none"/>
              </w:rPr>
              <w:t>''）</w:t>
            </w: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pH值</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lang w:val="en-US" w:eastAsia="zh-CN"/>
              </w:rPr>
              <w:t>7.86</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三氯乙烯</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98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砷</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13.5</w:t>
            </w:r>
            <w:r>
              <w:rPr>
                <w:rFonts w:hint="eastAsia" w:ascii="宋体" w:hAnsi="宋体" w:eastAsia="宋体" w:cs="宋体"/>
                <w:color w:val="auto"/>
                <w:spacing w:val="0"/>
                <w:kern w:val="0"/>
                <w:sz w:val="24"/>
                <w:highlight w:val="none"/>
              </w:rPr>
              <w:t>mg/kg</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1,2,3-三氯丙烷</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98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镉</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0.82</w:t>
            </w:r>
            <w:r>
              <w:rPr>
                <w:rFonts w:hint="eastAsia" w:ascii="宋体" w:hAnsi="宋体" w:eastAsia="宋体" w:cs="宋体"/>
                <w:color w:val="auto"/>
                <w:spacing w:val="0"/>
                <w:kern w:val="0"/>
                <w:sz w:val="24"/>
                <w:highlight w:val="none"/>
              </w:rPr>
              <w:t>mg/kg</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氯乙烯</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98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铬（六价）</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98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铜</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31</w:t>
            </w:r>
            <w:r>
              <w:rPr>
                <w:rFonts w:hint="eastAsia" w:ascii="宋体" w:hAnsi="宋体" w:eastAsia="宋体" w:cs="宋体"/>
                <w:color w:val="auto"/>
                <w:spacing w:val="0"/>
                <w:kern w:val="0"/>
                <w:sz w:val="24"/>
                <w:highlight w:val="none"/>
              </w:rPr>
              <w:t>mg/kg</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氯苯</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98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铅</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39</w:t>
            </w:r>
            <w:r>
              <w:rPr>
                <w:rFonts w:hint="eastAsia" w:ascii="宋体" w:hAnsi="宋体" w:eastAsia="宋体" w:cs="宋体"/>
                <w:color w:val="auto"/>
                <w:spacing w:val="0"/>
                <w:kern w:val="0"/>
                <w:sz w:val="24"/>
                <w:highlight w:val="none"/>
              </w:rPr>
              <w:t>mg/kg</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1,2-二氯苯</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98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汞</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0</w:t>
            </w:r>
            <w:r>
              <w:rPr>
                <w:rFonts w:hint="eastAsia" w:ascii="宋体" w:hAnsi="宋体" w:eastAsia="宋体" w:cs="宋体"/>
                <w:color w:val="auto"/>
                <w:spacing w:val="0"/>
                <w:kern w:val="0"/>
                <w:sz w:val="24"/>
                <w:highlight w:val="none"/>
                <w:lang w:val="en-US" w:eastAsia="zh-CN"/>
              </w:rPr>
              <w:t>.269</w:t>
            </w:r>
            <w:r>
              <w:rPr>
                <w:rFonts w:hint="eastAsia" w:ascii="宋体" w:hAnsi="宋体" w:eastAsia="宋体" w:cs="宋体"/>
                <w:color w:val="auto"/>
                <w:spacing w:val="0"/>
                <w:kern w:val="0"/>
                <w:sz w:val="24"/>
                <w:highlight w:val="none"/>
              </w:rPr>
              <w:t>mg/kg</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1,4-二氯苯</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98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镍</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50</w:t>
            </w:r>
            <w:r>
              <w:rPr>
                <w:rFonts w:hint="eastAsia" w:ascii="宋体" w:hAnsi="宋体" w:eastAsia="宋体" w:cs="宋体"/>
                <w:color w:val="auto"/>
                <w:spacing w:val="0"/>
                <w:kern w:val="0"/>
                <w:sz w:val="24"/>
                <w:highlight w:val="none"/>
              </w:rPr>
              <w:t>mg/kg</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乙苯</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98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四氯化碳</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苯乙烯</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98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氯仿</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未检出</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甲苯</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98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氯甲烷</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间,对-二甲苯</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98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1,1-二氯乙烷</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未检出</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邻-二甲苯</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98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1,2-二氯乙烷</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未检出</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硝基苯</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98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1,1-二氯乙烯</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苯胺</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98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顺-1,2-二氯乙烯</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2-氯酚</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981"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2"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反-1,2-二氯乙烯</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苯并[a]蒽</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98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2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二氯甲烷</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苯并[a]芘</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98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2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1,2-二氯丙烷</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苯并[b]荧蒽</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98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2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1,1,1,2-四氯乙烷</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苯并[k]荧蒽</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98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2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1,1,2,2-四氯乙烷</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䓛</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2" w:hRule="atLeast"/>
        </w:trPr>
        <w:tc>
          <w:tcPr>
            <w:tcW w:w="98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2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四氯乙烯</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二苯并[a，h]蒽</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98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2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1,1,1-三氯乙烷</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茚并[1,2,3-cd]芘</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41" w:hRule="atLeast"/>
        </w:trPr>
        <w:tc>
          <w:tcPr>
            <w:tcW w:w="98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2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1,1,2-三氯乙烷</w:t>
            </w:r>
          </w:p>
        </w:tc>
        <w:tc>
          <w:tcPr>
            <w:tcW w:w="147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萘</w:t>
            </w:r>
          </w:p>
        </w:tc>
        <w:tc>
          <w:tcPr>
            <w:tcW w:w="14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72" w:hRule="atLeast"/>
        </w:trPr>
        <w:tc>
          <w:tcPr>
            <w:tcW w:w="98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2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5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样品状态</w:t>
            </w:r>
          </w:p>
        </w:tc>
        <w:tc>
          <w:tcPr>
            <w:tcW w:w="4594" w:type="dxa"/>
            <w:gridSpan w:val="3"/>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固态、</w:t>
            </w:r>
            <w:r>
              <w:rPr>
                <w:rFonts w:hint="eastAsia" w:ascii="宋体" w:hAnsi="宋体" w:eastAsia="宋体" w:cs="宋体"/>
                <w:color w:val="auto"/>
                <w:spacing w:val="0"/>
                <w:kern w:val="0"/>
                <w:sz w:val="24"/>
                <w:highlight w:val="none"/>
                <w:lang w:val="en-US" w:eastAsia="zh-CN"/>
              </w:rPr>
              <w:t>红</w:t>
            </w:r>
            <w:r>
              <w:rPr>
                <w:rFonts w:hint="eastAsia" w:ascii="宋体" w:hAnsi="宋体" w:eastAsia="宋体" w:cs="宋体"/>
                <w:color w:val="auto"/>
                <w:spacing w:val="0"/>
                <w:kern w:val="0"/>
                <w:sz w:val="24"/>
                <w:highlight w:val="none"/>
              </w:rPr>
              <w:t>色、</w:t>
            </w:r>
            <w:r>
              <w:rPr>
                <w:rFonts w:hint="eastAsia" w:ascii="宋体" w:hAnsi="宋体" w:eastAsia="宋体" w:cs="宋体"/>
                <w:color w:val="auto"/>
                <w:spacing w:val="0"/>
                <w:kern w:val="0"/>
                <w:sz w:val="24"/>
                <w:highlight w:val="none"/>
                <w:lang w:val="en-US" w:eastAsia="zh-CN"/>
              </w:rPr>
              <w:t>壤土</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干燥</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无</w:t>
            </w:r>
            <w:r>
              <w:rPr>
                <w:rFonts w:hint="eastAsia" w:ascii="宋体" w:hAnsi="宋体" w:eastAsia="宋体" w:cs="宋体"/>
                <w:color w:val="auto"/>
                <w:spacing w:val="0"/>
                <w:kern w:val="0"/>
                <w:sz w:val="24"/>
                <w:highlight w:val="none"/>
              </w:rPr>
              <w:t>砂粒、</w:t>
            </w:r>
            <w:r>
              <w:rPr>
                <w:rFonts w:hint="eastAsia" w:ascii="宋体" w:hAnsi="宋体" w:eastAsia="宋体" w:cs="宋体"/>
                <w:color w:val="auto"/>
                <w:spacing w:val="0"/>
                <w:kern w:val="0"/>
                <w:sz w:val="24"/>
                <w:highlight w:val="none"/>
                <w:lang w:val="en-US" w:eastAsia="zh-CN"/>
              </w:rPr>
              <w:t>少量根系</w:t>
            </w:r>
          </w:p>
        </w:tc>
      </w:tr>
    </w:tbl>
    <w:p>
      <w:pPr>
        <w:keepNext w:val="0"/>
        <w:keepLines w:val="0"/>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宋体" w:hAnsi="宋体" w:eastAsia="宋体" w:cs="宋体"/>
          <w:color w:val="auto"/>
          <w:spacing w:val="0"/>
          <w:highlight w:val="none"/>
        </w:rPr>
      </w:pPr>
      <w:r>
        <w:rPr>
          <w:rFonts w:hint="eastAsia" w:ascii="宋体" w:hAnsi="宋体" w:eastAsia="宋体" w:cs="宋体"/>
          <w:b/>
          <w:color w:val="auto"/>
          <w:spacing w:val="0"/>
          <w:sz w:val="24"/>
          <w:highlight w:val="none"/>
        </w:rPr>
        <w:t>土壤检测结果统计表</w:t>
      </w:r>
    </w:p>
    <w:tbl>
      <w:tblPr>
        <w:tblStyle w:val="19"/>
        <w:tblW w:w="9037" w:type="dxa"/>
        <w:tblInd w:w="-256" w:type="dxa"/>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80"/>
        <w:gridCol w:w="1817"/>
        <w:gridCol w:w="1656"/>
        <w:gridCol w:w="1472"/>
        <w:gridCol w:w="1648"/>
        <w:gridCol w:w="1464"/>
      </w:tblGrid>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3" w:hRule="atLeast"/>
          <w:tblHeader/>
        </w:trPr>
        <w:tc>
          <w:tcPr>
            <w:tcW w:w="98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采样时间</w:t>
            </w:r>
          </w:p>
        </w:tc>
        <w:tc>
          <w:tcPr>
            <w:tcW w:w="181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检测地点</w:t>
            </w: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检测因子</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检测结果</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检测因子</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检测结果</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980"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rPr>
            </w:pPr>
            <w:r>
              <w:rPr>
                <w:rFonts w:hint="eastAsia" w:ascii="宋体" w:hAnsi="宋体" w:eastAsia="宋体" w:cs="宋体"/>
                <w:color w:val="auto"/>
                <w:spacing w:val="0"/>
                <w:kern w:val="0"/>
                <w:sz w:val="24"/>
                <w:highlight w:val="none"/>
              </w:rPr>
              <w:t>202</w:t>
            </w:r>
            <w:r>
              <w:rPr>
                <w:rFonts w:hint="eastAsia" w:ascii="宋体" w:hAnsi="宋体" w:eastAsia="宋体" w:cs="宋体"/>
                <w:color w:val="auto"/>
                <w:spacing w:val="0"/>
                <w:kern w:val="0"/>
                <w:sz w:val="24"/>
                <w:highlight w:val="none"/>
                <w:lang w:val="en-US" w:eastAsia="zh-CN"/>
              </w:rPr>
              <w:t>3</w:t>
            </w:r>
            <w:r>
              <w:rPr>
                <w:rFonts w:hint="eastAsia" w:ascii="宋体" w:hAnsi="宋体" w:eastAsia="宋体" w:cs="宋体"/>
                <w:color w:val="auto"/>
                <w:spacing w:val="0"/>
                <w:kern w:val="0"/>
                <w:sz w:val="24"/>
                <w:highlight w:val="none"/>
              </w:rPr>
              <w:t>.0</w:t>
            </w:r>
            <w:r>
              <w:rPr>
                <w:rFonts w:hint="eastAsia" w:ascii="宋体" w:hAnsi="宋体" w:eastAsia="宋体" w:cs="宋体"/>
                <w:color w:val="auto"/>
                <w:spacing w:val="0"/>
                <w:kern w:val="0"/>
                <w:sz w:val="24"/>
                <w:highlight w:val="none"/>
                <w:lang w:val="en-US" w:eastAsia="zh-CN"/>
              </w:rPr>
              <w:t>6.18</w:t>
            </w:r>
          </w:p>
        </w:tc>
        <w:tc>
          <w:tcPr>
            <w:tcW w:w="1817"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水剂车间、仓库A</w:t>
            </w:r>
            <w:r>
              <w:rPr>
                <w:rFonts w:hint="eastAsia" w:ascii="宋体" w:hAnsi="宋体" w:eastAsia="宋体" w:cs="宋体"/>
                <w:color w:val="auto"/>
                <w:spacing w:val="0"/>
                <w:kern w:val="0"/>
                <w:sz w:val="24"/>
                <w:highlight w:val="none"/>
              </w:rPr>
              <w:t>（N</w:t>
            </w:r>
            <w:r>
              <w:rPr>
                <w:rFonts w:hint="eastAsia" w:ascii="宋体" w:hAnsi="宋体" w:eastAsia="宋体" w:cs="宋体"/>
                <w:color w:val="auto"/>
                <w:spacing w:val="0"/>
                <w:kern w:val="0"/>
                <w:sz w:val="24"/>
                <w:highlight w:val="none"/>
                <w:lang w:eastAsia="zh-CN"/>
              </w:rPr>
              <w:t>：</w:t>
            </w:r>
            <w:r>
              <w:rPr>
                <w:rFonts w:hint="eastAsia" w:ascii="宋体" w:hAnsi="宋体" w:eastAsia="宋体" w:cs="宋体"/>
                <w:color w:val="auto"/>
                <w:spacing w:val="0"/>
                <w:kern w:val="0"/>
                <w:sz w:val="24"/>
                <w:highlight w:val="none"/>
              </w:rPr>
              <w:t>3</w:t>
            </w:r>
            <w:r>
              <w:rPr>
                <w:rFonts w:hint="eastAsia" w:ascii="宋体" w:hAnsi="宋体" w:eastAsia="宋体" w:cs="宋体"/>
                <w:color w:val="auto"/>
                <w:spacing w:val="0"/>
                <w:kern w:val="0"/>
                <w:sz w:val="24"/>
                <w:highlight w:val="none"/>
                <w:lang w:val="en-US" w:eastAsia="zh-CN"/>
              </w:rPr>
              <w:t>4</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40</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24.994</w:t>
            </w:r>
            <w:r>
              <w:rPr>
                <w:rFonts w:hint="eastAsia" w:ascii="宋体" w:hAnsi="宋体" w:eastAsia="宋体" w:cs="宋体"/>
                <w:color w:val="auto"/>
                <w:spacing w:val="0"/>
                <w:kern w:val="0"/>
                <w:sz w:val="24"/>
                <w:highlight w:val="none"/>
              </w:rPr>
              <w:t>''E</w:t>
            </w:r>
            <w:r>
              <w:rPr>
                <w:rFonts w:hint="eastAsia" w:ascii="宋体" w:hAnsi="宋体" w:eastAsia="宋体" w:cs="宋体"/>
                <w:color w:val="auto"/>
                <w:spacing w:val="0"/>
                <w:kern w:val="0"/>
                <w:sz w:val="24"/>
                <w:highlight w:val="none"/>
                <w:lang w:eastAsia="zh-CN"/>
              </w:rPr>
              <w:t>：</w:t>
            </w:r>
            <w:r>
              <w:rPr>
                <w:rFonts w:hint="eastAsia" w:ascii="宋体" w:hAnsi="宋体" w:eastAsia="宋体" w:cs="宋体"/>
                <w:color w:val="auto"/>
                <w:spacing w:val="0"/>
                <w:kern w:val="0"/>
                <w:sz w:val="24"/>
                <w:highlight w:val="none"/>
              </w:rPr>
              <w:t>11</w:t>
            </w:r>
            <w:r>
              <w:rPr>
                <w:rFonts w:hint="eastAsia" w:ascii="宋体" w:hAnsi="宋体" w:eastAsia="宋体" w:cs="宋体"/>
                <w:color w:val="auto"/>
                <w:spacing w:val="0"/>
                <w:kern w:val="0"/>
                <w:sz w:val="24"/>
                <w:highlight w:val="none"/>
                <w:lang w:val="en-US" w:eastAsia="zh-CN"/>
              </w:rPr>
              <w:t>1</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34</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44.909</w:t>
            </w:r>
            <w:r>
              <w:rPr>
                <w:rFonts w:hint="eastAsia" w:ascii="宋体" w:hAnsi="宋体" w:eastAsia="宋体" w:cs="宋体"/>
                <w:color w:val="auto"/>
                <w:spacing w:val="0"/>
                <w:kern w:val="0"/>
                <w:sz w:val="24"/>
                <w:highlight w:val="none"/>
              </w:rPr>
              <w:t>''）</w:t>
            </w: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pH值</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lang w:val="en-US" w:eastAsia="zh-CN"/>
              </w:rPr>
              <w:t>7.96</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三氯乙烯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50" w:hRule="atLeast"/>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砷</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12.8</w:t>
            </w:r>
            <w:r>
              <w:rPr>
                <w:rFonts w:hint="eastAsia" w:ascii="宋体" w:hAnsi="宋体" w:eastAsia="宋体" w:cs="宋体"/>
                <w:color w:val="auto"/>
                <w:spacing w:val="0"/>
                <w:kern w:val="0"/>
                <w:sz w:val="24"/>
                <w:highlight w:val="none"/>
              </w:rPr>
              <w:t>mg/kg</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1,2,3-三氯丙烷</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镉</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0.67</w:t>
            </w:r>
            <w:r>
              <w:rPr>
                <w:rFonts w:hint="eastAsia" w:ascii="宋体" w:hAnsi="宋体" w:eastAsia="宋体" w:cs="宋体"/>
                <w:color w:val="auto"/>
                <w:spacing w:val="0"/>
                <w:kern w:val="0"/>
                <w:sz w:val="24"/>
                <w:highlight w:val="none"/>
              </w:rPr>
              <w:t>mg/kg</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氯乙烯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铬（六价）</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铜</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92</w:t>
            </w:r>
            <w:r>
              <w:rPr>
                <w:rFonts w:hint="eastAsia" w:ascii="宋体" w:hAnsi="宋体" w:eastAsia="宋体" w:cs="宋体"/>
                <w:color w:val="auto"/>
                <w:spacing w:val="0"/>
                <w:kern w:val="0"/>
                <w:sz w:val="24"/>
                <w:highlight w:val="none"/>
              </w:rPr>
              <w:t>mg/kg</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氯苯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铅</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179</w:t>
            </w:r>
            <w:r>
              <w:rPr>
                <w:rFonts w:hint="eastAsia" w:ascii="宋体" w:hAnsi="宋体" w:eastAsia="宋体" w:cs="宋体"/>
                <w:color w:val="auto"/>
                <w:spacing w:val="0"/>
                <w:kern w:val="0"/>
                <w:sz w:val="24"/>
                <w:highlight w:val="none"/>
              </w:rPr>
              <w:t>mg/kg</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1,2-二氯苯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汞</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0</w:t>
            </w:r>
            <w:r>
              <w:rPr>
                <w:rFonts w:hint="eastAsia" w:ascii="宋体" w:hAnsi="宋体" w:eastAsia="宋体" w:cs="宋体"/>
                <w:color w:val="auto"/>
                <w:spacing w:val="0"/>
                <w:kern w:val="0"/>
                <w:sz w:val="24"/>
                <w:highlight w:val="none"/>
                <w:lang w:val="en-US" w:eastAsia="zh-CN"/>
              </w:rPr>
              <w:t>.173</w:t>
            </w:r>
            <w:r>
              <w:rPr>
                <w:rFonts w:hint="eastAsia" w:ascii="宋体" w:hAnsi="宋体" w:eastAsia="宋体" w:cs="宋体"/>
                <w:color w:val="auto"/>
                <w:spacing w:val="0"/>
                <w:kern w:val="0"/>
                <w:sz w:val="24"/>
                <w:highlight w:val="none"/>
              </w:rPr>
              <w:t>mg/kg</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1,4-二氯苯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镍</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52</w:t>
            </w:r>
            <w:r>
              <w:rPr>
                <w:rFonts w:hint="eastAsia" w:ascii="宋体" w:hAnsi="宋体" w:eastAsia="宋体" w:cs="宋体"/>
                <w:color w:val="auto"/>
                <w:spacing w:val="0"/>
                <w:kern w:val="0"/>
                <w:sz w:val="24"/>
                <w:highlight w:val="none"/>
              </w:rPr>
              <w:t>mg/kg</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乙苯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四氯化碳</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苯乙烯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氯仿</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未检出</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甲苯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氯甲烷</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间,对-二甲苯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1,1-二氯乙烷</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未检出</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邻-二甲苯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1,2-二氯乙烷</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未检出</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硝基苯</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1,1-二氯乙烯</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苯胺</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50" w:hRule="atLeast"/>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顺-1,2-二氯乙烯</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2-氯酚</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50" w:hRule="atLeast"/>
        </w:trPr>
        <w:tc>
          <w:tcPr>
            <w:tcW w:w="98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1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反-1,2-二氯乙烯</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苯并[a]蒽</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9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1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二氯甲烷</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苯并[a]芘</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trPr>
        <w:tc>
          <w:tcPr>
            <w:tcW w:w="9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1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1,2-二氯丙烷</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苯并[b]荧蒽</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50" w:hRule="atLeast"/>
        </w:trPr>
        <w:tc>
          <w:tcPr>
            <w:tcW w:w="9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1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1,1,1,2-四氯乙烷</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苯并[k]荧蒽</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50" w:hRule="atLeast"/>
        </w:trPr>
        <w:tc>
          <w:tcPr>
            <w:tcW w:w="9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1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1,1,2,2-四氯乙烷</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䓛</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9" w:hRule="atLeast"/>
        </w:trPr>
        <w:tc>
          <w:tcPr>
            <w:tcW w:w="9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1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四氯乙烯</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二苯并[a，h]蒽</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50" w:hRule="atLeast"/>
        </w:trPr>
        <w:tc>
          <w:tcPr>
            <w:tcW w:w="9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1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1,1,1-三氯乙烷</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茚并[1,2,3-cd]芘</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50" w:hRule="atLeast"/>
        </w:trPr>
        <w:tc>
          <w:tcPr>
            <w:tcW w:w="9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1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1,1,2-三氯乙烷</w:t>
            </w:r>
          </w:p>
        </w:tc>
        <w:tc>
          <w:tcPr>
            <w:tcW w:w="14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4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萘</w:t>
            </w:r>
          </w:p>
        </w:tc>
        <w:tc>
          <w:tcPr>
            <w:tcW w:w="146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11" w:hRule="atLeast"/>
        </w:trPr>
        <w:tc>
          <w:tcPr>
            <w:tcW w:w="98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1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样品状态</w:t>
            </w:r>
          </w:p>
        </w:tc>
        <w:tc>
          <w:tcPr>
            <w:tcW w:w="4584" w:type="dxa"/>
            <w:gridSpan w:val="3"/>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固态、</w:t>
            </w:r>
            <w:r>
              <w:rPr>
                <w:rFonts w:hint="eastAsia" w:ascii="宋体" w:hAnsi="宋体" w:eastAsia="宋体" w:cs="宋体"/>
                <w:color w:val="auto"/>
                <w:spacing w:val="0"/>
                <w:kern w:val="0"/>
                <w:sz w:val="24"/>
                <w:highlight w:val="none"/>
                <w:lang w:val="en-US" w:eastAsia="zh-CN"/>
              </w:rPr>
              <w:t>红</w:t>
            </w:r>
            <w:r>
              <w:rPr>
                <w:rFonts w:hint="eastAsia" w:ascii="宋体" w:hAnsi="宋体" w:eastAsia="宋体" w:cs="宋体"/>
                <w:color w:val="auto"/>
                <w:spacing w:val="0"/>
                <w:kern w:val="0"/>
                <w:sz w:val="24"/>
                <w:highlight w:val="none"/>
              </w:rPr>
              <w:t>色、</w:t>
            </w:r>
            <w:r>
              <w:rPr>
                <w:rFonts w:hint="eastAsia" w:ascii="宋体" w:hAnsi="宋体" w:eastAsia="宋体" w:cs="宋体"/>
                <w:color w:val="auto"/>
                <w:spacing w:val="0"/>
                <w:kern w:val="0"/>
                <w:sz w:val="24"/>
                <w:highlight w:val="none"/>
                <w:lang w:val="en-US" w:eastAsia="zh-CN"/>
              </w:rPr>
              <w:t>壤土</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干燥</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无</w:t>
            </w:r>
            <w:r>
              <w:rPr>
                <w:rFonts w:hint="eastAsia" w:ascii="宋体" w:hAnsi="宋体" w:eastAsia="宋体" w:cs="宋体"/>
                <w:color w:val="auto"/>
                <w:spacing w:val="0"/>
                <w:kern w:val="0"/>
                <w:sz w:val="24"/>
                <w:highlight w:val="none"/>
              </w:rPr>
              <w:t>砂粒、</w:t>
            </w:r>
            <w:r>
              <w:rPr>
                <w:rFonts w:hint="eastAsia" w:ascii="宋体" w:hAnsi="宋体" w:eastAsia="宋体" w:cs="宋体"/>
                <w:color w:val="auto"/>
                <w:spacing w:val="0"/>
                <w:kern w:val="0"/>
                <w:sz w:val="24"/>
                <w:highlight w:val="none"/>
                <w:lang w:val="en-US" w:eastAsia="zh-CN"/>
              </w:rPr>
              <w:t>少量根系</w:t>
            </w:r>
          </w:p>
        </w:tc>
      </w:tr>
    </w:tbl>
    <w:p>
      <w:pPr>
        <w:keepNext w:val="0"/>
        <w:keepLines w:val="0"/>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宋体" w:hAnsi="宋体" w:eastAsia="宋体" w:cs="宋体"/>
          <w:color w:val="auto"/>
          <w:spacing w:val="0"/>
          <w:highlight w:val="none"/>
        </w:rPr>
      </w:pPr>
      <w:r>
        <w:rPr>
          <w:rFonts w:hint="eastAsia" w:ascii="宋体" w:hAnsi="宋体" w:eastAsia="宋体" w:cs="宋体"/>
          <w:b/>
          <w:color w:val="auto"/>
          <w:spacing w:val="0"/>
          <w:sz w:val="24"/>
          <w:highlight w:val="none"/>
        </w:rPr>
        <w:t>土壤检测结果统计表</w:t>
      </w:r>
    </w:p>
    <w:tbl>
      <w:tblPr>
        <w:tblStyle w:val="19"/>
        <w:tblW w:w="9157" w:type="dxa"/>
        <w:tblInd w:w="-256" w:type="dxa"/>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23"/>
        <w:gridCol w:w="1896"/>
        <w:gridCol w:w="1727"/>
        <w:gridCol w:w="1536"/>
        <w:gridCol w:w="1719"/>
        <w:gridCol w:w="1256"/>
      </w:tblGrid>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53" w:hRule="atLeast"/>
          <w:tblHeader/>
        </w:trPr>
        <w:tc>
          <w:tcPr>
            <w:tcW w:w="102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采样时间</w:t>
            </w:r>
          </w:p>
        </w:tc>
        <w:tc>
          <w:tcPr>
            <w:tcW w:w="189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检测地点</w:t>
            </w: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检测因子</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检测结果</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检测因子</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检测结果</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1023"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rPr>
            </w:pPr>
            <w:r>
              <w:rPr>
                <w:rFonts w:hint="eastAsia" w:ascii="宋体" w:hAnsi="宋体" w:eastAsia="宋体" w:cs="宋体"/>
                <w:color w:val="auto"/>
                <w:spacing w:val="0"/>
                <w:kern w:val="0"/>
                <w:sz w:val="24"/>
                <w:highlight w:val="none"/>
              </w:rPr>
              <w:t>202</w:t>
            </w:r>
            <w:r>
              <w:rPr>
                <w:rFonts w:hint="eastAsia" w:ascii="宋体" w:hAnsi="宋体" w:eastAsia="宋体" w:cs="宋体"/>
                <w:color w:val="auto"/>
                <w:spacing w:val="0"/>
                <w:kern w:val="0"/>
                <w:sz w:val="24"/>
                <w:highlight w:val="none"/>
                <w:lang w:val="en-US" w:eastAsia="zh-CN"/>
              </w:rPr>
              <w:t>3</w:t>
            </w:r>
            <w:r>
              <w:rPr>
                <w:rFonts w:hint="eastAsia" w:ascii="宋体" w:hAnsi="宋体" w:eastAsia="宋体" w:cs="宋体"/>
                <w:color w:val="auto"/>
                <w:spacing w:val="0"/>
                <w:kern w:val="0"/>
                <w:sz w:val="24"/>
                <w:highlight w:val="none"/>
              </w:rPr>
              <w:t>.0</w:t>
            </w:r>
            <w:r>
              <w:rPr>
                <w:rFonts w:hint="eastAsia" w:ascii="宋体" w:hAnsi="宋体" w:eastAsia="宋体" w:cs="宋体"/>
                <w:color w:val="auto"/>
                <w:spacing w:val="0"/>
                <w:kern w:val="0"/>
                <w:sz w:val="24"/>
                <w:highlight w:val="none"/>
                <w:lang w:val="en-US" w:eastAsia="zh-CN"/>
              </w:rPr>
              <w:t>6.18</w:t>
            </w:r>
          </w:p>
        </w:tc>
        <w:tc>
          <w:tcPr>
            <w:tcW w:w="1896"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合成车间、乳油车间、仓库C、仓库D</w:t>
            </w:r>
            <w:r>
              <w:rPr>
                <w:rFonts w:hint="eastAsia" w:ascii="宋体" w:hAnsi="宋体" w:eastAsia="宋体" w:cs="宋体"/>
                <w:color w:val="auto"/>
                <w:spacing w:val="0"/>
                <w:kern w:val="0"/>
                <w:sz w:val="24"/>
                <w:highlight w:val="none"/>
              </w:rPr>
              <w:t>（N</w:t>
            </w:r>
            <w:r>
              <w:rPr>
                <w:rFonts w:hint="eastAsia" w:ascii="宋体" w:hAnsi="宋体" w:eastAsia="宋体" w:cs="宋体"/>
                <w:color w:val="auto"/>
                <w:spacing w:val="0"/>
                <w:kern w:val="0"/>
                <w:sz w:val="24"/>
                <w:highlight w:val="none"/>
                <w:lang w:eastAsia="zh-CN"/>
              </w:rPr>
              <w:t>：</w:t>
            </w:r>
            <w:r>
              <w:rPr>
                <w:rFonts w:hint="eastAsia" w:ascii="宋体" w:hAnsi="宋体" w:eastAsia="宋体" w:cs="宋体"/>
                <w:color w:val="auto"/>
                <w:spacing w:val="0"/>
                <w:kern w:val="0"/>
                <w:sz w:val="24"/>
                <w:highlight w:val="none"/>
              </w:rPr>
              <w:t>3</w:t>
            </w:r>
            <w:r>
              <w:rPr>
                <w:rFonts w:hint="eastAsia" w:ascii="宋体" w:hAnsi="宋体" w:eastAsia="宋体" w:cs="宋体"/>
                <w:color w:val="auto"/>
                <w:spacing w:val="0"/>
                <w:kern w:val="0"/>
                <w:sz w:val="24"/>
                <w:highlight w:val="none"/>
                <w:lang w:val="en-US" w:eastAsia="zh-CN"/>
              </w:rPr>
              <w:t>4</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40</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22.794</w:t>
            </w:r>
            <w:r>
              <w:rPr>
                <w:rFonts w:hint="eastAsia" w:ascii="宋体" w:hAnsi="宋体" w:eastAsia="宋体" w:cs="宋体"/>
                <w:color w:val="auto"/>
                <w:spacing w:val="0"/>
                <w:kern w:val="0"/>
                <w:sz w:val="24"/>
                <w:highlight w:val="none"/>
              </w:rPr>
              <w:t>''E</w:t>
            </w:r>
            <w:r>
              <w:rPr>
                <w:rFonts w:hint="eastAsia" w:ascii="宋体" w:hAnsi="宋体" w:eastAsia="宋体" w:cs="宋体"/>
                <w:color w:val="auto"/>
                <w:spacing w:val="0"/>
                <w:kern w:val="0"/>
                <w:sz w:val="24"/>
                <w:highlight w:val="none"/>
                <w:lang w:eastAsia="zh-CN"/>
              </w:rPr>
              <w:t>：</w:t>
            </w:r>
            <w:r>
              <w:rPr>
                <w:rFonts w:hint="eastAsia" w:ascii="宋体" w:hAnsi="宋体" w:eastAsia="宋体" w:cs="宋体"/>
                <w:color w:val="auto"/>
                <w:spacing w:val="0"/>
                <w:kern w:val="0"/>
                <w:sz w:val="24"/>
                <w:highlight w:val="none"/>
              </w:rPr>
              <w:t>11</w:t>
            </w:r>
            <w:r>
              <w:rPr>
                <w:rFonts w:hint="eastAsia" w:ascii="宋体" w:hAnsi="宋体" w:eastAsia="宋体" w:cs="宋体"/>
                <w:color w:val="auto"/>
                <w:spacing w:val="0"/>
                <w:kern w:val="0"/>
                <w:sz w:val="24"/>
                <w:highlight w:val="none"/>
                <w:lang w:val="en-US" w:eastAsia="zh-CN"/>
              </w:rPr>
              <w:t>1</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34</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40.921</w:t>
            </w:r>
            <w:r>
              <w:rPr>
                <w:rFonts w:hint="eastAsia" w:ascii="宋体" w:hAnsi="宋体" w:eastAsia="宋体" w:cs="宋体"/>
                <w:color w:val="auto"/>
                <w:spacing w:val="0"/>
                <w:kern w:val="0"/>
                <w:sz w:val="24"/>
                <w:highlight w:val="none"/>
              </w:rPr>
              <w:t>''）</w:t>
            </w: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pH值</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lang w:val="en-US" w:eastAsia="zh-CN"/>
              </w:rPr>
              <w:t>8.21</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三氯乙烯</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6" w:hRule="atLeast"/>
        </w:trPr>
        <w:tc>
          <w:tcPr>
            <w:tcW w:w="102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9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砷</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9.55</w:t>
            </w:r>
            <w:r>
              <w:rPr>
                <w:rFonts w:hint="eastAsia" w:ascii="宋体" w:hAnsi="宋体" w:eastAsia="宋体" w:cs="宋体"/>
                <w:color w:val="auto"/>
                <w:spacing w:val="0"/>
                <w:kern w:val="0"/>
                <w:sz w:val="24"/>
                <w:highlight w:val="none"/>
              </w:rPr>
              <w:t>mg/kg</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1,2,3-三氯丙烷</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102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9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镉</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0.85</w:t>
            </w:r>
            <w:r>
              <w:rPr>
                <w:rFonts w:hint="eastAsia" w:ascii="宋体" w:hAnsi="宋体" w:eastAsia="宋体" w:cs="宋体"/>
                <w:color w:val="auto"/>
                <w:spacing w:val="0"/>
                <w:kern w:val="0"/>
                <w:sz w:val="24"/>
                <w:highlight w:val="none"/>
              </w:rPr>
              <w:t>mg/kg</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氯乙烯</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102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9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铬（六价）</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102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9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铜</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51</w:t>
            </w:r>
            <w:r>
              <w:rPr>
                <w:rFonts w:hint="eastAsia" w:ascii="宋体" w:hAnsi="宋体" w:eastAsia="宋体" w:cs="宋体"/>
                <w:color w:val="auto"/>
                <w:spacing w:val="0"/>
                <w:kern w:val="0"/>
                <w:sz w:val="24"/>
                <w:highlight w:val="none"/>
              </w:rPr>
              <w:t>mg/kg</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氯苯</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102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9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铅</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241</w:t>
            </w:r>
            <w:r>
              <w:rPr>
                <w:rFonts w:hint="eastAsia" w:ascii="宋体" w:hAnsi="宋体" w:eastAsia="宋体" w:cs="宋体"/>
                <w:color w:val="auto"/>
                <w:spacing w:val="0"/>
                <w:kern w:val="0"/>
                <w:sz w:val="24"/>
                <w:highlight w:val="none"/>
              </w:rPr>
              <w:t>mg/kg</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1,2-二氯苯</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102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9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汞</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0</w:t>
            </w:r>
            <w:r>
              <w:rPr>
                <w:rFonts w:hint="eastAsia" w:ascii="宋体" w:hAnsi="宋体" w:eastAsia="宋体" w:cs="宋体"/>
                <w:color w:val="auto"/>
                <w:spacing w:val="0"/>
                <w:kern w:val="0"/>
                <w:sz w:val="24"/>
                <w:highlight w:val="none"/>
                <w:lang w:val="en-US" w:eastAsia="zh-CN"/>
              </w:rPr>
              <w:t>.356</w:t>
            </w:r>
            <w:r>
              <w:rPr>
                <w:rFonts w:hint="eastAsia" w:ascii="宋体" w:hAnsi="宋体" w:eastAsia="宋体" w:cs="宋体"/>
                <w:color w:val="auto"/>
                <w:spacing w:val="0"/>
                <w:kern w:val="0"/>
                <w:sz w:val="24"/>
                <w:highlight w:val="none"/>
              </w:rPr>
              <w:t>mg/kg</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1,4-二氯苯</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102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9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镍</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67</w:t>
            </w:r>
            <w:r>
              <w:rPr>
                <w:rFonts w:hint="eastAsia" w:ascii="宋体" w:hAnsi="宋体" w:eastAsia="宋体" w:cs="宋体"/>
                <w:color w:val="auto"/>
                <w:spacing w:val="0"/>
                <w:kern w:val="0"/>
                <w:sz w:val="24"/>
                <w:highlight w:val="none"/>
              </w:rPr>
              <w:t>mg/kg</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乙苯</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102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9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四氯化碳</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苯乙烯</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102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9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氯仿</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未检出</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甲苯</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102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9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氯甲烷</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间,对-二甲苯</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102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9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1,1-二氯乙烷</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未检出</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邻-二甲苯</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102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9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1,2-二氯乙烷</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未检出</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硝基苯</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102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9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1,1-二氯乙烯</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苯胺</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6" w:hRule="atLeast"/>
        </w:trPr>
        <w:tc>
          <w:tcPr>
            <w:tcW w:w="102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9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顺-1,2-二氯乙烯</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2-氯酚</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6" w:hRule="atLeast"/>
        </w:trPr>
        <w:tc>
          <w:tcPr>
            <w:tcW w:w="1023"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96"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反-1,2-二氯乙烯</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苯并[a]蒽</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102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9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二氯甲烷</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苯并[a]芘</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102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9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1,2-二氯丙烷</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苯并[b]荧蒽</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6" w:hRule="atLeast"/>
        </w:trPr>
        <w:tc>
          <w:tcPr>
            <w:tcW w:w="102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9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1,1,1,2-四氯乙烷</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苯并[k]荧蒽</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6" w:hRule="atLeast"/>
        </w:trPr>
        <w:tc>
          <w:tcPr>
            <w:tcW w:w="102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9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1,1,2,2-四氯乙烷</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䓛</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7" w:hRule="atLeast"/>
        </w:trPr>
        <w:tc>
          <w:tcPr>
            <w:tcW w:w="102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9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四氯乙烯</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二苯并[a，h]蒽</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6" w:hRule="atLeast"/>
        </w:trPr>
        <w:tc>
          <w:tcPr>
            <w:tcW w:w="102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9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1,1,1-三氯乙烷</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茚并[1,2,3-cd]芘</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7" w:hRule="atLeast"/>
        </w:trPr>
        <w:tc>
          <w:tcPr>
            <w:tcW w:w="102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9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1,1,2-三氯乙烷</w:t>
            </w:r>
          </w:p>
        </w:tc>
        <w:tc>
          <w:tcPr>
            <w:tcW w:w="153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1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萘</w:t>
            </w:r>
          </w:p>
        </w:tc>
        <w:tc>
          <w:tcPr>
            <w:tcW w:w="1256"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92" w:hRule="atLeast"/>
        </w:trPr>
        <w:tc>
          <w:tcPr>
            <w:tcW w:w="1023"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9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72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样品状态</w:t>
            </w:r>
          </w:p>
        </w:tc>
        <w:tc>
          <w:tcPr>
            <w:tcW w:w="4511" w:type="dxa"/>
            <w:gridSpan w:val="3"/>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固态、</w:t>
            </w:r>
            <w:r>
              <w:rPr>
                <w:rFonts w:hint="eastAsia" w:ascii="宋体" w:hAnsi="宋体" w:eastAsia="宋体" w:cs="宋体"/>
                <w:color w:val="auto"/>
                <w:spacing w:val="0"/>
                <w:kern w:val="0"/>
                <w:sz w:val="24"/>
                <w:highlight w:val="none"/>
                <w:lang w:val="en-US" w:eastAsia="zh-CN"/>
              </w:rPr>
              <w:t>红</w:t>
            </w:r>
            <w:r>
              <w:rPr>
                <w:rFonts w:hint="eastAsia" w:ascii="宋体" w:hAnsi="宋体" w:eastAsia="宋体" w:cs="宋体"/>
                <w:color w:val="auto"/>
                <w:spacing w:val="0"/>
                <w:kern w:val="0"/>
                <w:sz w:val="24"/>
                <w:highlight w:val="none"/>
              </w:rPr>
              <w:t>色、</w:t>
            </w:r>
            <w:r>
              <w:rPr>
                <w:rFonts w:hint="eastAsia" w:ascii="宋体" w:hAnsi="宋体" w:eastAsia="宋体" w:cs="宋体"/>
                <w:color w:val="auto"/>
                <w:spacing w:val="0"/>
                <w:kern w:val="0"/>
                <w:sz w:val="24"/>
                <w:highlight w:val="none"/>
                <w:lang w:val="en-US" w:eastAsia="zh-CN"/>
              </w:rPr>
              <w:t>壤土</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干燥</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无</w:t>
            </w:r>
            <w:r>
              <w:rPr>
                <w:rFonts w:hint="eastAsia" w:ascii="宋体" w:hAnsi="宋体" w:eastAsia="宋体" w:cs="宋体"/>
                <w:color w:val="auto"/>
                <w:spacing w:val="0"/>
                <w:kern w:val="0"/>
                <w:sz w:val="24"/>
                <w:highlight w:val="none"/>
              </w:rPr>
              <w:t>砂粒、</w:t>
            </w:r>
            <w:r>
              <w:rPr>
                <w:rFonts w:hint="eastAsia" w:ascii="宋体" w:hAnsi="宋体" w:eastAsia="宋体" w:cs="宋体"/>
                <w:color w:val="auto"/>
                <w:spacing w:val="0"/>
                <w:kern w:val="0"/>
                <w:sz w:val="24"/>
                <w:highlight w:val="none"/>
                <w:lang w:val="en-US" w:eastAsia="zh-CN"/>
              </w:rPr>
              <w:t>少量根系</w:t>
            </w:r>
          </w:p>
        </w:tc>
      </w:tr>
    </w:tbl>
    <w:p>
      <w:pPr>
        <w:keepNext w:val="0"/>
        <w:keepLines w:val="0"/>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宋体" w:hAnsi="宋体" w:eastAsia="宋体" w:cs="宋体"/>
          <w:color w:val="auto"/>
          <w:spacing w:val="0"/>
          <w:highlight w:val="none"/>
        </w:rPr>
      </w:pPr>
      <w:r>
        <w:rPr>
          <w:rFonts w:hint="eastAsia" w:ascii="宋体" w:hAnsi="宋体" w:eastAsia="宋体" w:cs="宋体"/>
          <w:b/>
          <w:color w:val="auto"/>
          <w:spacing w:val="0"/>
          <w:sz w:val="24"/>
          <w:highlight w:val="none"/>
        </w:rPr>
        <w:t>土壤检测结果统计表</w:t>
      </w:r>
    </w:p>
    <w:tbl>
      <w:tblPr>
        <w:tblStyle w:val="19"/>
        <w:tblW w:w="9277" w:type="dxa"/>
        <w:tblInd w:w="-256" w:type="dxa"/>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47"/>
        <w:gridCol w:w="1940"/>
        <w:gridCol w:w="1768"/>
        <w:gridCol w:w="1572"/>
        <w:gridCol w:w="1758"/>
        <w:gridCol w:w="1192"/>
      </w:tblGrid>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9" w:hRule="atLeast"/>
          <w:tblHeader/>
        </w:trPr>
        <w:tc>
          <w:tcPr>
            <w:tcW w:w="104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采样时间</w:t>
            </w:r>
          </w:p>
        </w:tc>
        <w:tc>
          <w:tcPr>
            <w:tcW w:w="1940"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检测地点</w:t>
            </w: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检测因子</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检测结果</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检测因子</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检测结果</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1047"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rPr>
            </w:pPr>
            <w:r>
              <w:rPr>
                <w:rFonts w:hint="eastAsia" w:ascii="宋体" w:hAnsi="宋体" w:eastAsia="宋体" w:cs="宋体"/>
                <w:color w:val="auto"/>
                <w:spacing w:val="0"/>
                <w:kern w:val="0"/>
                <w:sz w:val="24"/>
                <w:highlight w:val="none"/>
              </w:rPr>
              <w:t>202</w:t>
            </w:r>
            <w:r>
              <w:rPr>
                <w:rFonts w:hint="eastAsia" w:ascii="宋体" w:hAnsi="宋体" w:eastAsia="宋体" w:cs="宋体"/>
                <w:color w:val="auto"/>
                <w:spacing w:val="0"/>
                <w:kern w:val="0"/>
                <w:sz w:val="24"/>
                <w:highlight w:val="none"/>
                <w:lang w:val="en-US" w:eastAsia="zh-CN"/>
              </w:rPr>
              <w:t>3</w:t>
            </w:r>
            <w:r>
              <w:rPr>
                <w:rFonts w:hint="eastAsia" w:ascii="宋体" w:hAnsi="宋体" w:eastAsia="宋体" w:cs="宋体"/>
                <w:color w:val="auto"/>
                <w:spacing w:val="0"/>
                <w:kern w:val="0"/>
                <w:sz w:val="24"/>
                <w:highlight w:val="none"/>
              </w:rPr>
              <w:t>.0</w:t>
            </w:r>
            <w:r>
              <w:rPr>
                <w:rFonts w:hint="eastAsia" w:ascii="宋体" w:hAnsi="宋体" w:eastAsia="宋体" w:cs="宋体"/>
                <w:color w:val="auto"/>
                <w:spacing w:val="0"/>
                <w:kern w:val="0"/>
                <w:sz w:val="24"/>
                <w:highlight w:val="none"/>
                <w:lang w:val="en-US" w:eastAsia="zh-CN"/>
              </w:rPr>
              <w:t>6.18</w:t>
            </w:r>
          </w:p>
        </w:tc>
        <w:tc>
          <w:tcPr>
            <w:tcW w:w="1940"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lang w:val="en-US" w:eastAsia="zh-CN"/>
              </w:rPr>
              <w:t>危废暂存间、污水处理站、事故池</w:t>
            </w:r>
          </w:p>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（N</w:t>
            </w:r>
            <w:r>
              <w:rPr>
                <w:rFonts w:hint="eastAsia" w:ascii="宋体" w:hAnsi="宋体" w:eastAsia="宋体" w:cs="宋体"/>
                <w:color w:val="auto"/>
                <w:spacing w:val="0"/>
                <w:kern w:val="0"/>
                <w:sz w:val="24"/>
                <w:highlight w:val="none"/>
                <w:lang w:eastAsia="zh-CN"/>
              </w:rPr>
              <w:t>：</w:t>
            </w:r>
            <w:r>
              <w:rPr>
                <w:rFonts w:hint="eastAsia" w:ascii="宋体" w:hAnsi="宋体" w:eastAsia="宋体" w:cs="宋体"/>
                <w:color w:val="auto"/>
                <w:spacing w:val="0"/>
                <w:kern w:val="0"/>
                <w:sz w:val="24"/>
                <w:highlight w:val="none"/>
              </w:rPr>
              <w:t>3</w:t>
            </w:r>
            <w:r>
              <w:rPr>
                <w:rFonts w:hint="eastAsia" w:ascii="宋体" w:hAnsi="宋体" w:eastAsia="宋体" w:cs="宋体"/>
                <w:color w:val="auto"/>
                <w:spacing w:val="0"/>
                <w:kern w:val="0"/>
                <w:sz w:val="24"/>
                <w:highlight w:val="none"/>
                <w:lang w:val="en-US" w:eastAsia="zh-CN"/>
              </w:rPr>
              <w:t>4</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40</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22.175</w:t>
            </w:r>
            <w:r>
              <w:rPr>
                <w:rFonts w:hint="eastAsia" w:ascii="宋体" w:hAnsi="宋体" w:eastAsia="宋体" w:cs="宋体"/>
                <w:color w:val="auto"/>
                <w:spacing w:val="0"/>
                <w:kern w:val="0"/>
                <w:sz w:val="24"/>
                <w:highlight w:val="none"/>
              </w:rPr>
              <w:t>''E</w:t>
            </w:r>
            <w:r>
              <w:rPr>
                <w:rFonts w:hint="eastAsia" w:ascii="宋体" w:hAnsi="宋体" w:eastAsia="宋体" w:cs="宋体"/>
                <w:color w:val="auto"/>
                <w:spacing w:val="0"/>
                <w:kern w:val="0"/>
                <w:sz w:val="24"/>
                <w:highlight w:val="none"/>
                <w:lang w:eastAsia="zh-CN"/>
              </w:rPr>
              <w:t>：</w:t>
            </w:r>
            <w:r>
              <w:rPr>
                <w:rFonts w:hint="eastAsia" w:ascii="宋体" w:hAnsi="宋体" w:eastAsia="宋体" w:cs="宋体"/>
                <w:color w:val="auto"/>
                <w:spacing w:val="0"/>
                <w:kern w:val="0"/>
                <w:sz w:val="24"/>
                <w:highlight w:val="none"/>
              </w:rPr>
              <w:t>11</w:t>
            </w:r>
            <w:r>
              <w:rPr>
                <w:rFonts w:hint="eastAsia" w:ascii="宋体" w:hAnsi="宋体" w:eastAsia="宋体" w:cs="宋体"/>
                <w:color w:val="auto"/>
                <w:spacing w:val="0"/>
                <w:kern w:val="0"/>
                <w:sz w:val="24"/>
                <w:highlight w:val="none"/>
                <w:lang w:val="en-US" w:eastAsia="zh-CN"/>
              </w:rPr>
              <w:t>1</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34</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39.260</w:t>
            </w:r>
            <w:r>
              <w:rPr>
                <w:rFonts w:hint="eastAsia" w:ascii="宋体" w:hAnsi="宋体" w:eastAsia="宋体" w:cs="宋体"/>
                <w:color w:val="auto"/>
                <w:spacing w:val="0"/>
                <w:kern w:val="0"/>
                <w:sz w:val="24"/>
                <w:highlight w:val="none"/>
              </w:rPr>
              <w:t>''）</w:t>
            </w: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pH值</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lang w:val="en-US" w:eastAsia="zh-CN"/>
              </w:rPr>
              <w:t>8.06</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三氯乙烯</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3" w:hRule="atLeast"/>
        </w:trPr>
        <w:tc>
          <w:tcPr>
            <w:tcW w:w="104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砷</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15.2</w:t>
            </w:r>
            <w:r>
              <w:rPr>
                <w:rFonts w:hint="eastAsia" w:ascii="宋体" w:hAnsi="宋体" w:eastAsia="宋体" w:cs="宋体"/>
                <w:color w:val="auto"/>
                <w:spacing w:val="0"/>
                <w:kern w:val="0"/>
                <w:sz w:val="24"/>
                <w:highlight w:val="none"/>
              </w:rPr>
              <w:t>mg/kg</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1,2,3-三氯丙烷</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2" w:hRule="atLeast"/>
        </w:trPr>
        <w:tc>
          <w:tcPr>
            <w:tcW w:w="104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镉</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0.82</w:t>
            </w:r>
            <w:r>
              <w:rPr>
                <w:rFonts w:hint="eastAsia" w:ascii="宋体" w:hAnsi="宋体" w:eastAsia="宋体" w:cs="宋体"/>
                <w:color w:val="auto"/>
                <w:spacing w:val="0"/>
                <w:kern w:val="0"/>
                <w:sz w:val="24"/>
                <w:highlight w:val="none"/>
              </w:rPr>
              <w:t>mg/kg</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氯乙烯</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104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铬（六价）</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104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铜</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42</w:t>
            </w:r>
            <w:r>
              <w:rPr>
                <w:rFonts w:hint="eastAsia" w:ascii="宋体" w:hAnsi="宋体" w:eastAsia="宋体" w:cs="宋体"/>
                <w:color w:val="auto"/>
                <w:spacing w:val="0"/>
                <w:kern w:val="0"/>
                <w:sz w:val="24"/>
                <w:highlight w:val="none"/>
              </w:rPr>
              <w:t>mg/kg</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氯苯</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104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铅</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177</w:t>
            </w:r>
            <w:r>
              <w:rPr>
                <w:rFonts w:hint="eastAsia" w:ascii="宋体" w:hAnsi="宋体" w:eastAsia="宋体" w:cs="宋体"/>
                <w:color w:val="auto"/>
                <w:spacing w:val="0"/>
                <w:kern w:val="0"/>
                <w:sz w:val="24"/>
                <w:highlight w:val="none"/>
              </w:rPr>
              <w:t>mg/kg</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1,2-二氯苯</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2" w:hRule="atLeast"/>
        </w:trPr>
        <w:tc>
          <w:tcPr>
            <w:tcW w:w="104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汞</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0</w:t>
            </w:r>
            <w:r>
              <w:rPr>
                <w:rFonts w:hint="eastAsia" w:ascii="宋体" w:hAnsi="宋体" w:eastAsia="宋体" w:cs="宋体"/>
                <w:color w:val="auto"/>
                <w:spacing w:val="0"/>
                <w:kern w:val="0"/>
                <w:sz w:val="24"/>
                <w:highlight w:val="none"/>
                <w:lang w:val="en-US" w:eastAsia="zh-CN"/>
              </w:rPr>
              <w:t>.374</w:t>
            </w:r>
            <w:r>
              <w:rPr>
                <w:rFonts w:hint="eastAsia" w:ascii="宋体" w:hAnsi="宋体" w:eastAsia="宋体" w:cs="宋体"/>
                <w:color w:val="auto"/>
                <w:spacing w:val="0"/>
                <w:kern w:val="0"/>
                <w:sz w:val="24"/>
                <w:highlight w:val="none"/>
              </w:rPr>
              <w:t>mg/kg</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1,4-二氯苯</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104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镍</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68</w:t>
            </w:r>
            <w:r>
              <w:rPr>
                <w:rFonts w:hint="eastAsia" w:ascii="宋体" w:hAnsi="宋体" w:eastAsia="宋体" w:cs="宋体"/>
                <w:color w:val="auto"/>
                <w:spacing w:val="0"/>
                <w:kern w:val="0"/>
                <w:sz w:val="24"/>
                <w:highlight w:val="none"/>
              </w:rPr>
              <w:t>mg/kg</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乙苯</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104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四氯化碳</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苯乙烯</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104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氯仿</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未检出</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甲苯</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2" w:hRule="atLeast"/>
        </w:trPr>
        <w:tc>
          <w:tcPr>
            <w:tcW w:w="104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氯甲烷</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间,对-二甲苯</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2" w:hRule="atLeast"/>
        </w:trPr>
        <w:tc>
          <w:tcPr>
            <w:tcW w:w="104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1,1-二氯乙烷</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未检出</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邻-二甲苯</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2" w:hRule="atLeast"/>
        </w:trPr>
        <w:tc>
          <w:tcPr>
            <w:tcW w:w="104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1,2-二氯乙烷</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未检出</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硝基苯</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2" w:hRule="atLeast"/>
        </w:trPr>
        <w:tc>
          <w:tcPr>
            <w:tcW w:w="104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1,1-二氯乙烯</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苯胺</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5" w:hRule="atLeast"/>
        </w:trPr>
        <w:tc>
          <w:tcPr>
            <w:tcW w:w="104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顺-1,2-二氯乙烯</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2-氯酚</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5" w:hRule="atLeast"/>
        </w:trPr>
        <w:tc>
          <w:tcPr>
            <w:tcW w:w="1047"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940"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反-1,2-二氯乙烯</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苯并[a]蒽</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3" w:hRule="atLeast"/>
        </w:trPr>
        <w:tc>
          <w:tcPr>
            <w:tcW w:w="104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94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二氯甲烷</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苯并[a]芘</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2" w:hRule="atLeast"/>
        </w:trPr>
        <w:tc>
          <w:tcPr>
            <w:tcW w:w="104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94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1,2-二氯丙烷</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苯并[b]荧蒽</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5" w:hRule="atLeast"/>
        </w:trPr>
        <w:tc>
          <w:tcPr>
            <w:tcW w:w="104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94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1,1,1,2-四氯乙烷</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苯并[k]荧蒽</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5" w:hRule="atLeast"/>
        </w:trPr>
        <w:tc>
          <w:tcPr>
            <w:tcW w:w="104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94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1,1,2,2-四氯乙烷</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䓛</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3" w:hRule="atLeast"/>
        </w:trPr>
        <w:tc>
          <w:tcPr>
            <w:tcW w:w="104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94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四氯乙烯</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二苯并[a，h]蒽</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5" w:hRule="atLeast"/>
        </w:trPr>
        <w:tc>
          <w:tcPr>
            <w:tcW w:w="104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94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1,1,1-三氯乙烷</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茚并[1,2,3-cd]芘</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3" w:hRule="atLeast"/>
        </w:trPr>
        <w:tc>
          <w:tcPr>
            <w:tcW w:w="104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94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1,1,2-三氯乙烷</w:t>
            </w:r>
          </w:p>
        </w:tc>
        <w:tc>
          <w:tcPr>
            <w:tcW w:w="157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75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萘</w:t>
            </w:r>
          </w:p>
        </w:tc>
        <w:tc>
          <w:tcPr>
            <w:tcW w:w="1192"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28" w:hRule="atLeast"/>
        </w:trPr>
        <w:tc>
          <w:tcPr>
            <w:tcW w:w="104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94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768"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样品状态</w:t>
            </w:r>
          </w:p>
        </w:tc>
        <w:tc>
          <w:tcPr>
            <w:tcW w:w="4522" w:type="dxa"/>
            <w:gridSpan w:val="3"/>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固态、</w:t>
            </w:r>
            <w:r>
              <w:rPr>
                <w:rFonts w:hint="eastAsia" w:ascii="宋体" w:hAnsi="宋体" w:eastAsia="宋体" w:cs="宋体"/>
                <w:color w:val="auto"/>
                <w:spacing w:val="0"/>
                <w:kern w:val="0"/>
                <w:sz w:val="24"/>
                <w:highlight w:val="none"/>
                <w:lang w:val="en-US" w:eastAsia="zh-CN"/>
              </w:rPr>
              <w:t>红</w:t>
            </w:r>
            <w:r>
              <w:rPr>
                <w:rFonts w:hint="eastAsia" w:ascii="宋体" w:hAnsi="宋体" w:eastAsia="宋体" w:cs="宋体"/>
                <w:color w:val="auto"/>
                <w:spacing w:val="0"/>
                <w:kern w:val="0"/>
                <w:sz w:val="24"/>
                <w:highlight w:val="none"/>
              </w:rPr>
              <w:t>色、</w:t>
            </w:r>
            <w:r>
              <w:rPr>
                <w:rFonts w:hint="eastAsia" w:ascii="宋体" w:hAnsi="宋体" w:eastAsia="宋体" w:cs="宋体"/>
                <w:color w:val="auto"/>
                <w:spacing w:val="0"/>
                <w:kern w:val="0"/>
                <w:sz w:val="24"/>
                <w:highlight w:val="none"/>
                <w:lang w:val="en-US" w:eastAsia="zh-CN"/>
              </w:rPr>
              <w:t>壤土</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干燥</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无</w:t>
            </w:r>
            <w:r>
              <w:rPr>
                <w:rFonts w:hint="eastAsia" w:ascii="宋体" w:hAnsi="宋体" w:eastAsia="宋体" w:cs="宋体"/>
                <w:color w:val="auto"/>
                <w:spacing w:val="0"/>
                <w:kern w:val="0"/>
                <w:sz w:val="24"/>
                <w:highlight w:val="none"/>
              </w:rPr>
              <w:t>砂粒、</w:t>
            </w:r>
            <w:r>
              <w:rPr>
                <w:rFonts w:hint="eastAsia" w:ascii="宋体" w:hAnsi="宋体" w:eastAsia="宋体" w:cs="宋体"/>
                <w:color w:val="auto"/>
                <w:spacing w:val="0"/>
                <w:kern w:val="0"/>
                <w:sz w:val="24"/>
                <w:highlight w:val="none"/>
                <w:lang w:val="en-US" w:eastAsia="zh-CN"/>
              </w:rPr>
              <w:t>少量根系</w:t>
            </w:r>
          </w:p>
        </w:tc>
      </w:tr>
    </w:tbl>
    <w:p>
      <w:pPr>
        <w:keepNext w:val="0"/>
        <w:keepLines w:val="0"/>
        <w:pageBreakBefore w:val="0"/>
        <w:widowControl/>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宋体" w:hAnsi="宋体" w:eastAsia="宋体" w:cs="宋体"/>
          <w:color w:val="auto"/>
          <w:spacing w:val="0"/>
          <w:highlight w:val="none"/>
        </w:rPr>
      </w:pPr>
      <w:r>
        <w:rPr>
          <w:rFonts w:hint="eastAsia" w:ascii="宋体" w:hAnsi="宋体" w:eastAsia="宋体" w:cs="宋体"/>
          <w:b/>
          <w:color w:val="auto"/>
          <w:spacing w:val="0"/>
          <w:sz w:val="24"/>
          <w:highlight w:val="none"/>
        </w:rPr>
        <w:t>土壤检测结果统计表</w:t>
      </w:r>
    </w:p>
    <w:tbl>
      <w:tblPr>
        <w:tblStyle w:val="19"/>
        <w:tblW w:w="9077" w:type="dxa"/>
        <w:tblInd w:w="-256" w:type="dxa"/>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84"/>
        <w:gridCol w:w="1825"/>
        <w:gridCol w:w="1663"/>
        <w:gridCol w:w="1479"/>
        <w:gridCol w:w="1655"/>
        <w:gridCol w:w="1471"/>
      </w:tblGrid>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1" w:hRule="atLeast"/>
          <w:tblHeader/>
        </w:trPr>
        <w:tc>
          <w:tcPr>
            <w:tcW w:w="984"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采样时间</w:t>
            </w:r>
          </w:p>
        </w:tc>
        <w:tc>
          <w:tcPr>
            <w:tcW w:w="182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检测地点</w:t>
            </w: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检测因子</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检测结果</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检测因子</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b/>
                <w:bCs/>
                <w:color w:val="auto"/>
                <w:spacing w:val="0"/>
                <w:sz w:val="24"/>
                <w:highlight w:val="none"/>
              </w:rPr>
            </w:pPr>
            <w:r>
              <w:rPr>
                <w:rFonts w:hint="eastAsia" w:ascii="宋体" w:hAnsi="宋体" w:eastAsia="宋体" w:cs="宋体"/>
                <w:b/>
                <w:bCs/>
                <w:color w:val="auto"/>
                <w:spacing w:val="0"/>
                <w:sz w:val="24"/>
                <w:highlight w:val="none"/>
              </w:rPr>
              <w:t>检测结果</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84"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rPr>
            </w:pPr>
            <w:r>
              <w:rPr>
                <w:rFonts w:hint="eastAsia" w:ascii="宋体" w:hAnsi="宋体" w:eastAsia="宋体" w:cs="宋体"/>
                <w:color w:val="auto"/>
                <w:spacing w:val="0"/>
                <w:kern w:val="0"/>
                <w:sz w:val="24"/>
                <w:highlight w:val="none"/>
              </w:rPr>
              <w:t>202</w:t>
            </w:r>
            <w:r>
              <w:rPr>
                <w:rFonts w:hint="eastAsia" w:ascii="宋体" w:hAnsi="宋体" w:eastAsia="宋体" w:cs="宋体"/>
                <w:color w:val="auto"/>
                <w:spacing w:val="0"/>
                <w:kern w:val="0"/>
                <w:sz w:val="24"/>
                <w:highlight w:val="none"/>
                <w:lang w:val="en-US" w:eastAsia="zh-CN"/>
              </w:rPr>
              <w:t>3</w:t>
            </w:r>
            <w:r>
              <w:rPr>
                <w:rFonts w:hint="eastAsia" w:ascii="宋体" w:hAnsi="宋体" w:eastAsia="宋体" w:cs="宋体"/>
                <w:color w:val="auto"/>
                <w:spacing w:val="0"/>
                <w:kern w:val="0"/>
                <w:sz w:val="24"/>
                <w:highlight w:val="none"/>
              </w:rPr>
              <w:t>.0</w:t>
            </w:r>
            <w:r>
              <w:rPr>
                <w:rFonts w:hint="eastAsia" w:ascii="宋体" w:hAnsi="宋体" w:eastAsia="宋体" w:cs="宋体"/>
                <w:color w:val="auto"/>
                <w:spacing w:val="0"/>
                <w:kern w:val="0"/>
                <w:sz w:val="24"/>
                <w:highlight w:val="none"/>
                <w:lang w:val="en-US" w:eastAsia="zh-CN"/>
              </w:rPr>
              <w:t>6.18</w:t>
            </w:r>
          </w:p>
        </w:tc>
        <w:tc>
          <w:tcPr>
            <w:tcW w:w="1825" w:type="dxa"/>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土壤背景监测点</w:t>
            </w:r>
            <w:r>
              <w:rPr>
                <w:rFonts w:hint="eastAsia" w:ascii="宋体" w:hAnsi="宋体" w:eastAsia="宋体" w:cs="宋体"/>
                <w:color w:val="auto"/>
                <w:spacing w:val="0"/>
                <w:kern w:val="0"/>
                <w:sz w:val="24"/>
                <w:highlight w:val="none"/>
              </w:rPr>
              <w:t>（N</w:t>
            </w:r>
            <w:r>
              <w:rPr>
                <w:rFonts w:hint="eastAsia" w:ascii="宋体" w:hAnsi="宋体" w:eastAsia="宋体" w:cs="宋体"/>
                <w:color w:val="auto"/>
                <w:spacing w:val="0"/>
                <w:kern w:val="0"/>
                <w:sz w:val="24"/>
                <w:highlight w:val="none"/>
                <w:lang w:eastAsia="zh-CN"/>
              </w:rPr>
              <w:t>：</w:t>
            </w:r>
            <w:r>
              <w:rPr>
                <w:rFonts w:hint="eastAsia" w:ascii="宋体" w:hAnsi="宋体" w:eastAsia="宋体" w:cs="宋体"/>
                <w:color w:val="auto"/>
                <w:spacing w:val="0"/>
                <w:kern w:val="0"/>
                <w:sz w:val="24"/>
                <w:highlight w:val="none"/>
              </w:rPr>
              <w:t>3</w:t>
            </w:r>
            <w:r>
              <w:rPr>
                <w:rFonts w:hint="eastAsia" w:ascii="宋体" w:hAnsi="宋体" w:eastAsia="宋体" w:cs="宋体"/>
                <w:color w:val="auto"/>
                <w:spacing w:val="0"/>
                <w:kern w:val="0"/>
                <w:sz w:val="24"/>
                <w:highlight w:val="none"/>
                <w:lang w:val="en-US" w:eastAsia="zh-CN"/>
              </w:rPr>
              <w:t>4</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40</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29.687</w:t>
            </w:r>
            <w:r>
              <w:rPr>
                <w:rFonts w:hint="eastAsia" w:ascii="宋体" w:hAnsi="宋体" w:eastAsia="宋体" w:cs="宋体"/>
                <w:color w:val="auto"/>
                <w:spacing w:val="0"/>
                <w:kern w:val="0"/>
                <w:sz w:val="24"/>
                <w:highlight w:val="none"/>
              </w:rPr>
              <w:t>''E</w:t>
            </w:r>
            <w:r>
              <w:rPr>
                <w:rFonts w:hint="eastAsia" w:ascii="宋体" w:hAnsi="宋体" w:eastAsia="宋体" w:cs="宋体"/>
                <w:color w:val="auto"/>
                <w:spacing w:val="0"/>
                <w:kern w:val="0"/>
                <w:sz w:val="24"/>
                <w:highlight w:val="none"/>
                <w:lang w:eastAsia="zh-CN"/>
              </w:rPr>
              <w:t>：</w:t>
            </w:r>
            <w:r>
              <w:rPr>
                <w:rFonts w:hint="eastAsia" w:ascii="宋体" w:hAnsi="宋体" w:eastAsia="宋体" w:cs="宋体"/>
                <w:color w:val="auto"/>
                <w:spacing w:val="0"/>
                <w:kern w:val="0"/>
                <w:sz w:val="24"/>
                <w:highlight w:val="none"/>
              </w:rPr>
              <w:t>11</w:t>
            </w:r>
            <w:r>
              <w:rPr>
                <w:rFonts w:hint="eastAsia" w:ascii="宋体" w:hAnsi="宋体" w:eastAsia="宋体" w:cs="宋体"/>
                <w:color w:val="auto"/>
                <w:spacing w:val="0"/>
                <w:kern w:val="0"/>
                <w:sz w:val="24"/>
                <w:highlight w:val="none"/>
                <w:lang w:val="en-US" w:eastAsia="zh-CN"/>
              </w:rPr>
              <w:t>1</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34</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47.448</w:t>
            </w:r>
            <w:r>
              <w:rPr>
                <w:rFonts w:hint="eastAsia" w:ascii="宋体" w:hAnsi="宋体" w:eastAsia="宋体" w:cs="宋体"/>
                <w:color w:val="auto"/>
                <w:spacing w:val="0"/>
                <w:kern w:val="0"/>
                <w:sz w:val="24"/>
                <w:highlight w:val="none"/>
              </w:rPr>
              <w:t>''）</w:t>
            </w: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pH值</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lang w:val="en-US" w:eastAsia="zh-CN"/>
              </w:rPr>
              <w:t>8.34</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三氯乙烯</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5"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砷</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12.3</w:t>
            </w:r>
            <w:r>
              <w:rPr>
                <w:rFonts w:hint="eastAsia" w:ascii="宋体" w:hAnsi="宋体" w:eastAsia="宋体" w:cs="宋体"/>
                <w:color w:val="auto"/>
                <w:spacing w:val="0"/>
                <w:kern w:val="0"/>
                <w:sz w:val="24"/>
                <w:highlight w:val="none"/>
              </w:rPr>
              <w:t>mg/kg</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1,2,3-三氯丙烷</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镉</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0.77</w:t>
            </w:r>
            <w:r>
              <w:rPr>
                <w:rFonts w:hint="eastAsia" w:ascii="宋体" w:hAnsi="宋体" w:eastAsia="宋体" w:cs="宋体"/>
                <w:color w:val="auto"/>
                <w:spacing w:val="0"/>
                <w:kern w:val="0"/>
                <w:sz w:val="24"/>
                <w:highlight w:val="none"/>
              </w:rPr>
              <w:t>mg/kg</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氯乙烯</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铬（六价）</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铜</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61</w:t>
            </w:r>
            <w:r>
              <w:rPr>
                <w:rFonts w:hint="eastAsia" w:ascii="宋体" w:hAnsi="宋体" w:eastAsia="宋体" w:cs="宋体"/>
                <w:color w:val="auto"/>
                <w:spacing w:val="0"/>
                <w:kern w:val="0"/>
                <w:sz w:val="24"/>
                <w:highlight w:val="none"/>
              </w:rPr>
              <w:t>mg/kg</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氯苯</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铅</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107</w:t>
            </w:r>
            <w:r>
              <w:rPr>
                <w:rFonts w:hint="eastAsia" w:ascii="宋体" w:hAnsi="宋体" w:eastAsia="宋体" w:cs="宋体"/>
                <w:color w:val="auto"/>
                <w:spacing w:val="0"/>
                <w:kern w:val="0"/>
                <w:sz w:val="24"/>
                <w:highlight w:val="none"/>
              </w:rPr>
              <w:t>mg/kg</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1,2-二氯苯</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汞</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0</w:t>
            </w:r>
            <w:r>
              <w:rPr>
                <w:rFonts w:hint="eastAsia" w:ascii="宋体" w:hAnsi="宋体" w:eastAsia="宋体" w:cs="宋体"/>
                <w:color w:val="auto"/>
                <w:spacing w:val="0"/>
                <w:kern w:val="0"/>
                <w:sz w:val="24"/>
                <w:highlight w:val="none"/>
                <w:lang w:val="en-US" w:eastAsia="zh-CN"/>
              </w:rPr>
              <w:t>.277</w:t>
            </w:r>
            <w:r>
              <w:rPr>
                <w:rFonts w:hint="eastAsia" w:ascii="宋体" w:hAnsi="宋体" w:eastAsia="宋体" w:cs="宋体"/>
                <w:color w:val="auto"/>
                <w:spacing w:val="0"/>
                <w:kern w:val="0"/>
                <w:sz w:val="24"/>
                <w:highlight w:val="none"/>
              </w:rPr>
              <w:t>mg/kg</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1,4-二氯苯</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镍</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lang w:val="en-US" w:eastAsia="zh-CN"/>
              </w:rPr>
              <w:t>51</w:t>
            </w:r>
            <w:r>
              <w:rPr>
                <w:rFonts w:hint="eastAsia" w:ascii="宋体" w:hAnsi="宋体" w:eastAsia="宋体" w:cs="宋体"/>
                <w:color w:val="auto"/>
                <w:spacing w:val="0"/>
                <w:kern w:val="0"/>
                <w:sz w:val="24"/>
                <w:highlight w:val="none"/>
              </w:rPr>
              <w:t>mg/kg</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乙苯</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四氯化碳</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苯乙烯</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氯仿</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未检出</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甲苯</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氯甲烷</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间,对-二甲苯</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1,1-二氯乙烷</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未检出</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邻-二甲苯</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1,2-二氯乙烷</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lang w:val="en-US" w:eastAsia="zh-CN"/>
              </w:rPr>
            </w:pPr>
            <w:r>
              <w:rPr>
                <w:rFonts w:hint="eastAsia" w:ascii="宋体" w:hAnsi="宋体" w:eastAsia="宋体" w:cs="宋体"/>
                <w:color w:val="auto"/>
                <w:spacing w:val="0"/>
                <w:kern w:val="0"/>
                <w:sz w:val="24"/>
                <w:highlight w:val="none"/>
              </w:rPr>
              <w:t>未检出</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硝基苯</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1,1-二氯乙烯</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苯胺</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Cs w:val="21"/>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5"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顺-1,2-二氯乙烯</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2-氯酚</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5" w:hRule="atLeast"/>
        </w:trPr>
        <w:tc>
          <w:tcPr>
            <w:tcW w:w="984"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825" w:type="dxa"/>
            <w:vMerge w:val="continue"/>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center"/>
              <w:rPr>
                <w:rFonts w:hint="eastAsia" w:ascii="宋体" w:hAnsi="宋体" w:eastAsia="宋体" w:cs="宋体"/>
                <w:color w:val="auto"/>
                <w:spacing w:val="0"/>
                <w:kern w:val="0"/>
                <w:szCs w:val="21"/>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反-1,2-二氯乙烯</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苯并[a]蒽</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9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2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二氯甲烷</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苯并[a]芘</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9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2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1,2-二氯丙烷</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苯并[b]荧蒽</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5" w:hRule="atLeast"/>
        </w:trPr>
        <w:tc>
          <w:tcPr>
            <w:tcW w:w="9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2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1,1,1,2-四氯乙烷</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苯并[k]荧蒽</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5" w:hRule="atLeast"/>
        </w:trPr>
        <w:tc>
          <w:tcPr>
            <w:tcW w:w="9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2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1,1,2,2-四氯乙烷</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䓛</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9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2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四氯乙烯</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二苯并[a，h]蒽</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5" w:hRule="atLeast"/>
        </w:trPr>
        <w:tc>
          <w:tcPr>
            <w:tcW w:w="9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2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1,1,1-三氯乙烷</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茚并[1,2,3-cd]芘</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5" w:hRule="atLeast"/>
        </w:trPr>
        <w:tc>
          <w:tcPr>
            <w:tcW w:w="9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2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1,1,2-三氯乙烷</w:t>
            </w:r>
          </w:p>
        </w:tc>
        <w:tc>
          <w:tcPr>
            <w:tcW w:w="1479"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c>
          <w:tcPr>
            <w:tcW w:w="1655"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萘</w:t>
            </w:r>
          </w:p>
        </w:tc>
        <w:tc>
          <w:tcPr>
            <w:tcW w:w="1471"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未检出</w:t>
            </w:r>
          </w:p>
        </w:tc>
      </w:tr>
      <w:tr>
        <w:tblPrEx>
          <w:tblBorders>
            <w:top w:val="double" w:color="000000" w:sz="4" w:space="0"/>
            <w:left w:val="none" w:color="auto" w:sz="0" w:space="0"/>
            <w:bottom w:val="double" w:color="000000"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6" w:hRule="atLeast"/>
        </w:trPr>
        <w:tc>
          <w:tcPr>
            <w:tcW w:w="9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82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p>
        </w:tc>
        <w:tc>
          <w:tcPr>
            <w:tcW w:w="1663"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样品状态</w:t>
            </w:r>
          </w:p>
        </w:tc>
        <w:tc>
          <w:tcPr>
            <w:tcW w:w="4605" w:type="dxa"/>
            <w:gridSpan w:val="3"/>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firstLine="0" w:firstLineChars="0"/>
              <w:jc w:val="center"/>
              <w:rPr>
                <w:rFonts w:hint="eastAsia" w:ascii="宋体" w:hAnsi="宋体" w:eastAsia="宋体" w:cs="宋体"/>
                <w:color w:val="auto"/>
                <w:spacing w:val="0"/>
                <w:kern w:val="0"/>
                <w:sz w:val="24"/>
                <w:highlight w:val="none"/>
              </w:rPr>
            </w:pPr>
            <w:r>
              <w:rPr>
                <w:rFonts w:hint="eastAsia" w:ascii="宋体" w:hAnsi="宋体" w:eastAsia="宋体" w:cs="宋体"/>
                <w:color w:val="auto"/>
                <w:spacing w:val="0"/>
                <w:kern w:val="0"/>
                <w:sz w:val="24"/>
                <w:highlight w:val="none"/>
              </w:rPr>
              <w:t>固态、</w:t>
            </w:r>
            <w:r>
              <w:rPr>
                <w:rFonts w:hint="eastAsia" w:ascii="宋体" w:hAnsi="宋体" w:eastAsia="宋体" w:cs="宋体"/>
                <w:color w:val="auto"/>
                <w:spacing w:val="0"/>
                <w:kern w:val="0"/>
                <w:sz w:val="24"/>
                <w:highlight w:val="none"/>
                <w:lang w:val="en-US" w:eastAsia="zh-CN"/>
              </w:rPr>
              <w:t>红</w:t>
            </w:r>
            <w:r>
              <w:rPr>
                <w:rFonts w:hint="eastAsia" w:ascii="宋体" w:hAnsi="宋体" w:eastAsia="宋体" w:cs="宋体"/>
                <w:color w:val="auto"/>
                <w:spacing w:val="0"/>
                <w:kern w:val="0"/>
                <w:sz w:val="24"/>
                <w:highlight w:val="none"/>
              </w:rPr>
              <w:t>色、</w:t>
            </w:r>
            <w:r>
              <w:rPr>
                <w:rFonts w:hint="eastAsia" w:ascii="宋体" w:hAnsi="宋体" w:eastAsia="宋体" w:cs="宋体"/>
                <w:color w:val="auto"/>
                <w:spacing w:val="0"/>
                <w:kern w:val="0"/>
                <w:sz w:val="24"/>
                <w:highlight w:val="none"/>
                <w:lang w:val="en-US" w:eastAsia="zh-CN"/>
              </w:rPr>
              <w:t>壤土</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干燥</w:t>
            </w:r>
            <w:r>
              <w:rPr>
                <w:rFonts w:hint="eastAsia" w:ascii="宋体" w:hAnsi="宋体" w:eastAsia="宋体" w:cs="宋体"/>
                <w:color w:val="auto"/>
                <w:spacing w:val="0"/>
                <w:kern w:val="0"/>
                <w:sz w:val="24"/>
                <w:highlight w:val="none"/>
              </w:rPr>
              <w:t>、</w:t>
            </w:r>
            <w:r>
              <w:rPr>
                <w:rFonts w:hint="eastAsia" w:ascii="宋体" w:hAnsi="宋体" w:eastAsia="宋体" w:cs="宋体"/>
                <w:color w:val="auto"/>
                <w:spacing w:val="0"/>
                <w:kern w:val="0"/>
                <w:sz w:val="24"/>
                <w:highlight w:val="none"/>
                <w:lang w:val="en-US" w:eastAsia="zh-CN"/>
              </w:rPr>
              <w:t>少量</w:t>
            </w:r>
            <w:r>
              <w:rPr>
                <w:rFonts w:hint="eastAsia" w:ascii="宋体" w:hAnsi="宋体" w:eastAsia="宋体" w:cs="宋体"/>
                <w:color w:val="auto"/>
                <w:spacing w:val="0"/>
                <w:kern w:val="0"/>
                <w:sz w:val="24"/>
                <w:highlight w:val="none"/>
              </w:rPr>
              <w:t>砂粒、</w:t>
            </w:r>
            <w:r>
              <w:rPr>
                <w:rFonts w:hint="eastAsia" w:ascii="宋体" w:hAnsi="宋体" w:eastAsia="宋体" w:cs="宋体"/>
                <w:color w:val="auto"/>
                <w:spacing w:val="0"/>
                <w:kern w:val="0"/>
                <w:sz w:val="24"/>
                <w:highlight w:val="none"/>
                <w:lang w:val="en-US" w:eastAsia="zh-CN"/>
              </w:rPr>
              <w:t>少量根系</w:t>
            </w:r>
          </w:p>
        </w:tc>
      </w:tr>
    </w:tbl>
    <w:p>
      <w:pPr>
        <w:pStyle w:val="2"/>
        <w:bidi w:val="0"/>
        <w:spacing w:line="360" w:lineRule="auto"/>
        <w:rPr>
          <w:rFonts w:hint="eastAsia" w:ascii="宋体" w:hAnsi="宋体" w:eastAsia="宋体" w:cs="宋体"/>
          <w:lang w:val="en-US" w:eastAsia="zh-CN"/>
        </w:rPr>
      </w:pPr>
      <w:bookmarkStart w:id="251" w:name="_Toc12943"/>
      <w:r>
        <w:rPr>
          <w:rFonts w:hint="eastAsia" w:ascii="宋体" w:hAnsi="宋体" w:eastAsia="宋体" w:cs="宋体"/>
          <w:lang w:val="en-US" w:eastAsia="zh-CN"/>
        </w:rPr>
        <w:t>9质量保证与质量控制</w:t>
      </w:r>
      <w:bookmarkEnd w:id="248"/>
      <w:bookmarkEnd w:id="249"/>
      <w:bookmarkEnd w:id="250"/>
      <w:bookmarkEnd w:id="251"/>
    </w:p>
    <w:p>
      <w:pPr>
        <w:keepNext/>
        <w:keepLines/>
        <w:widowControl w:val="0"/>
        <w:numPr>
          <w:ilvl w:val="1"/>
          <w:numId w:val="1"/>
        </w:numPr>
        <w:bidi w:val="0"/>
        <w:spacing w:line="360" w:lineRule="auto"/>
        <w:ind w:firstLine="0" w:firstLineChars="0"/>
        <w:jc w:val="left"/>
        <w:outlineLvl w:val="1"/>
        <w:rPr>
          <w:rFonts w:hint="eastAsia" w:ascii="宋体" w:hAnsi="宋体" w:eastAsia="宋体" w:cs="宋体"/>
          <w:b/>
          <w:bCs/>
          <w:kern w:val="2"/>
          <w:sz w:val="28"/>
          <w:szCs w:val="32"/>
          <w:lang w:val="en-US" w:eastAsia="zh-CN" w:bidi="ar-SA"/>
        </w:rPr>
      </w:pPr>
      <w:bookmarkStart w:id="252" w:name="_Toc7011"/>
      <w:bookmarkStart w:id="253" w:name="_Toc13167"/>
      <w:bookmarkStart w:id="254" w:name="_Toc29954"/>
      <w:bookmarkStart w:id="255" w:name="_Toc2115"/>
      <w:bookmarkStart w:id="256" w:name="_Toc7047"/>
      <w:bookmarkStart w:id="257" w:name="_Toc29371"/>
      <w:r>
        <w:rPr>
          <w:rFonts w:hint="eastAsia" w:ascii="宋体" w:hAnsi="宋体" w:eastAsia="宋体" w:cs="宋体"/>
          <w:b/>
          <w:bCs/>
          <w:kern w:val="2"/>
          <w:sz w:val="28"/>
          <w:szCs w:val="32"/>
          <w:lang w:val="en-US" w:eastAsia="zh-CN" w:bidi="ar-SA"/>
        </w:rPr>
        <w:t>9.1自行监测质量体系</w:t>
      </w:r>
      <w:bookmarkEnd w:id="252"/>
      <w:bookmarkEnd w:id="253"/>
      <w:bookmarkEnd w:id="254"/>
      <w:bookmarkEnd w:id="255"/>
      <w:bookmarkEnd w:id="256"/>
      <w:bookmarkEnd w:id="257"/>
    </w:p>
    <w:p>
      <w:pPr>
        <w:spacing w:line="360" w:lineRule="auto"/>
        <w:ind w:firstLine="560" w:firstLineChars="200"/>
        <w:outlineLvl w:val="9"/>
        <w:rPr>
          <w:rFonts w:hint="eastAsia" w:ascii="宋体" w:hAnsi="宋体" w:eastAsia="宋体" w:cs="宋体"/>
          <w:b w:val="0"/>
          <w:bCs w:val="0"/>
          <w:snapToGrid/>
          <w:color w:val="auto"/>
          <w:kern w:val="2"/>
          <w:sz w:val="28"/>
          <w:szCs w:val="24"/>
          <w:highlight w:val="none"/>
          <w:lang w:val="en-US" w:eastAsia="zh-CN" w:bidi="ar-SA"/>
        </w:rPr>
      </w:pPr>
      <w:bookmarkStart w:id="258" w:name="_Toc32423"/>
      <w:r>
        <w:rPr>
          <w:rFonts w:hint="eastAsia" w:ascii="宋体" w:hAnsi="宋体" w:eastAsia="宋体" w:cs="宋体"/>
          <w:b w:val="0"/>
          <w:bCs w:val="0"/>
          <w:snapToGrid/>
          <w:color w:val="auto"/>
          <w:kern w:val="2"/>
          <w:sz w:val="28"/>
          <w:szCs w:val="24"/>
          <w:highlight w:val="none"/>
          <w:lang w:val="en-US" w:eastAsia="zh-CN" w:bidi="ar-SA"/>
        </w:rPr>
        <w:t>河南省中威春雨植物营养有限公司2023年度土壤和地下水检测工作由洛阳市达峰环境检测有限公司负责，公司拥有河南省质量技术监督局颁发的检验检测机构资质认定证书（洛阳市达峰环境检测有限公司：证书编号201612050382，有效期2026年11月9日。公司质量体系完善，符合实验室分析工作的条件和相应资质要求，凡承担本项目的采样和检测分析等的人员均通过公司考核并持证上岗。</w:t>
      </w:r>
      <w:bookmarkEnd w:id="258"/>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259" w:name="_Toc7617"/>
      <w:bookmarkStart w:id="260" w:name="_Toc20216"/>
      <w:bookmarkStart w:id="261" w:name="_Toc162"/>
      <w:bookmarkStart w:id="262" w:name="_Toc23714"/>
      <w:r>
        <w:rPr>
          <w:rFonts w:hint="eastAsia" w:ascii="宋体" w:hAnsi="宋体" w:eastAsia="宋体" w:cs="宋体"/>
          <w:b/>
          <w:bCs/>
          <w:kern w:val="2"/>
          <w:sz w:val="28"/>
          <w:szCs w:val="32"/>
          <w:lang w:val="en-US" w:eastAsia="zh-CN" w:bidi="ar-SA"/>
        </w:rPr>
        <w:t>9.2监测方案制定的质量保证与控制</w:t>
      </w:r>
      <w:bookmarkEnd w:id="259"/>
      <w:bookmarkEnd w:id="260"/>
      <w:bookmarkEnd w:id="261"/>
      <w:bookmarkEnd w:id="262"/>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560" w:firstLineChars="200"/>
        <w:jc w:val="left"/>
        <w:textAlignment w:val="auto"/>
        <w:rPr>
          <w:rFonts w:hint="eastAsia" w:ascii="宋体" w:hAnsi="宋体" w:eastAsia="宋体" w:cs="宋体"/>
          <w:snapToGrid/>
          <w:color w:val="auto"/>
          <w:spacing w:val="6"/>
          <w:kern w:val="2"/>
          <w:sz w:val="28"/>
          <w:szCs w:val="24"/>
          <w:highlight w:val="none"/>
          <w:lang w:val="en-US" w:eastAsia="zh-CN" w:bidi="ar-SA"/>
        </w:rPr>
      </w:pPr>
      <w:r>
        <w:rPr>
          <w:rFonts w:hint="eastAsia" w:ascii="宋体" w:hAnsi="宋体" w:eastAsia="宋体" w:cs="宋体"/>
          <w:b w:val="0"/>
          <w:bCs w:val="0"/>
          <w:snapToGrid/>
          <w:color w:val="auto"/>
          <w:kern w:val="2"/>
          <w:sz w:val="28"/>
          <w:szCs w:val="24"/>
          <w:highlight w:val="none"/>
          <w:lang w:val="en-US" w:eastAsia="zh-CN" w:bidi="ar-SA"/>
        </w:rPr>
        <w:t>河南省中威春雨植物营养有限公司</w:t>
      </w:r>
      <w:r>
        <w:rPr>
          <w:rFonts w:hint="eastAsia" w:ascii="宋体" w:hAnsi="宋体" w:eastAsia="宋体" w:cs="宋体"/>
          <w:snapToGrid/>
          <w:color w:val="auto"/>
          <w:spacing w:val="6"/>
          <w:kern w:val="2"/>
          <w:sz w:val="28"/>
          <w:szCs w:val="24"/>
          <w:highlight w:val="none"/>
          <w:lang w:val="en-US" w:eastAsia="zh-CN" w:bidi="ar-SA"/>
        </w:rPr>
        <w:t>2023年度土壤监测方案保持一致，可满足监测要求，主要包含以下内容：</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584" w:firstLineChars="200"/>
        <w:jc w:val="left"/>
        <w:textAlignment w:val="auto"/>
        <w:rPr>
          <w:rFonts w:hint="eastAsia" w:ascii="宋体" w:hAnsi="宋体" w:eastAsia="宋体" w:cs="宋体"/>
          <w:snapToGrid/>
          <w:color w:val="auto"/>
          <w:spacing w:val="6"/>
          <w:kern w:val="2"/>
          <w:sz w:val="28"/>
          <w:szCs w:val="24"/>
          <w:highlight w:val="none"/>
          <w:lang w:val="en-US" w:eastAsia="zh-CN" w:bidi="ar-SA"/>
        </w:rPr>
      </w:pPr>
      <w:r>
        <w:rPr>
          <w:rFonts w:hint="eastAsia" w:ascii="宋体" w:hAnsi="宋体" w:eastAsia="宋体" w:cs="宋体"/>
          <w:snapToGrid/>
          <w:color w:val="auto"/>
          <w:spacing w:val="6"/>
          <w:kern w:val="2"/>
          <w:sz w:val="28"/>
          <w:szCs w:val="24"/>
          <w:highlight w:val="none"/>
          <w:lang w:val="en-US" w:eastAsia="zh-CN" w:bidi="ar-SA"/>
        </w:rPr>
        <w:t>（1）重点单元识别与分类依据满足《工业企业土壤和地下水自行监测技术指南（试行）》（HJ1209-2021）的要求，已按照HJ1209-2021要求提供了重点监测单元清单及标记有重点单元及监测点/监测井位置的企业总平面布置图；</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584" w:firstLineChars="200"/>
        <w:jc w:val="left"/>
        <w:textAlignment w:val="auto"/>
        <w:rPr>
          <w:rFonts w:hint="eastAsia" w:ascii="宋体" w:hAnsi="宋体" w:eastAsia="宋体" w:cs="宋体"/>
          <w:snapToGrid/>
          <w:color w:val="auto"/>
          <w:spacing w:val="6"/>
          <w:kern w:val="2"/>
          <w:sz w:val="28"/>
          <w:szCs w:val="24"/>
          <w:highlight w:val="none"/>
          <w:lang w:val="en-US" w:eastAsia="zh-CN" w:bidi="ar-SA"/>
        </w:rPr>
      </w:pPr>
      <w:r>
        <w:rPr>
          <w:rFonts w:hint="eastAsia" w:ascii="宋体" w:hAnsi="宋体" w:eastAsia="宋体" w:cs="宋体"/>
          <w:snapToGrid/>
          <w:color w:val="auto"/>
          <w:spacing w:val="6"/>
          <w:kern w:val="2"/>
          <w:sz w:val="28"/>
          <w:szCs w:val="24"/>
          <w:highlight w:val="none"/>
          <w:lang w:val="en-US" w:eastAsia="zh-CN" w:bidi="ar-SA"/>
        </w:rPr>
        <w:t>（2）土壤监测点的位置、数量和深度满足HJ1209-2021中“5.2监测点位”的要求；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584" w:firstLineChars="200"/>
        <w:jc w:val="left"/>
        <w:textAlignment w:val="auto"/>
        <w:rPr>
          <w:rFonts w:hint="eastAsia" w:ascii="宋体" w:hAnsi="宋体" w:eastAsia="宋体" w:cs="宋体"/>
          <w:snapToGrid/>
          <w:color w:val="auto"/>
          <w:spacing w:val="6"/>
          <w:kern w:val="2"/>
          <w:sz w:val="28"/>
          <w:szCs w:val="24"/>
          <w:highlight w:val="none"/>
          <w:lang w:val="en-US" w:eastAsia="zh-CN" w:bidi="ar-SA"/>
        </w:rPr>
      </w:pPr>
      <w:r>
        <w:rPr>
          <w:rFonts w:hint="eastAsia" w:ascii="宋体" w:hAnsi="宋体" w:eastAsia="宋体" w:cs="宋体"/>
          <w:snapToGrid/>
          <w:color w:val="auto"/>
          <w:spacing w:val="6"/>
          <w:kern w:val="2"/>
          <w:sz w:val="28"/>
          <w:szCs w:val="24"/>
          <w:highlight w:val="none"/>
          <w:lang w:val="en-US" w:eastAsia="zh-CN" w:bidi="ar-SA"/>
        </w:rPr>
        <w:t>（3）土壤的监测指标、监测频次满足HJ1209-2021中“5.3监测指标与频次”的要求；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520" w:lineRule="exact"/>
        <w:ind w:left="0" w:leftChars="0" w:right="0" w:firstLine="584" w:firstLineChars="200"/>
        <w:jc w:val="left"/>
        <w:textAlignment w:val="auto"/>
        <w:outlineLvl w:val="2"/>
        <w:rPr>
          <w:rFonts w:hint="eastAsia" w:ascii="宋体" w:hAnsi="宋体" w:eastAsia="宋体" w:cs="宋体"/>
          <w:snapToGrid/>
          <w:color w:val="auto"/>
          <w:spacing w:val="6"/>
          <w:kern w:val="2"/>
          <w:sz w:val="28"/>
          <w:szCs w:val="24"/>
          <w:highlight w:val="none"/>
          <w:lang w:val="en-US" w:eastAsia="zh-CN" w:bidi="ar-SA"/>
        </w:rPr>
      </w:pPr>
      <w:r>
        <w:rPr>
          <w:rFonts w:hint="eastAsia" w:ascii="宋体" w:hAnsi="宋体" w:eastAsia="宋体" w:cs="宋体"/>
          <w:snapToGrid/>
          <w:color w:val="auto"/>
          <w:spacing w:val="6"/>
          <w:kern w:val="2"/>
          <w:sz w:val="28"/>
          <w:szCs w:val="24"/>
          <w:highlight w:val="none"/>
          <w:lang w:val="en-US" w:eastAsia="zh-CN" w:bidi="ar-SA"/>
        </w:rPr>
        <w:t>（4）已核实土壤的监测点位具备采样条件。</w:t>
      </w:r>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263" w:name="_Toc29145"/>
      <w:bookmarkStart w:id="264" w:name="_Toc27575"/>
      <w:bookmarkStart w:id="265" w:name="_Toc28152"/>
      <w:bookmarkStart w:id="266" w:name="_Toc7375"/>
      <w:bookmarkStart w:id="267" w:name="_Toc29355"/>
      <w:bookmarkStart w:id="268" w:name="_Toc6183"/>
      <w:r>
        <w:rPr>
          <w:rFonts w:hint="eastAsia" w:ascii="宋体" w:hAnsi="宋体" w:eastAsia="宋体" w:cs="宋体"/>
          <w:b/>
          <w:bCs/>
          <w:kern w:val="2"/>
          <w:sz w:val="28"/>
          <w:szCs w:val="32"/>
          <w:lang w:val="en-US" w:eastAsia="zh-CN" w:bidi="ar-SA"/>
        </w:rPr>
        <w:t>9.3样品采集、保存、流转、制备与分析的质量保证与控制</w:t>
      </w:r>
      <w:bookmarkEnd w:id="263"/>
      <w:bookmarkEnd w:id="264"/>
      <w:bookmarkEnd w:id="265"/>
      <w:bookmarkEnd w:id="266"/>
      <w:bookmarkEnd w:id="267"/>
      <w:bookmarkEnd w:id="268"/>
    </w:p>
    <w:p>
      <w:pPr>
        <w:keepNext/>
        <w:keepLines/>
        <w:widowControl w:val="0"/>
        <w:spacing w:line="520" w:lineRule="exact"/>
        <w:jc w:val="both"/>
        <w:outlineLvl w:val="2"/>
        <w:rPr>
          <w:rFonts w:hint="eastAsia" w:ascii="宋体" w:hAnsi="宋体" w:eastAsia="宋体" w:cs="宋体"/>
          <w:color w:val="auto"/>
          <w:kern w:val="2"/>
          <w:sz w:val="28"/>
          <w:szCs w:val="24"/>
          <w:highlight w:val="none"/>
          <w:lang w:val="en-US" w:eastAsia="zh-CN" w:bidi="ar-SA"/>
        </w:rPr>
      </w:pPr>
      <w:bookmarkStart w:id="269" w:name="_Toc11242"/>
      <w:bookmarkStart w:id="270" w:name="_Toc23156"/>
      <w:bookmarkStart w:id="271" w:name="_Toc25326"/>
      <w:bookmarkStart w:id="272" w:name="_Toc107924599"/>
      <w:bookmarkStart w:id="273" w:name="_Toc11334"/>
      <w:bookmarkStart w:id="274" w:name="_Toc19209"/>
      <w:r>
        <w:rPr>
          <w:rFonts w:hint="eastAsia" w:ascii="宋体" w:hAnsi="宋体" w:eastAsia="宋体" w:cs="宋体"/>
          <w:color w:val="auto"/>
          <w:kern w:val="2"/>
          <w:sz w:val="28"/>
          <w:szCs w:val="24"/>
          <w:highlight w:val="none"/>
          <w:lang w:val="en-US" w:eastAsia="zh-CN" w:bidi="ar-SA"/>
        </w:rPr>
        <w:t>9.3.1采样过程中的质量控制</w:t>
      </w:r>
      <w:bookmarkEnd w:id="269"/>
      <w:bookmarkEnd w:id="270"/>
      <w:bookmarkEnd w:id="271"/>
      <w:bookmarkEnd w:id="272"/>
      <w:bookmarkEnd w:id="273"/>
      <w:bookmarkEnd w:id="274"/>
    </w:p>
    <w:p>
      <w:pPr>
        <w:bidi w:val="0"/>
        <w:spacing w:line="520" w:lineRule="exact"/>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（1）采样前准备</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采样前组织操作培训，对采样操作规范、安全须知等进行充分交底，保证采样的规范与安全。根据需要按国家有关危险物质使用及健康安全等相关法规制订现场人员安全防护计划，并对相关人员进行必要的培训。</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采样人员通过岗前培训、持证上岗，掌握土壤采样技术和要求，熟悉采样器具的使用和样品的保存运输条件。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现场人员按有关规定，使用个人防护装备，严格执行现场设备操作规范。根据采样方案，准备各种记录表单、必需的监控器材、足够的取样器材，并进行消毒或预先清洗。</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（2）土壤样品采集质量控制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土壤样品的采集按照《建设用地土壤污染风险管控和修复监测技术导则》（HJ25.2-2019）、《土壤环境监测技术规范》（HJ/T166-2004）等要求进行。</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①防止采样过程中的交叉污染：</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在两次钻孔之间，钻探设备进行清洗；同一钻孔在不同深度采样时，对钻探设备、取样装置也进行清洗；与土壤接触的其他采样工具重复使用时，进行清洗后使用。采样过程中佩戴有一次性手套，为避免不同样品之间的交叉污染，每采集一个样品都更换手套。每采完一次样，都将采样工具用自来水洗净后再用蒸馏水淋洗一遍。</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②防止采样的二次污染：</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每个采样点钻探结束后，都将所有剩余的废弃土覆盖塑料布保护，待土壤污染状况调查工作结束后，装入垃圾袋内，统一进行规范处置。</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③规范采样操作：</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土壤采样时优先采集挥发性有机物、半挥发性有机物、石油烃、六价铬样品，然后使用竹刀采集重金属及无机物等样品。首先竹刀刮除表层土壤，立即用非扰动取样器采集足量样品迅速推入40mL吹扫捕集瓶，然后使用竹刀采集半挥发性、重金属样品，半挥发性样品足量装入250ml棕色玻璃瓶，重金属样品置于自封袋中。挥发性有机物采集3个样品，其余采集1个样品，将同一取样深度不同类别样品再分别置于自封袋中保存。按照质量控制要求准备全程序空白样和运输空白样品。土壤样品采集完成后，在样品瓶上标明编号等采样信息，并做好现场记录。样品采集成功后，立即放入车载冰箱中，使样品保存在4℃以下冷藏运输。</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④采集记录填写：</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所有样品采集时，记录监测点位经纬度信息。每个样品采集结束时及时填写标签信息进行粘贴，采样结束后，逐项检查采样记录、样袋标签和样品。</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（2）样品保存、流转过程中的质量控制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对采集的所有样品，各组均在装运前安排人员进行点位复核，在采样现场逐件核对样品登记表、样品标签、采样记录核对无误后分类装箱。样品运输中严防样品损失、混淆和沾污，对样品避光外包装。</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采样小组于当天或第二天将样品全部送到实验室后，采样人员将填好的样品交接单，同样品一起交给实验室样品管理员进行核对，确定无误后在样品交接单上签字。该项目采样结束交接土壤样品。样品皆依据规范中“样品保存及质量保证”进行储存，土壤样品按功能区域分开存放。质控人员对样品标识、包装容器、样品状态、保存环境条件等监控进行监督检查。</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样品采集当天不能将样品运送至实验室进行检测，样品需用车载冰箱、冷藏柜等设备低温保存，冷藏柜、车载冰箱温度调至4℃以下。</w:t>
      </w:r>
    </w:p>
    <w:p>
      <w:pPr>
        <w:bidi w:val="0"/>
        <w:spacing w:line="520" w:lineRule="exact"/>
        <w:jc w:val="left"/>
        <w:outlineLvl w:val="2"/>
        <w:rPr>
          <w:rFonts w:hint="eastAsia" w:ascii="宋体" w:hAnsi="宋体" w:eastAsia="宋体" w:cs="宋体"/>
          <w:b/>
          <w:bCs/>
          <w:color w:val="auto"/>
          <w:sz w:val="28"/>
          <w:highlight w:val="none"/>
          <w:lang w:val="en-US" w:eastAsia="zh-CN"/>
        </w:rPr>
      </w:pPr>
      <w:bookmarkStart w:id="275" w:name="_Toc107924600"/>
      <w:r>
        <w:rPr>
          <w:rFonts w:hint="eastAsia" w:ascii="宋体" w:hAnsi="宋体" w:eastAsia="宋体" w:cs="宋体"/>
          <w:b/>
          <w:bCs/>
          <w:color w:val="auto"/>
          <w:sz w:val="28"/>
          <w:highlight w:val="none"/>
          <w:lang w:val="en-US" w:eastAsia="zh-CN"/>
        </w:rPr>
        <w:t>9.3.2实验室检测过程中的质量保证和质量控制</w:t>
      </w:r>
      <w:bookmarkEnd w:id="275"/>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本次调查实验室检测工作严格按照规范落实质量保证和质量控制措施，确保获取的样品与取得的检测数据真实可信。</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实验室分析检测使用内、外部质量控制结合的质控手段以保证数据结果的准确度，主要包括空白、平行、加标、质控样分析的内部质控方式和采集密码平行样的外部质控方式。</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（1）实验室检测人员均经过培训，持证上岗，具有扎实的专业理论知识及丰富的实际操作经验。</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（2）实验室仪器设备、标准物质等控制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我公司质控人员对仪器设备、标准物质、实验用水、仪器检出限和精密度、校准曲线、实验准备等方面内容进行逐条检查。具体检查结果如下：</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①项目所用的气相色谱质谱联用仪、气相色谱仪、原子荧光、原子吸收、电感耦合等离子体发射质谱仪等仪器设备和天平、容量瓶、吸液管等计量器具均检定合格、在有效期内；性能、量程、精度满足方法要求。</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②实验室使用的标准溶液、质控样品均是国家有证标准物质，且在有效期内。</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③实验用水实时监测，电阻率≥18.2MΩ•cm（25℃），符合要求。</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④金属项目检测使用优级纯试剂，有机项目检测使用色谱级及农残级试剂，所有试剂采购回来均经验收合格后方能使用，符合要求。</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⑤实验器具根据标准要求使用不同清洗剂及清洗方式进行清洗。</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（3）内部和外部质量控制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①空白试验</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检查每个检测项目的全程序空白、运输空白及试剂空白分析结果，审核实验试剂、材料及实验过程，均不对实验结果产生干扰，本批样共采集土壤和样品，设置1个全程序空白，1个运输空白。</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②精密度控制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样品检测项目检测时按照标准要求进行平行样分析，共设置1个平行样，质控结果应符合标准《土壤环境监测技术规范》（HJ/T166-2004）、《地下水环境监测技术规范》（HJ/T164-2020）和各项目国家标准中要求各项目国家标准中要求。</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③准确度控制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通过检测标准质控物质及样品加标回收率来检查测定准确度，对部分因子进行质控样分析，质控样检测结果应显示合格，实验室准确度结果应符合标准《土壤环境监测技术规范》（HJ/T166-2004）《地下水环境监测技术规范》（HJ/T164-2020）和各项目国家标准中要求。</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④外部质量控制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本次实验室分析的质量控制包括实验室内部明码平行、样品加标、质控标准样分析。</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（4）数据分析及结果报告</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我公司质量保证室检查了原始记录、仪器使用记录和溶液配制记录等，实验室分析人员的全程操作均符合要求。核查了原始记录与检测报告中数据的一致性，结果显示，分析测试报告均完整无误。此批次样品所涉及的所有实验记录、原始数据及相关档案严格按照公司质量体系程序文件中的规定执行。</w:t>
      </w:r>
    </w:p>
    <w:p>
      <w:pPr>
        <w:bidi w:val="0"/>
        <w:spacing w:line="520" w:lineRule="exact"/>
        <w:ind w:firstLine="560" w:firstLineChars="200"/>
        <w:jc w:val="left"/>
        <w:outlineLvl w:val="3"/>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（5）检测过程质量保证</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①实验室检测项目各样品检测均严格按照规定的检测标准方法进行检测。</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②在各检测指标中，在使用标准物质进行校准曲线或标准检查点测试时，获得校准曲线或标准检查点结果应符合检测结果验收标准中的相关规定。</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③每批次样品进行现场空白和实验室空白，现场空白和实验室空白结果符合检测结果标准中的相关规定。</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④实验室检测项目所用的样品要根据检测标准要求按保存期、保存环境、保存条件和有效期等进行保存，符合要求的样品方可开展检测。</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⑤分析人员在接收样品时，仔细核对样品和采样记录，确认正确无误后，进行签收。</w:t>
      </w:r>
    </w:p>
    <w:p>
      <w:pPr>
        <w:bidi w:val="0"/>
        <w:spacing w:line="520" w:lineRule="exact"/>
        <w:ind w:firstLine="560" w:firstLineChars="200"/>
        <w:jc w:val="left"/>
        <w:rPr>
          <w:rFonts w:hint="eastAsia" w:ascii="宋体" w:hAnsi="宋体" w:eastAsia="宋体" w:cs="宋体"/>
          <w:color w:val="auto"/>
          <w:sz w:val="28"/>
          <w:highlight w:val="none"/>
          <w:lang w:val="en-US" w:eastAsia="zh-CN"/>
        </w:rPr>
      </w:pPr>
      <w:r>
        <w:rPr>
          <w:rFonts w:hint="eastAsia" w:ascii="宋体" w:hAnsi="宋体" w:eastAsia="宋体" w:cs="宋体"/>
          <w:color w:val="auto"/>
          <w:sz w:val="28"/>
          <w:highlight w:val="none"/>
          <w:lang w:val="en-US" w:eastAsia="zh-CN"/>
        </w:rPr>
        <w:t>⑥实验室主任应对检测人员执行全部检测指标的标准检测方法流程进行检查，严格按照技术要求进行检测。</w:t>
      </w:r>
    </w:p>
    <w:p>
      <w:pPr>
        <w:pStyle w:val="17"/>
        <w:rPr>
          <w:rFonts w:hint="eastAsia" w:ascii="宋体" w:hAnsi="宋体" w:eastAsia="宋体" w:cs="宋体"/>
          <w:color w:val="auto"/>
          <w:sz w:val="28"/>
          <w:highlight w:val="none"/>
          <w:lang w:val="en-US" w:eastAsia="zh-CN"/>
        </w:rPr>
      </w:pPr>
    </w:p>
    <w:p>
      <w:pPr>
        <w:pStyle w:val="18"/>
        <w:rPr>
          <w:rFonts w:hint="eastAsia" w:ascii="宋体" w:hAnsi="宋体" w:eastAsia="宋体" w:cs="宋体"/>
          <w:color w:val="auto"/>
          <w:sz w:val="28"/>
          <w:highlight w:val="none"/>
          <w:lang w:val="en-US" w:eastAsia="zh-CN"/>
        </w:rPr>
      </w:pPr>
    </w:p>
    <w:p>
      <w:pPr>
        <w:rPr>
          <w:rFonts w:hint="eastAsia"/>
          <w:lang w:val="en-US" w:eastAsia="zh-CN"/>
        </w:rPr>
      </w:pPr>
    </w:p>
    <w:p>
      <w:pPr>
        <w:pStyle w:val="2"/>
        <w:bidi w:val="0"/>
        <w:rPr>
          <w:rFonts w:hint="eastAsia" w:ascii="宋体" w:hAnsi="宋体" w:eastAsia="宋体" w:cs="宋体"/>
          <w:lang w:val="en-US" w:eastAsia="zh-CN"/>
        </w:rPr>
      </w:pPr>
      <w:bookmarkStart w:id="276" w:name="_Toc31137"/>
      <w:bookmarkStart w:id="277" w:name="_Toc14480"/>
      <w:bookmarkStart w:id="278" w:name="_Toc32704"/>
      <w:bookmarkStart w:id="279" w:name="_Toc31454"/>
      <w:r>
        <w:rPr>
          <w:rFonts w:hint="eastAsia" w:ascii="宋体" w:hAnsi="宋体" w:eastAsia="宋体" w:cs="宋体"/>
          <w:lang w:val="en-US" w:eastAsia="zh-CN"/>
        </w:rPr>
        <w:t>10.结论与措施</w:t>
      </w:r>
      <w:bookmarkEnd w:id="276"/>
      <w:bookmarkEnd w:id="277"/>
      <w:bookmarkEnd w:id="278"/>
      <w:bookmarkEnd w:id="279"/>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280" w:name="_Toc17078"/>
      <w:bookmarkStart w:id="281" w:name="_Toc6958"/>
      <w:bookmarkStart w:id="282" w:name="_Toc8553"/>
      <w:bookmarkStart w:id="283" w:name="_Toc384"/>
      <w:r>
        <w:rPr>
          <w:rFonts w:hint="eastAsia" w:ascii="宋体" w:hAnsi="宋体" w:eastAsia="宋体" w:cs="宋体"/>
          <w:b/>
          <w:bCs/>
          <w:kern w:val="2"/>
          <w:sz w:val="28"/>
          <w:szCs w:val="32"/>
          <w:lang w:val="en-US" w:eastAsia="zh-CN" w:bidi="ar-SA"/>
        </w:rPr>
        <w:t>10.1现场采样和监测</w:t>
      </w:r>
      <w:bookmarkEnd w:id="280"/>
      <w:bookmarkEnd w:id="281"/>
      <w:bookmarkEnd w:id="282"/>
      <w:bookmarkEnd w:id="283"/>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textAlignment w:val="auto"/>
        <w:rPr>
          <w:rFonts w:hint="eastAsia" w:ascii="宋体" w:hAnsi="宋体" w:eastAsia="宋体" w:cs="宋体"/>
          <w:color w:val="auto"/>
          <w:spacing w:val="0"/>
          <w:kern w:val="2"/>
          <w:sz w:val="28"/>
          <w:szCs w:val="28"/>
          <w:highlight w:val="none"/>
          <w:lang w:val="zh-CN" w:eastAsia="zh-CN" w:bidi="zh-CN"/>
        </w:rPr>
      </w:pPr>
      <w:bookmarkStart w:id="284" w:name="_Toc17871"/>
      <w:bookmarkStart w:id="285" w:name="_Toc29275"/>
      <w:bookmarkStart w:id="286" w:name="_Toc20805"/>
      <w:bookmarkStart w:id="287" w:name="_Toc21780"/>
      <w:bookmarkStart w:id="288" w:name="_Toc24991"/>
      <w:bookmarkStart w:id="289" w:name="_Toc25516"/>
      <w:bookmarkStart w:id="290" w:name="_Toc3205"/>
      <w:bookmarkStart w:id="291" w:name="_Toc5590"/>
      <w:bookmarkStart w:id="292" w:name="_Toc13491"/>
      <w:bookmarkStart w:id="293" w:name="_Toc19892"/>
      <w:bookmarkStart w:id="294" w:name="_Toc6980"/>
      <w:r>
        <w:rPr>
          <w:rFonts w:hint="eastAsia" w:ascii="宋体" w:hAnsi="宋体" w:eastAsia="宋体" w:cs="宋体"/>
          <w:color w:val="auto"/>
          <w:spacing w:val="0"/>
          <w:kern w:val="2"/>
          <w:sz w:val="28"/>
          <w:szCs w:val="28"/>
          <w:highlight w:val="none"/>
          <w:lang w:val="en-US" w:eastAsia="zh-CN" w:bidi="zh-CN"/>
        </w:rPr>
        <w:t>2023年6月18日-6月28日，公司委托洛阳市达峰环境检测有限公司对厂区及背景点土壤开展监测。根据2023年6月28日出具的《</w:t>
      </w:r>
      <w:bookmarkStart w:id="295" w:name="_Toc31680"/>
      <w:bookmarkStart w:id="296" w:name="_Toc21867"/>
      <w:bookmarkStart w:id="297" w:name="_Toc15197"/>
      <w:r>
        <w:rPr>
          <w:rFonts w:hint="eastAsia" w:ascii="宋体" w:hAnsi="宋体" w:eastAsia="宋体" w:cs="宋体"/>
          <w:color w:val="auto"/>
          <w:spacing w:val="0"/>
          <w:kern w:val="2"/>
          <w:sz w:val="28"/>
          <w:szCs w:val="28"/>
          <w:highlight w:val="none"/>
          <w:lang w:val="en-US" w:eastAsia="zh-CN" w:bidi="zh-CN"/>
        </w:rPr>
        <w:t>河南省中威春雨植物营养有限公司土壤</w:t>
      </w:r>
      <w:bookmarkEnd w:id="295"/>
      <w:r>
        <w:rPr>
          <w:rFonts w:hint="eastAsia" w:ascii="宋体" w:hAnsi="宋体" w:eastAsia="宋体" w:cs="宋体"/>
          <w:color w:val="auto"/>
          <w:spacing w:val="0"/>
          <w:kern w:val="2"/>
          <w:sz w:val="28"/>
          <w:szCs w:val="28"/>
          <w:highlight w:val="none"/>
          <w:lang w:val="en-US" w:eastAsia="zh-CN" w:bidi="zh-CN"/>
        </w:rPr>
        <w:t>检测报告</w:t>
      </w:r>
      <w:bookmarkEnd w:id="296"/>
      <w:bookmarkEnd w:id="297"/>
      <w:r>
        <w:rPr>
          <w:rFonts w:hint="eastAsia" w:ascii="宋体" w:hAnsi="宋体" w:eastAsia="宋体" w:cs="宋体"/>
          <w:color w:val="auto"/>
          <w:spacing w:val="0"/>
          <w:kern w:val="2"/>
          <w:sz w:val="28"/>
          <w:szCs w:val="28"/>
          <w:highlight w:val="none"/>
          <w:lang w:val="en-US" w:eastAsia="zh-CN" w:bidi="zh-CN"/>
        </w:rPr>
        <w:t>》（报告编号：DFJC-011-06-2023），报告中结合企业厂区生产设施分布和生产工艺等实际情况，确定土壤监测点位置及数量6个（其中5个监控点，1个背景点）。</w:t>
      </w:r>
    </w:p>
    <w:p>
      <w:pPr>
        <w:keepNext/>
        <w:keepLines/>
        <w:widowControl w:val="0"/>
        <w:numPr>
          <w:ilvl w:val="1"/>
          <w:numId w:val="0"/>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298" w:name="_Toc8567"/>
      <w:r>
        <w:rPr>
          <w:rFonts w:hint="eastAsia" w:ascii="宋体" w:hAnsi="宋体" w:eastAsia="宋体" w:cs="宋体"/>
          <w:b/>
          <w:bCs/>
          <w:kern w:val="2"/>
          <w:sz w:val="28"/>
          <w:szCs w:val="32"/>
          <w:lang w:val="en-US" w:eastAsia="zh-CN" w:bidi="ar-SA"/>
        </w:rPr>
        <w:t>10.2土壤监测结果分析</w:t>
      </w:r>
      <w:bookmarkEnd w:id="284"/>
      <w:bookmarkEnd w:id="285"/>
      <w:bookmarkEnd w:id="286"/>
      <w:bookmarkEnd w:id="287"/>
      <w:bookmarkEnd w:id="288"/>
      <w:bookmarkEnd w:id="289"/>
      <w:bookmarkEnd w:id="290"/>
      <w:bookmarkEnd w:id="291"/>
      <w:bookmarkEnd w:id="292"/>
      <w:bookmarkEnd w:id="293"/>
      <w:bookmarkEnd w:id="294"/>
      <w:bookmarkEnd w:id="298"/>
    </w:p>
    <w:p>
      <w:pPr>
        <w:pStyle w:val="6"/>
        <w:pageBreakBefore w:val="0"/>
        <w:kinsoku/>
        <w:wordWrap/>
        <w:overflowPunct/>
        <w:topLinePunct w:val="0"/>
        <w:bidi w:val="0"/>
        <w:spacing w:line="360" w:lineRule="auto"/>
        <w:ind w:left="0" w:leftChars="0" w:right="0" w:firstLine="537"/>
        <w:outlineLvl w:val="9"/>
        <w:rPr>
          <w:rFonts w:hint="eastAsia" w:ascii="宋体" w:hAnsi="宋体" w:eastAsia="宋体" w:cs="宋体"/>
          <w:b/>
          <w:color w:val="auto"/>
          <w:spacing w:val="-32"/>
          <w:sz w:val="28"/>
          <w:szCs w:val="28"/>
          <w:highlight w:val="none"/>
          <w:lang w:val="en-US" w:eastAsia="zh-CN"/>
        </w:rPr>
      </w:pPr>
      <w:bookmarkStart w:id="299" w:name="_Toc28485"/>
      <w:bookmarkStart w:id="300" w:name="_Toc9609"/>
      <w:r>
        <w:rPr>
          <w:rFonts w:hint="eastAsia" w:ascii="宋体" w:hAnsi="宋体" w:eastAsia="宋体" w:cs="宋体"/>
          <w:color w:val="auto"/>
          <w:spacing w:val="0"/>
          <w:sz w:val="28"/>
          <w:szCs w:val="28"/>
          <w:highlight w:val="none"/>
        </w:rPr>
        <w:t>对所采集的土壤样品监测数据进行汇总、统计、分析，分析结果对比《土壤环境质量建设用地土壤污染风险管控标准》（试行）（GB36600-2018）标准，《土壤环境质量农用地土壤污染风险管控标准》（试行）（GB</w:t>
      </w:r>
      <w:r>
        <w:rPr>
          <w:rFonts w:hint="eastAsia" w:ascii="宋体" w:hAnsi="宋体" w:eastAsia="宋体" w:cs="宋体"/>
          <w:color w:val="auto"/>
          <w:spacing w:val="0"/>
          <w:sz w:val="28"/>
          <w:szCs w:val="28"/>
          <w:highlight w:val="none"/>
          <w:lang w:val="en-US"/>
        </w:rPr>
        <w:t>15618</w:t>
      </w:r>
      <w:r>
        <w:rPr>
          <w:rFonts w:hint="eastAsia" w:ascii="宋体" w:hAnsi="宋体" w:eastAsia="宋体" w:cs="宋体"/>
          <w:color w:val="auto"/>
          <w:spacing w:val="0"/>
          <w:sz w:val="28"/>
          <w:szCs w:val="28"/>
          <w:highlight w:val="none"/>
        </w:rPr>
        <w:t>-2018）标准，</w:t>
      </w:r>
      <w:r>
        <w:rPr>
          <w:rFonts w:hint="eastAsia" w:ascii="宋体" w:hAnsi="宋体" w:eastAsia="宋体" w:cs="宋体"/>
          <w:color w:val="auto"/>
          <w:spacing w:val="0"/>
          <w:sz w:val="28"/>
          <w:szCs w:val="28"/>
          <w:highlight w:val="none"/>
          <w:lang w:eastAsia="zh-CN"/>
        </w:rPr>
        <w:t>以上两项</w:t>
      </w:r>
      <w:r>
        <w:rPr>
          <w:rFonts w:hint="eastAsia" w:ascii="宋体" w:hAnsi="宋体" w:eastAsia="宋体" w:cs="宋体"/>
          <w:color w:val="auto"/>
          <w:spacing w:val="0"/>
          <w:sz w:val="28"/>
          <w:szCs w:val="28"/>
          <w:highlight w:val="none"/>
        </w:rPr>
        <w:t>标准中没有的项目参考《场地土壤环境风险评价筛选值》（北京市地方标准DB11/T811-2011），评价</w:t>
      </w:r>
      <w:r>
        <w:rPr>
          <w:rFonts w:hint="eastAsia" w:cs="宋体"/>
          <w:color w:val="auto"/>
          <w:spacing w:val="0"/>
          <w:sz w:val="28"/>
          <w:szCs w:val="28"/>
          <w:highlight w:val="none"/>
          <w:lang w:eastAsia="zh-CN"/>
        </w:rPr>
        <w:t>河南省中威春雨植物营养有限公司</w:t>
      </w:r>
      <w:r>
        <w:rPr>
          <w:rFonts w:hint="eastAsia" w:ascii="宋体" w:hAnsi="宋体" w:eastAsia="宋体" w:cs="宋体"/>
          <w:color w:val="auto"/>
          <w:spacing w:val="0"/>
          <w:sz w:val="28"/>
          <w:szCs w:val="28"/>
          <w:highlight w:val="none"/>
        </w:rPr>
        <w:t>土壤质量情况符合建设用地的筛选值或管制值，或是超管制值。</w:t>
      </w:r>
    </w:p>
    <w:p>
      <w:pPr>
        <w:keepNext/>
        <w:keepLines/>
        <w:widowControl w:val="0"/>
        <w:numPr>
          <w:ilvl w:val="1"/>
          <w:numId w:val="0"/>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301" w:name="_Toc419"/>
      <w:r>
        <w:rPr>
          <w:rFonts w:hint="eastAsia" w:ascii="宋体" w:hAnsi="宋体" w:eastAsia="宋体" w:cs="宋体"/>
          <w:b/>
          <w:bCs/>
          <w:kern w:val="2"/>
          <w:sz w:val="28"/>
          <w:szCs w:val="32"/>
          <w:lang w:val="en-US" w:eastAsia="zh-CN" w:bidi="ar-SA"/>
        </w:rPr>
        <w:t>10.3自行监测结论</w:t>
      </w:r>
      <w:bookmarkEnd w:id="299"/>
      <w:bookmarkEnd w:id="300"/>
      <w:bookmarkEnd w:id="301"/>
    </w:p>
    <w:p>
      <w:pPr>
        <w:spacing w:line="360" w:lineRule="auto"/>
        <w:ind w:firstLine="560" w:firstLineChars="200"/>
        <w:outlineLvl w:val="9"/>
        <w:rPr>
          <w:rFonts w:hint="eastAsia" w:ascii="宋体" w:hAnsi="宋体" w:eastAsia="宋体" w:cs="宋体"/>
          <w:b w:val="0"/>
          <w:bCs w:val="0"/>
          <w:color w:val="auto"/>
          <w:kern w:val="2"/>
          <w:sz w:val="28"/>
          <w:szCs w:val="24"/>
          <w:highlight w:val="none"/>
          <w:lang w:val="en-US" w:eastAsia="zh-CN" w:bidi="ar-SA"/>
        </w:rPr>
      </w:pPr>
      <w:r>
        <w:rPr>
          <w:rFonts w:hint="eastAsia" w:ascii="宋体" w:hAnsi="宋体" w:eastAsia="宋体" w:cs="宋体"/>
          <w:b w:val="0"/>
          <w:bCs w:val="0"/>
          <w:color w:val="auto"/>
          <w:kern w:val="2"/>
          <w:sz w:val="28"/>
          <w:szCs w:val="24"/>
          <w:highlight w:val="none"/>
          <w:lang w:val="zh-CN" w:eastAsia="zh-CN" w:bidi="ar-SA"/>
        </w:rPr>
        <w:t>河南省中威春雨植物营养有限公司土壤各监测点位</w:t>
      </w:r>
      <w:r>
        <w:rPr>
          <w:rFonts w:hint="eastAsia" w:ascii="宋体" w:hAnsi="宋体" w:eastAsia="宋体" w:cs="宋体"/>
          <w:b w:val="0"/>
          <w:bCs w:val="0"/>
          <w:color w:val="auto"/>
          <w:kern w:val="2"/>
          <w:sz w:val="28"/>
          <w:szCs w:val="24"/>
          <w:highlight w:val="none"/>
          <w:lang w:val="en-US" w:eastAsia="zh-CN" w:bidi="ar-SA"/>
        </w:rPr>
        <w:t>符合《土壤环境质量建设用地土壤污染风险管控标准》（试行）（GB36600-2018）、</w:t>
      </w:r>
      <w:r>
        <w:rPr>
          <w:rFonts w:hint="eastAsia" w:ascii="宋体" w:hAnsi="宋体" w:eastAsia="宋体" w:cs="宋体"/>
          <w:b w:val="0"/>
          <w:bCs w:val="0"/>
          <w:color w:val="auto"/>
          <w:kern w:val="2"/>
          <w:sz w:val="28"/>
          <w:szCs w:val="24"/>
          <w:highlight w:val="none"/>
          <w:lang w:val="zh-CN" w:eastAsia="zh-CN" w:bidi="ar-SA"/>
        </w:rPr>
        <w:t>《土壤环境质量农用地土壤污染风险管控标准》（试行）（GB</w:t>
      </w:r>
      <w:r>
        <w:rPr>
          <w:rFonts w:hint="eastAsia" w:ascii="宋体" w:hAnsi="宋体" w:eastAsia="宋体" w:cs="宋体"/>
          <w:b w:val="0"/>
          <w:bCs w:val="0"/>
          <w:color w:val="auto"/>
          <w:kern w:val="2"/>
          <w:sz w:val="28"/>
          <w:szCs w:val="24"/>
          <w:highlight w:val="none"/>
          <w:lang w:val="en-US" w:eastAsia="zh-CN" w:bidi="ar-SA"/>
        </w:rPr>
        <w:t>15618</w:t>
      </w:r>
      <w:r>
        <w:rPr>
          <w:rFonts w:hint="eastAsia" w:ascii="宋体" w:hAnsi="宋体" w:eastAsia="宋体" w:cs="宋体"/>
          <w:b w:val="0"/>
          <w:bCs w:val="0"/>
          <w:color w:val="auto"/>
          <w:kern w:val="2"/>
          <w:sz w:val="28"/>
          <w:szCs w:val="24"/>
          <w:highlight w:val="none"/>
          <w:lang w:val="zh-CN" w:eastAsia="zh-CN" w:bidi="ar-SA"/>
        </w:rPr>
        <w:t>-2018）标准、《场地土壤环境风险评价筛选值》（北京市地方标准DB11/T811-2011</w:t>
      </w:r>
      <w:r>
        <w:rPr>
          <w:rFonts w:hint="eastAsia" w:ascii="宋体" w:hAnsi="宋体" w:eastAsia="宋体" w:cs="宋体"/>
          <w:b w:val="0"/>
          <w:bCs w:val="0"/>
          <w:color w:val="auto"/>
          <w:kern w:val="2"/>
          <w:sz w:val="28"/>
          <w:szCs w:val="24"/>
          <w:highlight w:val="none"/>
          <w:lang w:val="en-US" w:eastAsia="zh-CN" w:bidi="ar-SA"/>
        </w:rPr>
        <w:t>）等各项标准要求。</w:t>
      </w:r>
    </w:p>
    <w:p>
      <w:pPr>
        <w:keepNext/>
        <w:keepLines/>
        <w:widowControl w:val="0"/>
        <w:numPr>
          <w:ilvl w:val="1"/>
          <w:numId w:val="1"/>
        </w:numPr>
        <w:bidi w:val="0"/>
        <w:spacing w:line="520" w:lineRule="exact"/>
        <w:ind w:firstLine="0" w:firstLineChars="0"/>
        <w:jc w:val="left"/>
        <w:outlineLvl w:val="1"/>
        <w:rPr>
          <w:rFonts w:hint="eastAsia" w:ascii="宋体" w:hAnsi="宋体" w:eastAsia="宋体" w:cs="宋体"/>
          <w:b/>
          <w:bCs/>
          <w:kern w:val="2"/>
          <w:sz w:val="28"/>
          <w:szCs w:val="32"/>
          <w:lang w:val="en-US" w:eastAsia="zh-CN" w:bidi="ar-SA"/>
        </w:rPr>
      </w:pPr>
      <w:bookmarkStart w:id="302" w:name="_Toc3939"/>
      <w:bookmarkStart w:id="303" w:name="_Toc9584"/>
      <w:bookmarkStart w:id="304" w:name="_Toc29228"/>
      <w:r>
        <w:rPr>
          <w:rFonts w:hint="eastAsia" w:ascii="宋体" w:hAnsi="宋体" w:eastAsia="宋体" w:cs="宋体"/>
          <w:b/>
          <w:bCs/>
          <w:kern w:val="2"/>
          <w:sz w:val="28"/>
          <w:szCs w:val="32"/>
          <w:lang w:val="en-US" w:eastAsia="zh-CN" w:bidi="ar-SA"/>
        </w:rPr>
        <w:t>10.4拟采取的主要措施</w:t>
      </w:r>
      <w:bookmarkEnd w:id="302"/>
      <w:bookmarkEnd w:id="303"/>
      <w:bookmarkEnd w:id="304"/>
    </w:p>
    <w:p>
      <w:pPr>
        <w:pStyle w:val="40"/>
        <w:widowControl w:val="0"/>
        <w:tabs>
          <w:tab w:val="left" w:pos="1486"/>
        </w:tabs>
        <w:spacing w:line="520" w:lineRule="exact"/>
        <w:ind w:left="0" w:firstLine="560" w:firstLineChars="200"/>
        <w:jc w:val="left"/>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w:t>
      </w:r>
      <w:r>
        <w:rPr>
          <w:rFonts w:hint="eastAsia" w:ascii="宋体" w:hAnsi="宋体" w:eastAsia="宋体" w:cs="宋体"/>
          <w:color w:val="auto"/>
          <w:kern w:val="2"/>
          <w:sz w:val="28"/>
          <w:szCs w:val="28"/>
          <w:lang w:val="en-US"/>
        </w:rPr>
        <w:t>1</w:t>
      </w:r>
      <w:r>
        <w:rPr>
          <w:rFonts w:hint="eastAsia" w:ascii="宋体" w:hAnsi="宋体" w:eastAsia="宋体" w:cs="宋体"/>
          <w:color w:val="auto"/>
          <w:kern w:val="2"/>
          <w:sz w:val="28"/>
          <w:szCs w:val="28"/>
        </w:rPr>
        <w:t>）加强日常生产管理，加强各设备、设施的巡检及维护保养，避免跑、冒、滴、漏现象；</w:t>
      </w:r>
    </w:p>
    <w:p>
      <w:pPr>
        <w:pStyle w:val="40"/>
        <w:widowControl w:val="0"/>
        <w:tabs>
          <w:tab w:val="left" w:pos="1486"/>
        </w:tabs>
        <w:spacing w:line="520" w:lineRule="exact"/>
        <w:ind w:left="0" w:firstLine="560" w:firstLineChars="200"/>
        <w:jc w:val="left"/>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w:t>
      </w:r>
      <w:r>
        <w:rPr>
          <w:rFonts w:hint="eastAsia" w:ascii="宋体" w:hAnsi="宋体" w:eastAsia="宋体" w:cs="宋体"/>
          <w:color w:val="auto"/>
          <w:kern w:val="2"/>
          <w:sz w:val="28"/>
          <w:szCs w:val="28"/>
          <w:lang w:val="en-US"/>
        </w:rPr>
        <w:t>2</w:t>
      </w:r>
      <w:r>
        <w:rPr>
          <w:rFonts w:hint="eastAsia" w:ascii="宋体" w:hAnsi="宋体" w:eastAsia="宋体" w:cs="宋体"/>
          <w:color w:val="auto"/>
          <w:kern w:val="2"/>
          <w:sz w:val="28"/>
          <w:szCs w:val="28"/>
        </w:rPr>
        <w:t>）加强环保设施的维护，确保各类污染物长期稳定达标排放，减少大气尘降对厂区土壤的影响；</w:t>
      </w:r>
    </w:p>
    <w:p>
      <w:pPr>
        <w:pStyle w:val="40"/>
        <w:widowControl w:val="0"/>
        <w:tabs>
          <w:tab w:val="left" w:pos="1486"/>
        </w:tabs>
        <w:spacing w:line="520" w:lineRule="exact"/>
        <w:ind w:left="0" w:firstLine="560" w:firstLineChars="200"/>
        <w:jc w:val="left"/>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w:t>
      </w:r>
      <w:r>
        <w:rPr>
          <w:rFonts w:hint="eastAsia" w:ascii="宋体" w:hAnsi="宋体" w:eastAsia="宋体" w:cs="宋体"/>
          <w:color w:val="auto"/>
          <w:kern w:val="2"/>
          <w:sz w:val="28"/>
          <w:szCs w:val="28"/>
          <w:lang w:val="en-US"/>
        </w:rPr>
        <w:t>3</w:t>
      </w:r>
      <w:r>
        <w:rPr>
          <w:rFonts w:hint="eastAsia" w:ascii="宋体" w:hAnsi="宋体" w:eastAsia="宋体" w:cs="宋体"/>
          <w:color w:val="auto"/>
          <w:kern w:val="2"/>
          <w:sz w:val="28"/>
          <w:szCs w:val="28"/>
        </w:rPr>
        <w:t>）各原料堆场封闭运行，加强转运管理，避免转运过程中的扬撒、尘降</w:t>
      </w:r>
      <w:r>
        <w:rPr>
          <w:rFonts w:hint="eastAsia" w:ascii="宋体" w:hAnsi="宋体" w:eastAsia="宋体" w:cs="宋体"/>
          <w:color w:val="auto"/>
          <w:kern w:val="2"/>
          <w:sz w:val="28"/>
          <w:szCs w:val="28"/>
          <w:lang w:eastAsia="zh-CN"/>
        </w:rPr>
        <w:t>，</w:t>
      </w:r>
      <w:r>
        <w:rPr>
          <w:rFonts w:hint="eastAsia" w:ascii="宋体" w:hAnsi="宋体" w:eastAsia="宋体" w:cs="宋体"/>
          <w:color w:val="auto"/>
          <w:kern w:val="2"/>
          <w:sz w:val="28"/>
          <w:szCs w:val="28"/>
        </w:rPr>
        <w:t>发现扬撒，及时清理；</w:t>
      </w:r>
    </w:p>
    <w:p>
      <w:pPr>
        <w:pStyle w:val="40"/>
        <w:widowControl w:val="0"/>
        <w:tabs>
          <w:tab w:val="left" w:pos="1486"/>
        </w:tabs>
        <w:spacing w:line="520" w:lineRule="exact"/>
        <w:ind w:left="0" w:firstLine="560" w:firstLineChars="200"/>
        <w:jc w:val="both"/>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w:t>
      </w:r>
      <w:r>
        <w:rPr>
          <w:rFonts w:hint="eastAsia" w:ascii="宋体" w:hAnsi="宋体" w:eastAsia="宋体" w:cs="宋体"/>
          <w:color w:val="auto"/>
          <w:kern w:val="2"/>
          <w:sz w:val="28"/>
          <w:szCs w:val="28"/>
          <w:lang w:val="en-US"/>
        </w:rPr>
        <w:t>4</w:t>
      </w:r>
      <w:r>
        <w:rPr>
          <w:rFonts w:hint="eastAsia" w:ascii="宋体" w:hAnsi="宋体" w:eastAsia="宋体" w:cs="宋体"/>
          <w:color w:val="auto"/>
          <w:kern w:val="2"/>
          <w:sz w:val="28"/>
          <w:szCs w:val="28"/>
        </w:rPr>
        <w:t>）注意日常土壤污染隐患排查工作，巡检及排查过程中发现问题及时处理，注意厂区硬化及防渗措施的情况，发现裂痕或泄漏及时修补处理。</w:t>
      </w:r>
    </w:p>
    <w:p>
      <w:pPr>
        <w:pStyle w:val="40"/>
        <w:tabs>
          <w:tab w:val="left" w:pos="1486"/>
        </w:tabs>
        <w:spacing w:line="520" w:lineRule="exact"/>
        <w:ind w:left="0" w:firstLine="560" w:firstLineChars="200"/>
        <w:jc w:val="left"/>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t>（</w:t>
      </w:r>
      <w:r>
        <w:rPr>
          <w:rFonts w:hint="eastAsia" w:ascii="宋体" w:hAnsi="宋体" w:eastAsia="宋体" w:cs="宋体"/>
          <w:color w:val="auto"/>
          <w:kern w:val="2"/>
          <w:sz w:val="28"/>
          <w:szCs w:val="28"/>
          <w:lang w:val="en-US"/>
        </w:rPr>
        <w:t>5</w:t>
      </w:r>
      <w:r>
        <w:rPr>
          <w:rFonts w:hint="eastAsia" w:ascii="宋体" w:hAnsi="宋体" w:eastAsia="宋体" w:cs="宋体"/>
          <w:color w:val="auto"/>
          <w:kern w:val="2"/>
          <w:sz w:val="28"/>
          <w:szCs w:val="28"/>
        </w:rPr>
        <w:t>）定期依计划进行土壤自行监测工作，分析监测结果及数据趋势，及时根据监测数据制定相应的制度措施。</w:t>
      </w:r>
    </w:p>
    <w:p>
      <w:pPr>
        <w:rPr>
          <w:rFonts w:hint="eastAsia" w:ascii="宋体" w:hAnsi="宋体" w:eastAsia="宋体" w:cs="宋体"/>
          <w:color w:val="auto"/>
          <w:kern w:val="2"/>
          <w:sz w:val="28"/>
          <w:szCs w:val="28"/>
        </w:rPr>
      </w:pPr>
      <w:r>
        <w:rPr>
          <w:rFonts w:hint="eastAsia" w:ascii="宋体" w:hAnsi="宋体" w:eastAsia="宋体" w:cs="宋体"/>
          <w:color w:val="auto"/>
          <w:kern w:val="2"/>
          <w:sz w:val="28"/>
          <w:szCs w:val="28"/>
        </w:rPr>
        <w:br w:type="page"/>
      </w: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kern w:val="2"/>
          <w:sz w:val="28"/>
          <w:szCs w:val="28"/>
        </w:rPr>
        <w:sectPr>
          <w:footerReference r:id="rId11" w:type="default"/>
          <w:pgSz w:w="11905" w:h="16838"/>
          <w:pgMar w:top="1701" w:right="1587" w:bottom="1701" w:left="1587" w:header="1077" w:footer="1134" w:gutter="0"/>
          <w:pgBorders>
            <w:top w:val="none" w:sz="0" w:space="0"/>
            <w:left w:val="none" w:sz="0" w:space="0"/>
            <w:bottom w:val="none" w:sz="0" w:space="0"/>
            <w:right w:val="none" w:sz="0" w:space="0"/>
          </w:pgBorders>
          <w:pgNumType w:fmt="decimal"/>
          <w:cols w:space="0" w:num="1"/>
          <w:rtlGutter w:val="0"/>
          <w:docGrid w:type="lines" w:linePitch="407" w:charSpace="0"/>
        </w:sect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65408" behindDoc="0" locked="0" layoutInCell="1" allowOverlap="1">
            <wp:simplePos x="0" y="0"/>
            <wp:positionH relativeFrom="column">
              <wp:posOffset>7477760</wp:posOffset>
            </wp:positionH>
            <wp:positionV relativeFrom="paragraph">
              <wp:posOffset>138430</wp:posOffset>
            </wp:positionV>
            <wp:extent cx="790575" cy="676275"/>
            <wp:effectExtent l="0" t="0" r="9525" b="9525"/>
            <wp:wrapNone/>
            <wp:docPr id="1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2"/>
                    <pic:cNvPicPr>
                      <a:picLocks noChangeAspect="1"/>
                    </pic:cNvPicPr>
                  </pic:nvPicPr>
                  <pic:blipFill>
                    <a:blip r:embed="rId28"/>
                    <a:stretch>
                      <a:fillRect/>
                    </a:stretch>
                  </pic:blipFill>
                  <pic:spPr>
                    <a:xfrm>
                      <a:off x="0" y="0"/>
                      <a:ext cx="790575" cy="676275"/>
                    </a:xfrm>
                    <a:prstGeom prst="rect">
                      <a:avLst/>
                    </a:prstGeom>
                    <a:noFill/>
                    <a:ln>
                      <a:noFill/>
                    </a:ln>
                  </pic:spPr>
                </pic:pic>
              </a:graphicData>
            </a:graphic>
          </wp:anchor>
        </w:drawing>
      </w:r>
      <w:r>
        <w:rPr>
          <w:rFonts w:hint="eastAsia" w:ascii="宋体" w:hAnsi="宋体" w:eastAsia="宋体" w:cs="宋体"/>
          <w:color w:val="auto"/>
          <w:highlight w:val="none"/>
        </w:rPr>
        <w:drawing>
          <wp:anchor distT="0" distB="0" distL="114300" distR="114300" simplePos="0" relativeHeight="251662336" behindDoc="0" locked="0" layoutInCell="1" allowOverlap="1">
            <wp:simplePos x="0" y="0"/>
            <wp:positionH relativeFrom="column">
              <wp:posOffset>-52705</wp:posOffset>
            </wp:positionH>
            <wp:positionV relativeFrom="paragraph">
              <wp:posOffset>66675</wp:posOffset>
            </wp:positionV>
            <wp:extent cx="8758555" cy="4846955"/>
            <wp:effectExtent l="25400" t="25400" r="29845" b="29845"/>
            <wp:wrapNone/>
            <wp:docPr id="20" name="图片 1" descr="C:\Documents and Settings\Administrator\桌面\陕县行政区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C:\Documents and Settings\Administrator\桌面\陕县行政区划图.jpg"/>
                    <pic:cNvPicPr>
                      <a:picLocks noChangeAspect="1"/>
                    </pic:cNvPicPr>
                  </pic:nvPicPr>
                  <pic:blipFill>
                    <a:blip r:embed="rId29"/>
                    <a:stretch>
                      <a:fillRect/>
                    </a:stretch>
                  </pic:blipFill>
                  <pic:spPr>
                    <a:xfrm>
                      <a:off x="0" y="0"/>
                      <a:ext cx="8758555" cy="4846955"/>
                    </a:xfrm>
                    <a:prstGeom prst="rect">
                      <a:avLst/>
                    </a:prstGeom>
                    <a:noFill/>
                    <a:ln w="25400" cap="flat" cmpd="sng">
                      <a:solidFill>
                        <a:srgbClr val="000000"/>
                      </a:solidFill>
                      <a:prstDash val="solid"/>
                      <a:miter/>
                      <a:headEnd type="none" w="med" len="med"/>
                      <a:tailEnd type="none" w="med" len="med"/>
                    </a:ln>
                  </pic:spPr>
                </pic:pic>
              </a:graphicData>
            </a:graphic>
          </wp:anchor>
        </w:drawing>
      </w:r>
      <w:r>
        <w:rPr>
          <w:rFonts w:hint="eastAsia" w:ascii="宋体" w:hAnsi="宋体" w:eastAsia="宋体" w:cs="宋体"/>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7202170</wp:posOffset>
                </wp:positionH>
                <wp:positionV relativeFrom="paragraph">
                  <wp:posOffset>3204845</wp:posOffset>
                </wp:positionV>
                <wp:extent cx="1211580" cy="556260"/>
                <wp:effectExtent l="796290" t="1075690" r="11430" b="6350"/>
                <wp:wrapNone/>
                <wp:docPr id="21" name="圆角矩形标注 21"/>
                <wp:cNvGraphicFramePr/>
                <a:graphic xmlns:a="http://schemas.openxmlformats.org/drawingml/2006/main">
                  <a:graphicData uri="http://schemas.microsoft.com/office/word/2010/wordprocessingShape">
                    <wps:wsp>
                      <wps:cNvSpPr/>
                      <wps:spPr>
                        <a:xfrm>
                          <a:off x="0" y="0"/>
                          <a:ext cx="1211580" cy="556260"/>
                        </a:xfrm>
                        <a:prstGeom prst="wedgeRoundRectCallout">
                          <a:avLst>
                            <a:gd name="adj1" fmla="val -113292"/>
                            <a:gd name="adj2" fmla="val -238435"/>
                            <a:gd name="adj3" fmla="val 16667"/>
                          </a:avLst>
                        </a:prstGeom>
                        <a:solidFill>
                          <a:srgbClr val="FFFFFF"/>
                        </a:solidFill>
                        <a:ln w="9525" cap="flat" cmpd="sng">
                          <a:solidFill>
                            <a:srgbClr val="FF00FF"/>
                          </a:solidFill>
                          <a:prstDash val="solid"/>
                          <a:miter/>
                          <a:headEnd type="none" w="med" len="med"/>
                          <a:tailEnd type="none" w="med" len="med"/>
                        </a:ln>
                      </wps:spPr>
                      <wps:txbx>
                        <w:txbxContent>
                          <w:p>
                            <w:pPr>
                              <w:ind w:left="0" w:leftChars="0" w:firstLine="0" w:firstLineChars="0"/>
                              <w:rPr>
                                <w:b/>
                                <w:bCs/>
                                <w:color w:val="002060"/>
                              </w:rPr>
                            </w:pPr>
                            <w:r>
                              <w:rPr>
                                <w:rFonts w:hint="eastAsia" w:cs="宋体"/>
                                <w:b/>
                                <w:bCs/>
                                <w:color w:val="002060"/>
                              </w:rPr>
                              <w:t>本项目厂址</w:t>
                            </w:r>
                          </w:p>
                        </w:txbxContent>
                      </wps:txbx>
                      <wps:bodyPr upright="1"/>
                    </wps:wsp>
                  </a:graphicData>
                </a:graphic>
              </wp:anchor>
            </w:drawing>
          </mc:Choice>
          <mc:Fallback>
            <w:pict>
              <v:shape id="_x0000_s1026" o:spid="_x0000_s1026" o:spt="62" type="#_x0000_t62" style="position:absolute;left:0pt;margin-left:567.1pt;margin-top:252.35pt;height:43.8pt;width:95.4pt;z-index:251664384;mso-width-relative:page;mso-height-relative:page;" fillcolor="#FFFFFF" filled="t" stroked="t" coordsize="21600,21600" o:gfxdata="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kUGSE2wAA&#10;AA0BAAAPAAAAAAAAAAEAIAAAACIAAABkcnMvZG93bnJldi54bWxQSwECFAAUAAAACACHTuJAnq7/&#10;O1QCAADBBAAADgAAAAAAAAABACAAAAAqAQAAZHJzL2Uyb0RvYy54bWxQSwUGAAAAAAYABgBZAQAA&#10;8AUAAAAA&#10;" adj="-13671,-40702,14400">
                <v:fill on="t" focussize="0,0"/>
                <v:stroke color="#FF00FF" joinstyle="miter"/>
                <v:imagedata o:title=""/>
                <o:lock v:ext="edit" aspectratio="f"/>
                <v:textbox>
                  <w:txbxContent>
                    <w:p>
                      <w:pPr>
                        <w:ind w:left="0" w:leftChars="0" w:firstLine="0" w:firstLineChars="0"/>
                        <w:rPr>
                          <w:b/>
                          <w:bCs/>
                          <w:color w:val="002060"/>
                        </w:rPr>
                      </w:pPr>
                      <w:r>
                        <w:rPr>
                          <w:rFonts w:hint="eastAsia" w:cs="宋体"/>
                          <w:b/>
                          <w:bCs/>
                          <w:color w:val="002060"/>
                        </w:rPr>
                        <w:t>本项目厂址</w:t>
                      </w:r>
                    </w:p>
                  </w:txbxContent>
                </v:textbox>
              </v:shape>
            </w:pict>
          </mc:Fallback>
        </mc:AlternateContent>
      </w: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p>
    <w:p>
      <w:pPr>
        <w:pageBreakBefore w:val="0"/>
        <w:kinsoku/>
        <w:wordWrap/>
        <w:overflowPunct/>
        <w:topLinePunct w:val="0"/>
        <w:bidi w:val="0"/>
        <w:spacing w:line="240" w:lineRule="auto"/>
        <w:ind w:left="0" w:leftChars="0" w:right="0" w:firstLine="0" w:firstLineChars="0"/>
        <w:jc w:val="both"/>
        <w:outlineLvl w:val="9"/>
        <w:rPr>
          <w:rFonts w:hint="eastAsia" w:ascii="宋体" w:hAnsi="宋体" w:eastAsia="宋体" w:cs="宋体"/>
          <w:color w:val="auto"/>
          <w:highlight w:val="none"/>
        </w:rPr>
      </w:pPr>
      <w:r>
        <w:rPr>
          <w:rFonts w:hint="eastAsia" w:ascii="宋体" w:hAnsi="宋体" w:eastAsia="宋体" w:cs="宋体"/>
          <w:color w:val="auto"/>
          <w:highlight w:val="none"/>
        </w:rPr>
        <w:drawing>
          <wp:anchor distT="0" distB="0" distL="114300" distR="114300" simplePos="0" relativeHeight="251661312" behindDoc="0" locked="0" layoutInCell="1" allowOverlap="1">
            <wp:simplePos x="0" y="0"/>
            <wp:positionH relativeFrom="column">
              <wp:posOffset>7525385</wp:posOffset>
            </wp:positionH>
            <wp:positionV relativeFrom="paragraph">
              <wp:posOffset>-2945130</wp:posOffset>
            </wp:positionV>
            <wp:extent cx="790575" cy="676275"/>
            <wp:effectExtent l="0" t="0" r="9525" b="9525"/>
            <wp:wrapNone/>
            <wp:docPr id="7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2"/>
                    <pic:cNvPicPr>
                      <a:picLocks noChangeAspect="1"/>
                    </pic:cNvPicPr>
                  </pic:nvPicPr>
                  <pic:blipFill>
                    <a:blip r:embed="rId28"/>
                    <a:stretch>
                      <a:fillRect/>
                    </a:stretch>
                  </pic:blipFill>
                  <pic:spPr>
                    <a:xfrm>
                      <a:off x="0" y="0"/>
                      <a:ext cx="790575" cy="676275"/>
                    </a:xfrm>
                    <a:prstGeom prst="rect">
                      <a:avLst/>
                    </a:prstGeom>
                    <a:noFill/>
                    <a:ln>
                      <a:noFill/>
                    </a:ln>
                  </pic:spPr>
                </pic:pic>
              </a:graphicData>
            </a:graphic>
          </wp:anchor>
        </w:drawing>
      </w:r>
    </w:p>
    <w:p>
      <w:pPr>
        <w:pageBreakBefore w:val="0"/>
        <w:kinsoku/>
        <w:wordWrap/>
        <w:overflowPunct/>
        <w:topLinePunct w:val="0"/>
        <w:bidi w:val="0"/>
        <w:spacing w:line="240" w:lineRule="auto"/>
        <w:ind w:right="0"/>
        <w:jc w:val="center"/>
        <w:outlineLvl w:val="0"/>
        <w:rPr>
          <w:rFonts w:hint="default" w:ascii="宋体" w:hAnsi="宋体" w:eastAsia="宋体" w:cs="宋体"/>
          <w:b/>
          <w:bCs/>
          <w:color w:val="auto"/>
          <w:sz w:val="24"/>
          <w:szCs w:val="32"/>
          <w:highlight w:val="none"/>
          <w:u w:val="none"/>
          <w:lang w:val="en-US" w:eastAsia="zh-CN"/>
        </w:rPr>
      </w:pPr>
      <w:bookmarkStart w:id="305" w:name="_Toc6344"/>
      <w:bookmarkStart w:id="306" w:name="_Toc29097"/>
      <w:r>
        <w:rPr>
          <w:rFonts w:hint="eastAsia" w:ascii="宋体" w:hAnsi="宋体" w:eastAsia="宋体" w:cs="宋体"/>
          <w:b/>
          <w:bCs/>
          <w:color w:val="auto"/>
          <w:sz w:val="24"/>
          <w:szCs w:val="32"/>
          <w:highlight w:val="none"/>
          <w:lang w:val="en-US" w:eastAsia="zh-CN"/>
        </w:rPr>
        <w:t>附</w:t>
      </w:r>
      <w:r>
        <w:rPr>
          <w:rFonts w:hint="eastAsia" w:ascii="宋体" w:hAnsi="宋体" w:eastAsia="宋体" w:cs="宋体"/>
          <w:b/>
          <w:bCs/>
          <w:color w:val="auto"/>
          <w:sz w:val="24"/>
          <w:szCs w:val="32"/>
          <w:highlight w:val="none"/>
          <w:u w:val="none"/>
          <w:lang w:val="en-US" w:eastAsia="zh-CN"/>
        </w:rPr>
        <w:t>图1 企业地理位置图</w:t>
      </w:r>
      <w:bookmarkEnd w:id="305"/>
    </w:p>
    <w:p>
      <w:pPr>
        <w:pStyle w:val="17"/>
        <w:ind w:left="0" w:leftChars="0" w:firstLine="0" w:firstLineChars="0"/>
        <w:rPr>
          <w:rFonts w:hint="eastAsia"/>
        </w:rPr>
        <w:sectPr>
          <w:pgSz w:w="16838" w:h="11905" w:orient="landscape"/>
          <w:pgMar w:top="1587" w:right="1701" w:bottom="1587" w:left="1701" w:header="1077" w:footer="1134" w:gutter="0"/>
          <w:pgBorders>
            <w:top w:val="none" w:sz="0" w:space="0"/>
            <w:left w:val="none" w:sz="0" w:space="0"/>
            <w:bottom w:val="none" w:sz="0" w:space="0"/>
            <w:right w:val="none" w:sz="0" w:space="0"/>
          </w:pgBorders>
          <w:pgNumType w:fmt="decimal"/>
          <w:cols w:space="0" w:num="1"/>
          <w:rtlGutter w:val="0"/>
          <w:docGrid w:type="lines" w:linePitch="415" w:charSpace="0"/>
        </w:sectPr>
      </w:pPr>
    </w:p>
    <w:p>
      <w:pPr>
        <w:pageBreakBefore w:val="0"/>
        <w:kinsoku/>
        <w:wordWrap/>
        <w:overflowPunct/>
        <w:topLinePunct w:val="0"/>
        <w:bidi w:val="0"/>
        <w:spacing w:line="240" w:lineRule="auto"/>
        <w:ind w:left="0" w:leftChars="0" w:right="0" w:firstLine="0" w:firstLineChars="0"/>
        <w:jc w:val="center"/>
        <w:outlineLvl w:val="9"/>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888990" cy="7982585"/>
            <wp:effectExtent l="0" t="0" r="3810" b="571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30"/>
                    <a:stretch>
                      <a:fillRect/>
                    </a:stretch>
                  </pic:blipFill>
                  <pic:spPr>
                    <a:xfrm>
                      <a:off x="0" y="0"/>
                      <a:ext cx="5888990" cy="7982585"/>
                    </a:xfrm>
                    <a:prstGeom prst="rect">
                      <a:avLst/>
                    </a:prstGeom>
                    <a:noFill/>
                    <a:ln>
                      <a:noFill/>
                    </a:ln>
                  </pic:spPr>
                </pic:pic>
              </a:graphicData>
            </a:graphic>
          </wp:inline>
        </w:drawing>
      </w:r>
    </w:p>
    <w:p>
      <w:pPr>
        <w:pageBreakBefore w:val="0"/>
        <w:kinsoku/>
        <w:wordWrap/>
        <w:overflowPunct/>
        <w:topLinePunct w:val="0"/>
        <w:bidi w:val="0"/>
        <w:spacing w:line="240" w:lineRule="auto"/>
        <w:ind w:left="0" w:leftChars="0" w:right="0" w:firstLine="0" w:firstLineChars="0"/>
        <w:jc w:val="center"/>
        <w:outlineLvl w:val="0"/>
        <w:rPr>
          <w:rFonts w:hint="eastAsia" w:ascii="宋体" w:hAnsi="宋体" w:eastAsia="宋体" w:cs="宋体"/>
          <w:b/>
          <w:bCs/>
          <w:color w:val="auto"/>
          <w:sz w:val="24"/>
          <w:szCs w:val="32"/>
          <w:highlight w:val="none"/>
          <w:u w:val="none"/>
          <w:lang w:val="en-US" w:eastAsia="zh-CN"/>
        </w:rPr>
      </w:pPr>
      <w:bookmarkStart w:id="307" w:name="_Toc2949"/>
      <w:bookmarkStart w:id="308" w:name="_Toc28566"/>
      <w:bookmarkStart w:id="309" w:name="_Toc2669"/>
      <w:bookmarkStart w:id="310" w:name="_Toc20606"/>
      <w:r>
        <w:rPr>
          <w:rFonts w:hint="eastAsia" w:ascii="宋体" w:hAnsi="宋体" w:eastAsia="宋体" w:cs="宋体"/>
          <w:b/>
          <w:bCs/>
          <w:color w:val="auto"/>
          <w:sz w:val="24"/>
          <w:szCs w:val="32"/>
          <w:highlight w:val="none"/>
          <w:lang w:val="en-US" w:eastAsia="zh-CN"/>
        </w:rPr>
        <w:t>附</w:t>
      </w:r>
      <w:r>
        <w:rPr>
          <w:rFonts w:hint="eastAsia" w:ascii="宋体" w:hAnsi="宋体" w:eastAsia="宋体" w:cs="宋体"/>
          <w:b/>
          <w:bCs/>
          <w:color w:val="auto"/>
          <w:sz w:val="24"/>
          <w:szCs w:val="32"/>
          <w:highlight w:val="none"/>
          <w:u w:val="none"/>
          <w:lang w:val="en-US" w:eastAsia="zh-CN"/>
        </w:rPr>
        <w:t>图2三门峡市土壤污染类型</w:t>
      </w:r>
      <w:bookmarkEnd w:id="307"/>
      <w:bookmarkEnd w:id="308"/>
      <w:bookmarkEnd w:id="309"/>
      <w:bookmarkEnd w:id="310"/>
    </w:p>
    <w:p>
      <w:pPr>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br w:type="page"/>
      </w:r>
    </w:p>
    <w:p>
      <w:pPr>
        <w:pageBreakBefore w:val="0"/>
        <w:kinsoku/>
        <w:wordWrap/>
        <w:overflowPunct/>
        <w:topLinePunct w:val="0"/>
        <w:bidi w:val="0"/>
        <w:spacing w:line="240" w:lineRule="auto"/>
        <w:ind w:left="0" w:leftChars="0" w:right="0" w:firstLine="0" w:firstLineChars="0"/>
        <w:jc w:val="center"/>
        <w:outlineLvl w:val="9"/>
        <w:rPr>
          <w:rFonts w:hint="eastAsia" w:ascii="宋体" w:hAnsi="宋体" w:eastAsia="宋体" w:cs="宋体"/>
          <w:b/>
          <w:bCs/>
          <w:color w:val="auto"/>
          <w:highlight w:val="none"/>
          <w:u w:val="none"/>
          <w:lang w:val="en-US" w:eastAsia="zh-CN"/>
        </w:rPr>
        <w:sectPr>
          <w:pgSz w:w="11905" w:h="16838"/>
          <w:pgMar w:top="1644" w:right="1587" w:bottom="1701" w:left="1587" w:header="1077" w:footer="1134" w:gutter="0"/>
          <w:pgBorders>
            <w:top w:val="none" w:sz="0" w:space="0"/>
            <w:left w:val="none" w:sz="0" w:space="0"/>
            <w:bottom w:val="none" w:sz="0" w:space="0"/>
            <w:right w:val="none" w:sz="0" w:space="0"/>
          </w:pgBorders>
          <w:pgNumType w:fmt="decimal"/>
          <w:cols w:space="0" w:num="1"/>
          <w:rtlGutter w:val="0"/>
          <w:docGrid w:type="lines" w:linePitch="415" w:charSpace="0"/>
        </w:sectPr>
      </w:pPr>
      <w:bookmarkStart w:id="311" w:name="_Toc25551"/>
    </w:p>
    <w:p>
      <w:pPr>
        <w:pageBreakBefore w:val="0"/>
        <w:kinsoku/>
        <w:wordWrap/>
        <w:overflowPunct/>
        <w:topLinePunct w:val="0"/>
        <w:bidi w:val="0"/>
        <w:spacing w:line="240" w:lineRule="auto"/>
        <w:ind w:left="0" w:leftChars="0" w:right="0" w:firstLine="0" w:firstLineChars="0"/>
        <w:jc w:val="center"/>
        <w:outlineLvl w:val="9"/>
        <w:rPr>
          <w:rFonts w:hint="eastAsia" w:ascii="宋体" w:hAnsi="宋体" w:eastAsia="宋体" w:cs="宋体"/>
          <w:b/>
          <w:bCs/>
          <w:color w:val="auto"/>
          <w:highlight w:val="none"/>
          <w:u w:val="none"/>
          <w:lang w:val="en-US" w:eastAsia="zh-CN"/>
        </w:rPr>
      </w:pPr>
      <w:r>
        <w:rPr>
          <w:rFonts w:hint="eastAsia" w:ascii="宋体" w:hAnsi="宋体" w:eastAsia="宋体" w:cs="宋体"/>
          <w:color w:val="auto"/>
          <w:spacing w:val="0"/>
          <w:highlight w:val="none"/>
          <w:u w:val="none"/>
          <w:lang w:eastAsia="zh-CN"/>
        </w:rPr>
        <w:drawing>
          <wp:inline distT="0" distB="0" distL="114300" distR="114300">
            <wp:extent cx="6325870" cy="8039735"/>
            <wp:effectExtent l="0" t="0" r="11430" b="12065"/>
            <wp:docPr id="17" name="图片 17" descr="05-中威监测方案及点位图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5-中威监测方案及点位图_02"/>
                    <pic:cNvPicPr>
                      <a:picLocks noChangeAspect="1"/>
                    </pic:cNvPicPr>
                  </pic:nvPicPr>
                  <pic:blipFill>
                    <a:blip r:embed="rId31"/>
                    <a:stretch>
                      <a:fillRect/>
                    </a:stretch>
                  </pic:blipFill>
                  <pic:spPr>
                    <a:xfrm>
                      <a:off x="0" y="0"/>
                      <a:ext cx="6325870" cy="8039735"/>
                    </a:xfrm>
                    <a:prstGeom prst="rect">
                      <a:avLst/>
                    </a:prstGeom>
                  </pic:spPr>
                </pic:pic>
              </a:graphicData>
            </a:graphic>
          </wp:inline>
        </w:drawing>
      </w:r>
    </w:p>
    <w:p>
      <w:pPr>
        <w:pageBreakBefore w:val="0"/>
        <w:kinsoku/>
        <w:wordWrap/>
        <w:overflowPunct/>
        <w:topLinePunct w:val="0"/>
        <w:bidi w:val="0"/>
        <w:spacing w:line="240" w:lineRule="auto"/>
        <w:ind w:left="0" w:leftChars="0" w:right="0" w:firstLine="0" w:firstLineChars="0"/>
        <w:jc w:val="center"/>
        <w:outlineLvl w:val="0"/>
        <w:rPr>
          <w:rFonts w:hint="eastAsia" w:ascii="宋体" w:hAnsi="宋体" w:eastAsia="宋体" w:cs="宋体"/>
          <w:b w:val="0"/>
          <w:bCs w:val="0"/>
          <w:color w:val="auto"/>
          <w:sz w:val="24"/>
          <w:szCs w:val="32"/>
          <w:highlight w:val="none"/>
          <w:u w:val="none"/>
          <w:lang w:val="en-US" w:eastAsia="zh-CN"/>
        </w:rPr>
      </w:pPr>
      <w:bookmarkStart w:id="312" w:name="_Toc16389"/>
      <w:bookmarkStart w:id="313" w:name="_Toc30597"/>
      <w:bookmarkStart w:id="314" w:name="_Toc10796"/>
      <w:r>
        <w:rPr>
          <w:rFonts w:hint="eastAsia" w:ascii="宋体" w:hAnsi="宋体" w:eastAsia="宋体" w:cs="宋体"/>
          <w:b/>
          <w:bCs/>
          <w:color w:val="auto"/>
          <w:sz w:val="24"/>
          <w:szCs w:val="32"/>
          <w:highlight w:val="none"/>
          <w:u w:val="none"/>
          <w:lang w:val="en-US" w:eastAsia="zh-CN"/>
        </w:rPr>
        <w:t>附图3平面布置及监测点位图</w:t>
      </w:r>
      <w:bookmarkEnd w:id="311"/>
      <w:bookmarkEnd w:id="312"/>
      <w:bookmarkEnd w:id="313"/>
      <w:bookmarkEnd w:id="314"/>
    </w:p>
    <w:bookmarkEnd w:id="306"/>
    <w:p>
      <w:pPr>
        <w:pStyle w:val="2"/>
        <w:pageBreakBefore w:val="0"/>
        <w:numPr>
          <w:ilvl w:val="1"/>
          <w:numId w:val="0"/>
        </w:numPr>
        <w:kinsoku/>
        <w:wordWrap/>
        <w:overflowPunct/>
        <w:topLinePunct w:val="0"/>
        <w:bidi w:val="0"/>
        <w:spacing w:before="0" w:after="0" w:line="240" w:lineRule="auto"/>
        <w:ind w:left="0" w:leftChars="0" w:right="0"/>
        <w:jc w:val="both"/>
        <w:outlineLvl w:val="9"/>
        <w:rPr>
          <w:rFonts w:hint="eastAsia" w:ascii="宋体" w:hAnsi="宋体" w:eastAsia="宋体" w:cs="宋体"/>
          <w:b/>
          <w:bCs/>
          <w:color w:val="auto"/>
          <w:highlight w:val="none"/>
          <w:u w:val="none"/>
          <w:lang w:eastAsia="zh-CN"/>
        </w:rPr>
        <w:sectPr>
          <w:pgSz w:w="11905" w:h="16838"/>
          <w:pgMar w:top="1701" w:right="1587" w:bottom="1701" w:left="1587" w:header="1077" w:footer="1134" w:gutter="0"/>
          <w:pgBorders>
            <w:top w:val="none" w:sz="0" w:space="0"/>
            <w:left w:val="none" w:sz="0" w:space="0"/>
            <w:bottom w:val="none" w:sz="0" w:space="0"/>
            <w:right w:val="none" w:sz="0" w:space="0"/>
          </w:pgBorders>
          <w:pgNumType w:fmt="decimal"/>
          <w:cols w:space="0" w:num="1"/>
          <w:rtlGutter w:val="0"/>
          <w:docGrid w:type="lines" w:linePitch="415" w:charSpace="0"/>
        </w:sectPr>
      </w:pPr>
    </w:p>
    <w:bookmarkEnd w:id="155"/>
    <w:bookmarkEnd w:id="156"/>
    <w:bookmarkEnd w:id="157"/>
    <w:bookmarkEnd w:id="158"/>
    <w:bookmarkEnd w:id="159"/>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89"/>
        <w:gridCol w:w="44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2" w:hRule="atLeast"/>
        </w:trPr>
        <w:tc>
          <w:tcPr>
            <w:tcW w:w="4621" w:type="dxa"/>
          </w:tcPr>
          <w:p>
            <w:pPr>
              <w:keepNext w:val="0"/>
              <w:keepLines w:val="0"/>
              <w:widowControl/>
              <w:suppressLineNumbers w:val="0"/>
              <w:adjustRightInd w:val="0"/>
              <w:snapToGrid w:val="0"/>
              <w:spacing w:before="0" w:beforeAutospacing="0" w:after="120" w:afterAutospacing="0" w:line="560" w:lineRule="exact"/>
              <w:ind w:left="0" w:leftChars="0" w:right="0" w:firstLine="0" w:firstLineChars="0"/>
              <w:jc w:val="both"/>
              <w:rPr>
                <w:rFonts w:hint="eastAsia" w:ascii="宋体" w:hAnsi="宋体" w:eastAsia="宋体" w:cs="宋体"/>
                <w:snapToGrid/>
                <w:spacing w:val="6"/>
                <w:kern w:val="0"/>
                <w:sz w:val="28"/>
                <w:szCs w:val="22"/>
                <w:vertAlign w:val="baseline"/>
                <w:lang w:val="en-US" w:eastAsia="zh-CN" w:bidi="ar"/>
              </w:rPr>
            </w:pPr>
            <w:r>
              <w:rPr>
                <w:rFonts w:hint="eastAsia" w:ascii="宋体" w:hAnsi="宋体" w:eastAsia="宋体" w:cs="宋体"/>
                <w:snapToGrid/>
                <w:spacing w:val="6"/>
                <w:kern w:val="0"/>
                <w:sz w:val="28"/>
                <w:szCs w:val="22"/>
                <w:vertAlign w:val="baseline"/>
                <w:lang w:val="en-US" w:eastAsia="zh-CN"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-3296920</wp:posOffset>
                  </wp:positionV>
                  <wp:extent cx="2694305" cy="3566160"/>
                  <wp:effectExtent l="0" t="0" r="10795" b="15240"/>
                  <wp:wrapSquare wrapText="bothSides"/>
                  <wp:docPr id="1" name="图片 1" descr="微信图片_2023103008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1030085436"/>
                          <pic:cNvPicPr>
                            <a:picLocks noChangeAspect="1"/>
                          </pic:cNvPicPr>
                        </pic:nvPicPr>
                        <pic:blipFill>
                          <a:blip r:embed="rId32"/>
                          <a:stretch>
                            <a:fillRect/>
                          </a:stretch>
                        </pic:blipFill>
                        <pic:spPr>
                          <a:xfrm>
                            <a:off x="0" y="0"/>
                            <a:ext cx="2694305" cy="3566160"/>
                          </a:xfrm>
                          <a:prstGeom prst="rect">
                            <a:avLst/>
                          </a:prstGeom>
                        </pic:spPr>
                      </pic:pic>
                    </a:graphicData>
                  </a:graphic>
                </wp:anchor>
              </w:drawing>
            </w:r>
          </w:p>
        </w:tc>
        <w:tc>
          <w:tcPr>
            <w:tcW w:w="4621" w:type="dxa"/>
          </w:tcPr>
          <w:p>
            <w:pPr>
              <w:keepNext w:val="0"/>
              <w:keepLines w:val="0"/>
              <w:widowControl/>
              <w:suppressLineNumbers w:val="0"/>
              <w:adjustRightInd w:val="0"/>
              <w:snapToGrid w:val="0"/>
              <w:spacing w:before="0" w:beforeAutospacing="0" w:after="120" w:afterAutospacing="0" w:line="560" w:lineRule="exact"/>
              <w:ind w:left="0" w:leftChars="0" w:right="0" w:firstLine="0" w:firstLineChars="0"/>
              <w:jc w:val="both"/>
              <w:rPr>
                <w:rFonts w:hint="eastAsia" w:ascii="宋体" w:hAnsi="宋体" w:eastAsia="宋体" w:cs="宋体"/>
                <w:snapToGrid/>
                <w:spacing w:val="6"/>
                <w:kern w:val="0"/>
                <w:sz w:val="28"/>
                <w:szCs w:val="22"/>
                <w:vertAlign w:val="baseline"/>
                <w:lang w:val="en-US" w:eastAsia="zh-CN" w:bidi="ar"/>
              </w:rPr>
            </w:pPr>
            <w:r>
              <w:rPr>
                <w:rFonts w:hint="eastAsia" w:ascii="宋体" w:hAnsi="宋体" w:eastAsia="宋体" w:cs="宋体"/>
                <w:snapToGrid/>
                <w:spacing w:val="6"/>
                <w:kern w:val="0"/>
                <w:sz w:val="28"/>
                <w:szCs w:val="22"/>
                <w:vertAlign w:val="baseline"/>
                <w:lang w:val="en-US" w:eastAsia="zh-CN" w:bidi="ar"/>
              </w:rPr>
              <w:drawing>
                <wp:anchor distT="0" distB="0" distL="114300" distR="114300" simplePos="0" relativeHeight="251671552" behindDoc="0" locked="0" layoutInCell="1" allowOverlap="1">
                  <wp:simplePos x="0" y="0"/>
                  <wp:positionH relativeFrom="column">
                    <wp:posOffset>-87630</wp:posOffset>
                  </wp:positionH>
                  <wp:positionV relativeFrom="paragraph">
                    <wp:posOffset>-3296920</wp:posOffset>
                  </wp:positionV>
                  <wp:extent cx="2694305" cy="3566160"/>
                  <wp:effectExtent l="0" t="0" r="10795" b="15240"/>
                  <wp:wrapSquare wrapText="bothSides"/>
                  <wp:docPr id="2" name="图片 2" descr="微信图片_2023103008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1030085437"/>
                          <pic:cNvPicPr>
                            <a:picLocks noChangeAspect="1"/>
                          </pic:cNvPicPr>
                        </pic:nvPicPr>
                        <pic:blipFill>
                          <a:blip r:embed="rId33"/>
                          <a:stretch>
                            <a:fillRect/>
                          </a:stretch>
                        </pic:blipFill>
                        <pic:spPr>
                          <a:xfrm>
                            <a:off x="0" y="0"/>
                            <a:ext cx="2694305" cy="3566160"/>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2" w:hRule="atLeast"/>
        </w:trPr>
        <w:tc>
          <w:tcPr>
            <w:tcW w:w="4621" w:type="dxa"/>
          </w:tcPr>
          <w:p>
            <w:pPr>
              <w:keepNext w:val="0"/>
              <w:keepLines w:val="0"/>
              <w:widowControl/>
              <w:suppressLineNumbers w:val="0"/>
              <w:adjustRightInd w:val="0"/>
              <w:snapToGrid w:val="0"/>
              <w:spacing w:before="0" w:beforeAutospacing="0" w:after="120" w:afterAutospacing="0" w:line="560" w:lineRule="exact"/>
              <w:ind w:left="420" w:leftChars="200" w:right="0" w:firstLine="584" w:firstLineChars="200"/>
              <w:jc w:val="center"/>
              <w:rPr>
                <w:rFonts w:hint="eastAsia" w:ascii="宋体" w:hAnsi="宋体" w:eastAsia="宋体" w:cs="宋体"/>
                <w:snapToGrid/>
                <w:spacing w:val="6"/>
                <w:kern w:val="0"/>
                <w:sz w:val="28"/>
                <w:szCs w:val="22"/>
                <w:vertAlign w:val="baseline"/>
                <w:lang w:val="en-US" w:eastAsia="zh-CN" w:bidi="ar"/>
              </w:rPr>
            </w:pPr>
            <w:r>
              <w:rPr>
                <w:rFonts w:hint="eastAsia" w:ascii="宋体" w:hAnsi="宋体" w:eastAsia="宋体" w:cs="宋体"/>
                <w:snapToGrid/>
                <w:spacing w:val="6"/>
                <w:kern w:val="0"/>
                <w:sz w:val="28"/>
                <w:szCs w:val="22"/>
                <w:vertAlign w:val="baseline"/>
                <w:lang w:val="en-US" w:eastAsia="zh-CN" w:bidi="ar"/>
              </w:rPr>
              <w:drawing>
                <wp:anchor distT="0" distB="0" distL="114300" distR="114300" simplePos="0" relativeHeight="251672576" behindDoc="0" locked="0" layoutInCell="1" allowOverlap="1">
                  <wp:simplePos x="0" y="0"/>
                  <wp:positionH relativeFrom="column">
                    <wp:posOffset>622300</wp:posOffset>
                  </wp:positionH>
                  <wp:positionV relativeFrom="paragraph">
                    <wp:posOffset>-3296920</wp:posOffset>
                  </wp:positionV>
                  <wp:extent cx="2694305" cy="3566160"/>
                  <wp:effectExtent l="0" t="0" r="10795" b="15240"/>
                  <wp:wrapSquare wrapText="bothSides"/>
                  <wp:docPr id="3" name="图片 3" descr="微信图片_2023103008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1030085438"/>
                          <pic:cNvPicPr>
                            <a:picLocks noChangeAspect="1"/>
                          </pic:cNvPicPr>
                        </pic:nvPicPr>
                        <pic:blipFill>
                          <a:blip r:embed="rId34"/>
                          <a:stretch>
                            <a:fillRect/>
                          </a:stretch>
                        </pic:blipFill>
                        <pic:spPr>
                          <a:xfrm>
                            <a:off x="0" y="0"/>
                            <a:ext cx="2694305" cy="3566160"/>
                          </a:xfrm>
                          <a:prstGeom prst="rect">
                            <a:avLst/>
                          </a:prstGeom>
                        </pic:spPr>
                      </pic:pic>
                    </a:graphicData>
                  </a:graphic>
                </wp:anchor>
              </w:drawing>
            </w:r>
          </w:p>
        </w:tc>
        <w:tc>
          <w:tcPr>
            <w:tcW w:w="4621" w:type="dxa"/>
          </w:tcPr>
          <w:p>
            <w:pPr>
              <w:keepNext w:val="0"/>
              <w:keepLines w:val="0"/>
              <w:widowControl/>
              <w:suppressLineNumbers w:val="0"/>
              <w:adjustRightInd w:val="0"/>
              <w:snapToGrid w:val="0"/>
              <w:spacing w:before="0" w:beforeAutospacing="0" w:after="120" w:afterAutospacing="0" w:line="560" w:lineRule="exact"/>
              <w:ind w:left="0" w:leftChars="0" w:right="0" w:firstLine="0" w:firstLineChars="0"/>
              <w:jc w:val="both"/>
              <w:rPr>
                <w:rFonts w:hint="eastAsia" w:ascii="宋体" w:hAnsi="宋体" w:eastAsia="宋体" w:cs="宋体"/>
                <w:snapToGrid/>
                <w:spacing w:val="6"/>
                <w:kern w:val="0"/>
                <w:sz w:val="28"/>
                <w:szCs w:val="22"/>
                <w:vertAlign w:val="baseline"/>
                <w:lang w:val="en-US" w:eastAsia="zh-CN" w:bidi="ar"/>
              </w:rPr>
            </w:pPr>
            <w:r>
              <w:rPr>
                <w:rFonts w:hint="eastAsia" w:ascii="宋体" w:hAnsi="宋体" w:eastAsia="宋体" w:cs="宋体"/>
                <w:snapToGrid/>
                <w:spacing w:val="6"/>
                <w:kern w:val="0"/>
                <w:sz w:val="28"/>
                <w:szCs w:val="22"/>
                <w:vertAlign w:val="baseline"/>
                <w:lang w:val="en-US" w:eastAsia="zh-CN" w:bidi="ar"/>
              </w:rPr>
              <w:drawing>
                <wp:anchor distT="0" distB="0" distL="114300" distR="114300" simplePos="0" relativeHeight="251673600" behindDoc="0" locked="0" layoutInCell="1" allowOverlap="1">
                  <wp:simplePos x="0" y="0"/>
                  <wp:positionH relativeFrom="column">
                    <wp:posOffset>-62865</wp:posOffset>
                  </wp:positionH>
                  <wp:positionV relativeFrom="paragraph">
                    <wp:posOffset>-2592070</wp:posOffset>
                  </wp:positionV>
                  <wp:extent cx="2678430" cy="3545205"/>
                  <wp:effectExtent l="0" t="0" r="7620" b="17145"/>
                  <wp:wrapSquare wrapText="bothSides"/>
                  <wp:docPr id="4" name="图片 4" descr="微信图片_2023103008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1030085440"/>
                          <pic:cNvPicPr>
                            <a:picLocks noChangeAspect="1"/>
                          </pic:cNvPicPr>
                        </pic:nvPicPr>
                        <pic:blipFill>
                          <a:blip r:embed="rId35"/>
                          <a:stretch>
                            <a:fillRect/>
                          </a:stretch>
                        </pic:blipFill>
                        <pic:spPr>
                          <a:xfrm>
                            <a:off x="0" y="0"/>
                            <a:ext cx="2678430" cy="354520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3" w:hRule="atLeast"/>
        </w:trPr>
        <w:tc>
          <w:tcPr>
            <w:tcW w:w="4621" w:type="dxa"/>
          </w:tcPr>
          <w:p>
            <w:pPr>
              <w:keepNext w:val="0"/>
              <w:keepLines w:val="0"/>
              <w:widowControl/>
              <w:suppressLineNumbers w:val="0"/>
              <w:adjustRightInd w:val="0"/>
              <w:snapToGrid w:val="0"/>
              <w:spacing w:before="0" w:beforeAutospacing="0" w:after="120" w:afterAutospacing="0" w:line="560" w:lineRule="exact"/>
              <w:ind w:left="0" w:leftChars="0" w:right="0" w:firstLine="0" w:firstLineChars="0"/>
              <w:jc w:val="both"/>
              <w:rPr>
                <w:rFonts w:hint="eastAsia" w:ascii="宋体" w:hAnsi="宋体" w:eastAsia="宋体" w:cs="宋体"/>
                <w:snapToGrid/>
                <w:spacing w:val="6"/>
                <w:kern w:val="0"/>
                <w:sz w:val="28"/>
                <w:szCs w:val="22"/>
                <w:vertAlign w:val="baseline"/>
                <w:lang w:val="en-US" w:eastAsia="zh-CN" w:bidi="ar"/>
              </w:rPr>
            </w:pPr>
            <w:r>
              <w:rPr>
                <w:rFonts w:hint="eastAsia" w:ascii="宋体" w:hAnsi="宋体" w:eastAsia="宋体" w:cs="宋体"/>
                <w:snapToGrid/>
                <w:spacing w:val="6"/>
                <w:kern w:val="0"/>
                <w:sz w:val="28"/>
                <w:szCs w:val="22"/>
                <w:vertAlign w:val="baseline"/>
                <w:lang w:val="en-US" w:eastAsia="zh-CN"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-3296920</wp:posOffset>
                  </wp:positionV>
                  <wp:extent cx="2705100" cy="3580130"/>
                  <wp:effectExtent l="0" t="0" r="0" b="1270"/>
                  <wp:wrapSquare wrapText="bothSides"/>
                  <wp:docPr id="5" name="图片 5" descr="微信图片_2023103008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1030085441"/>
                          <pic:cNvPicPr>
                            <a:picLocks noChangeAspect="1"/>
                          </pic:cNvPicPr>
                        </pic:nvPicPr>
                        <pic:blipFill>
                          <a:blip r:embed="rId36"/>
                          <a:stretch>
                            <a:fillRect/>
                          </a:stretch>
                        </pic:blipFill>
                        <pic:spPr>
                          <a:xfrm>
                            <a:off x="0" y="0"/>
                            <a:ext cx="2705100" cy="3580130"/>
                          </a:xfrm>
                          <a:prstGeom prst="rect">
                            <a:avLst/>
                          </a:prstGeom>
                        </pic:spPr>
                      </pic:pic>
                    </a:graphicData>
                  </a:graphic>
                </wp:anchor>
              </w:drawing>
            </w:r>
          </w:p>
        </w:tc>
        <w:tc>
          <w:tcPr>
            <w:tcW w:w="4621" w:type="dxa"/>
          </w:tcPr>
          <w:p>
            <w:pPr>
              <w:keepNext w:val="0"/>
              <w:keepLines w:val="0"/>
              <w:widowControl/>
              <w:suppressLineNumbers w:val="0"/>
              <w:adjustRightInd w:val="0"/>
              <w:snapToGrid w:val="0"/>
              <w:spacing w:before="0" w:beforeAutospacing="0" w:after="120" w:afterAutospacing="0" w:line="560" w:lineRule="exact"/>
              <w:ind w:left="0" w:leftChars="0" w:right="0" w:firstLine="0" w:firstLineChars="0"/>
              <w:jc w:val="both"/>
              <w:rPr>
                <w:rFonts w:hint="eastAsia" w:ascii="宋体" w:hAnsi="宋体" w:eastAsia="宋体" w:cs="宋体"/>
                <w:snapToGrid/>
                <w:spacing w:val="6"/>
                <w:kern w:val="0"/>
                <w:sz w:val="28"/>
                <w:szCs w:val="22"/>
                <w:vertAlign w:val="baseline"/>
                <w:lang w:val="en-US" w:eastAsia="zh-CN" w:bidi="ar"/>
              </w:rPr>
            </w:pPr>
            <w:r>
              <w:rPr>
                <w:rFonts w:hint="eastAsia" w:ascii="宋体" w:hAnsi="宋体" w:eastAsia="宋体" w:cs="宋体"/>
                <w:snapToGrid/>
                <w:spacing w:val="6"/>
                <w:kern w:val="0"/>
                <w:sz w:val="28"/>
                <w:szCs w:val="22"/>
                <w:vertAlign w:val="baseline"/>
                <w:lang w:val="en-US" w:eastAsia="zh-CN" w:bidi="ar"/>
              </w:rPr>
              <w:drawing>
                <wp:anchor distT="0" distB="0" distL="114300" distR="114300" simplePos="0" relativeHeight="251675648" behindDoc="0" locked="0" layoutInCell="1" allowOverlap="1">
                  <wp:simplePos x="0" y="0"/>
                  <wp:positionH relativeFrom="column">
                    <wp:posOffset>-90805</wp:posOffset>
                  </wp:positionH>
                  <wp:positionV relativeFrom="paragraph">
                    <wp:posOffset>-3182620</wp:posOffset>
                  </wp:positionV>
                  <wp:extent cx="2696210" cy="3568065"/>
                  <wp:effectExtent l="0" t="0" r="8890" b="13335"/>
                  <wp:wrapSquare wrapText="bothSides"/>
                  <wp:docPr id="9" name="图片 9" descr="微信图片_2023103008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1030085442"/>
                          <pic:cNvPicPr>
                            <a:picLocks noChangeAspect="1"/>
                          </pic:cNvPicPr>
                        </pic:nvPicPr>
                        <pic:blipFill>
                          <a:blip r:embed="rId37"/>
                          <a:stretch>
                            <a:fillRect/>
                          </a:stretch>
                        </pic:blipFill>
                        <pic:spPr>
                          <a:xfrm>
                            <a:off x="0" y="0"/>
                            <a:ext cx="2696210" cy="3568065"/>
                          </a:xfrm>
                          <a:prstGeom prst="rect">
                            <a:avLst/>
                          </a:prstGeom>
                        </pic:spPr>
                      </pic:pic>
                    </a:graphicData>
                  </a:graphic>
                </wp:anchor>
              </w:drawing>
            </w:r>
          </w:p>
        </w:tc>
      </w:tr>
    </w:tbl>
    <w:p>
      <w:pPr>
        <w:pStyle w:val="2"/>
        <w:jc w:val="center"/>
        <w:rPr>
          <w:rFonts w:hint="eastAsia" w:ascii="宋体" w:hAnsi="宋体" w:eastAsia="宋体" w:cs="宋体"/>
          <w:sz w:val="24"/>
          <w:szCs w:val="24"/>
          <w:highlight w:val="none"/>
        </w:rPr>
        <w:sectPr>
          <w:footerReference r:id="rId12" w:type="default"/>
          <w:pgSz w:w="11905" w:h="16838"/>
          <w:pgMar w:top="1701" w:right="1587" w:bottom="1701" w:left="1587" w:header="1077" w:footer="1134" w:gutter="0"/>
          <w:pgNumType w:fmt="decimal"/>
          <w:cols w:space="0" w:num="1"/>
          <w:rtlGutter w:val="0"/>
          <w:docGrid w:type="lines" w:linePitch="415" w:charSpace="0"/>
        </w:sectPr>
      </w:pPr>
      <w:bookmarkStart w:id="315" w:name="_Toc20575"/>
      <w:r>
        <w:rPr>
          <w:rFonts w:hint="eastAsia" w:ascii="宋体" w:hAnsi="宋体" w:eastAsia="宋体" w:cs="宋体"/>
          <w:sz w:val="24"/>
          <w:szCs w:val="24"/>
          <w:highlight w:val="none"/>
          <w:lang w:val="zh-CN" w:eastAsia="zh-CN"/>
        </w:rPr>
        <w:t>附图</w:t>
      </w:r>
      <w:r>
        <w:rPr>
          <w:rFonts w:hint="eastAsia" w:ascii="宋体" w:hAnsi="宋体" w:eastAsia="宋体" w:cs="宋体"/>
          <w:sz w:val="24"/>
          <w:szCs w:val="24"/>
          <w:highlight w:val="none"/>
          <w:lang w:val="en-US" w:eastAsia="zh-CN"/>
        </w:rPr>
        <w:t xml:space="preserve">4  </w:t>
      </w:r>
      <w:r>
        <w:rPr>
          <w:rFonts w:hint="eastAsia" w:ascii="宋体" w:hAnsi="宋体" w:eastAsia="宋体" w:cs="宋体"/>
          <w:sz w:val="24"/>
          <w:szCs w:val="24"/>
          <w:highlight w:val="none"/>
          <w:lang w:val="zh-CN" w:eastAsia="zh-CN"/>
        </w:rPr>
        <w:t>现场采样照片</w:t>
      </w:r>
      <w:bookmarkEnd w:id="315"/>
    </w:p>
    <w:p>
      <w:pPr>
        <w:outlineLvl w:val="0"/>
        <w:rPr>
          <w:rFonts w:hint="eastAsia" w:ascii="宋体" w:hAnsi="宋体" w:eastAsia="宋体" w:cs="宋体"/>
          <w:b/>
          <w:bCs/>
          <w:sz w:val="24"/>
          <w:szCs w:val="32"/>
          <w:lang w:val="en-US" w:eastAsia="zh-CN"/>
        </w:rPr>
      </w:pPr>
      <w:bookmarkStart w:id="316" w:name="_Toc25348"/>
      <w:r>
        <w:rPr>
          <w:rFonts w:hint="eastAsia" w:ascii="宋体" w:hAnsi="宋体" w:eastAsia="宋体" w:cs="宋体"/>
          <w:b/>
          <w:bCs/>
          <w:sz w:val="24"/>
          <w:szCs w:val="32"/>
          <w:lang w:val="en-US" w:eastAsia="zh-CN"/>
        </w:rPr>
        <w:t>附件1 检测报告</w:t>
      </w:r>
      <w:bookmarkEnd w:id="316"/>
    </w:p>
    <w:p>
      <w:pPr>
        <w:pStyle w:val="42"/>
        <w:pageBreakBefore w:val="0"/>
        <w:kinsoku/>
        <w:wordWrap/>
        <w:overflowPunct/>
        <w:topLinePunct w:val="0"/>
        <w:bidi w:val="0"/>
        <w:spacing w:line="240" w:lineRule="auto"/>
        <w:ind w:left="0" w:leftChars="0" w:right="0"/>
        <w:outlineLvl w:val="9"/>
        <w:rPr>
          <w:rFonts w:hint="eastAsia"/>
          <w:color w:val="auto"/>
          <w:highlight w:val="none"/>
          <w:lang w:val="en-US" w:eastAsia="zh-CN"/>
        </w:rPr>
      </w:pPr>
      <w:r>
        <w:rPr>
          <w:rFonts w:hint="eastAsia" w:ascii="宋体" w:hAnsi="宋体" w:eastAsia="宋体" w:cs="宋体"/>
          <w:b w:val="0"/>
          <w:bCs w:val="0"/>
          <w:color w:val="auto"/>
          <w:spacing w:val="0"/>
          <w:highlight w:val="none"/>
          <w:u w:val="none"/>
          <w:lang w:val="en-US" w:eastAsia="zh-CN"/>
        </w:rPr>
        <w:drawing>
          <wp:inline distT="0" distB="0" distL="114300" distR="114300">
            <wp:extent cx="5761990" cy="8151495"/>
            <wp:effectExtent l="0" t="0" r="10160" b="1905"/>
            <wp:docPr id="131" name="图片 131" descr="011-06-2023 河南省中威春雨植物营养有限公司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011-06-2023 河南省中威春雨植物营养有限公司_00"/>
                    <pic:cNvPicPr>
                      <a:picLocks noChangeAspect="1"/>
                    </pic:cNvPicPr>
                  </pic:nvPicPr>
                  <pic:blipFill>
                    <a:blip r:embed="rId38"/>
                    <a:stretch>
                      <a:fillRect/>
                    </a:stretch>
                  </pic:blipFill>
                  <pic:spPr>
                    <a:xfrm>
                      <a:off x="0" y="0"/>
                      <a:ext cx="5761990" cy="8151495"/>
                    </a:xfrm>
                    <a:prstGeom prst="rect">
                      <a:avLst/>
                    </a:prstGeom>
                  </pic:spPr>
                </pic:pic>
              </a:graphicData>
            </a:graphic>
          </wp:inline>
        </w:drawing>
      </w:r>
      <w:r>
        <w:rPr>
          <w:rFonts w:hint="eastAsia" w:ascii="宋体" w:hAnsi="宋体" w:eastAsia="宋体" w:cs="宋体"/>
          <w:b w:val="0"/>
          <w:bCs w:val="0"/>
          <w:color w:val="auto"/>
          <w:spacing w:val="0"/>
          <w:highlight w:val="none"/>
          <w:u w:val="none"/>
          <w:lang w:val="en-US" w:eastAsia="zh-CN"/>
        </w:rPr>
        <w:drawing>
          <wp:inline distT="0" distB="0" distL="114300" distR="114300">
            <wp:extent cx="5876925" cy="8312785"/>
            <wp:effectExtent l="0" t="0" r="3175" b="5715"/>
            <wp:docPr id="130" name="图片 130" descr="011-06-2023 河南省中威春雨植物营养有限公司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011-06-2023 河南省中威春雨植物营养有限公司_01"/>
                    <pic:cNvPicPr>
                      <a:picLocks noChangeAspect="1"/>
                    </pic:cNvPicPr>
                  </pic:nvPicPr>
                  <pic:blipFill>
                    <a:blip r:embed="rId39"/>
                    <a:stretch>
                      <a:fillRect/>
                    </a:stretch>
                  </pic:blipFill>
                  <pic:spPr>
                    <a:xfrm>
                      <a:off x="0" y="0"/>
                      <a:ext cx="5876925" cy="8312785"/>
                    </a:xfrm>
                    <a:prstGeom prst="rect">
                      <a:avLst/>
                    </a:prstGeom>
                  </pic:spPr>
                </pic:pic>
              </a:graphicData>
            </a:graphic>
          </wp:inline>
        </w:drawing>
      </w:r>
      <w:r>
        <w:rPr>
          <w:rFonts w:hint="eastAsia" w:ascii="宋体" w:hAnsi="宋体" w:eastAsia="宋体" w:cs="宋体"/>
          <w:b w:val="0"/>
          <w:bCs w:val="0"/>
          <w:color w:val="auto"/>
          <w:spacing w:val="0"/>
          <w:highlight w:val="none"/>
          <w:u w:val="none"/>
          <w:lang w:val="en-US" w:eastAsia="zh-CN"/>
        </w:rPr>
        <w:drawing>
          <wp:inline distT="0" distB="0" distL="114300" distR="114300">
            <wp:extent cx="5836285" cy="8255635"/>
            <wp:effectExtent l="0" t="0" r="5715" b="12065"/>
            <wp:docPr id="129" name="图片 129" descr="011-06-2023 河南省中威春雨植物营养有限公司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011-06-2023 河南省中威春雨植物营养有限公司_02"/>
                    <pic:cNvPicPr>
                      <a:picLocks noChangeAspect="1"/>
                    </pic:cNvPicPr>
                  </pic:nvPicPr>
                  <pic:blipFill>
                    <a:blip r:embed="rId40"/>
                    <a:stretch>
                      <a:fillRect/>
                    </a:stretch>
                  </pic:blipFill>
                  <pic:spPr>
                    <a:xfrm>
                      <a:off x="0" y="0"/>
                      <a:ext cx="5836285" cy="8255635"/>
                    </a:xfrm>
                    <a:prstGeom prst="rect">
                      <a:avLst/>
                    </a:prstGeom>
                  </pic:spPr>
                </pic:pic>
              </a:graphicData>
            </a:graphic>
          </wp:inline>
        </w:drawing>
      </w:r>
      <w:r>
        <w:rPr>
          <w:rFonts w:hint="eastAsia" w:ascii="宋体" w:hAnsi="宋体" w:eastAsia="宋体" w:cs="宋体"/>
          <w:b w:val="0"/>
          <w:bCs w:val="0"/>
          <w:color w:val="auto"/>
          <w:spacing w:val="0"/>
          <w:highlight w:val="none"/>
          <w:u w:val="none"/>
          <w:lang w:val="en-US" w:eastAsia="zh-CN"/>
        </w:rPr>
        <w:drawing>
          <wp:inline distT="0" distB="0" distL="114300" distR="114300">
            <wp:extent cx="5823585" cy="8237220"/>
            <wp:effectExtent l="0" t="0" r="5715" b="5080"/>
            <wp:docPr id="128" name="图片 128" descr="011-06-2023 河南省中威春雨植物营养有限公司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011-06-2023 河南省中威春雨植物营养有限公司_03"/>
                    <pic:cNvPicPr>
                      <a:picLocks noChangeAspect="1"/>
                    </pic:cNvPicPr>
                  </pic:nvPicPr>
                  <pic:blipFill>
                    <a:blip r:embed="rId41"/>
                    <a:stretch>
                      <a:fillRect/>
                    </a:stretch>
                  </pic:blipFill>
                  <pic:spPr>
                    <a:xfrm>
                      <a:off x="0" y="0"/>
                      <a:ext cx="5823585" cy="8237220"/>
                    </a:xfrm>
                    <a:prstGeom prst="rect">
                      <a:avLst/>
                    </a:prstGeom>
                  </pic:spPr>
                </pic:pic>
              </a:graphicData>
            </a:graphic>
          </wp:inline>
        </w:drawing>
      </w:r>
      <w:r>
        <w:rPr>
          <w:rFonts w:hint="eastAsia" w:ascii="宋体" w:hAnsi="宋体" w:eastAsia="宋体" w:cs="宋体"/>
          <w:b w:val="0"/>
          <w:bCs w:val="0"/>
          <w:color w:val="auto"/>
          <w:spacing w:val="0"/>
          <w:highlight w:val="none"/>
          <w:u w:val="none"/>
          <w:lang w:val="en-US" w:eastAsia="zh-CN"/>
        </w:rPr>
        <w:drawing>
          <wp:inline distT="0" distB="0" distL="114300" distR="114300">
            <wp:extent cx="5836285" cy="8255635"/>
            <wp:effectExtent l="0" t="0" r="5715" b="12065"/>
            <wp:docPr id="127" name="图片 127" descr="011-06-2023 河南省中威春雨植物营养有限公司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011-06-2023 河南省中威春雨植物营养有限公司_04"/>
                    <pic:cNvPicPr>
                      <a:picLocks noChangeAspect="1"/>
                    </pic:cNvPicPr>
                  </pic:nvPicPr>
                  <pic:blipFill>
                    <a:blip r:embed="rId42"/>
                    <a:stretch>
                      <a:fillRect/>
                    </a:stretch>
                  </pic:blipFill>
                  <pic:spPr>
                    <a:xfrm>
                      <a:off x="0" y="0"/>
                      <a:ext cx="5836285" cy="8255635"/>
                    </a:xfrm>
                    <a:prstGeom prst="rect">
                      <a:avLst/>
                    </a:prstGeom>
                  </pic:spPr>
                </pic:pic>
              </a:graphicData>
            </a:graphic>
          </wp:inline>
        </w:drawing>
      </w:r>
      <w:r>
        <w:rPr>
          <w:rFonts w:hint="eastAsia" w:ascii="宋体" w:hAnsi="宋体" w:eastAsia="宋体" w:cs="宋体"/>
          <w:b w:val="0"/>
          <w:bCs w:val="0"/>
          <w:color w:val="auto"/>
          <w:spacing w:val="0"/>
          <w:highlight w:val="none"/>
          <w:u w:val="none"/>
          <w:lang w:val="en-US" w:eastAsia="zh-CN"/>
        </w:rPr>
        <w:drawing>
          <wp:inline distT="0" distB="0" distL="114300" distR="114300">
            <wp:extent cx="5809615" cy="8217535"/>
            <wp:effectExtent l="0" t="0" r="6985" b="12065"/>
            <wp:docPr id="126" name="图片 126" descr="011-06-2023 河南省中威春雨植物营养有限公司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011-06-2023 河南省中威春雨植物营养有限公司_05"/>
                    <pic:cNvPicPr>
                      <a:picLocks noChangeAspect="1"/>
                    </pic:cNvPicPr>
                  </pic:nvPicPr>
                  <pic:blipFill>
                    <a:blip r:embed="rId43"/>
                    <a:stretch>
                      <a:fillRect/>
                    </a:stretch>
                  </pic:blipFill>
                  <pic:spPr>
                    <a:xfrm>
                      <a:off x="0" y="0"/>
                      <a:ext cx="5809615" cy="8217535"/>
                    </a:xfrm>
                    <a:prstGeom prst="rect">
                      <a:avLst/>
                    </a:prstGeom>
                  </pic:spPr>
                </pic:pic>
              </a:graphicData>
            </a:graphic>
          </wp:inline>
        </w:drawing>
      </w:r>
      <w:r>
        <w:rPr>
          <w:rFonts w:hint="eastAsia" w:ascii="宋体" w:hAnsi="宋体" w:eastAsia="宋体" w:cs="宋体"/>
          <w:b w:val="0"/>
          <w:bCs w:val="0"/>
          <w:color w:val="auto"/>
          <w:spacing w:val="0"/>
          <w:highlight w:val="none"/>
          <w:u w:val="none"/>
          <w:lang w:val="en-US" w:eastAsia="zh-CN"/>
        </w:rPr>
        <w:drawing>
          <wp:inline distT="0" distB="0" distL="114300" distR="114300">
            <wp:extent cx="5823585" cy="8237220"/>
            <wp:effectExtent l="0" t="0" r="5715" b="5080"/>
            <wp:docPr id="125" name="图片 125" descr="011-06-2023 河南省中威春雨植物营养有限公司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011-06-2023 河南省中威春雨植物营养有限公司_06"/>
                    <pic:cNvPicPr>
                      <a:picLocks noChangeAspect="1"/>
                    </pic:cNvPicPr>
                  </pic:nvPicPr>
                  <pic:blipFill>
                    <a:blip r:embed="rId44"/>
                    <a:stretch>
                      <a:fillRect/>
                    </a:stretch>
                  </pic:blipFill>
                  <pic:spPr>
                    <a:xfrm>
                      <a:off x="0" y="0"/>
                      <a:ext cx="5823585" cy="8237220"/>
                    </a:xfrm>
                    <a:prstGeom prst="rect">
                      <a:avLst/>
                    </a:prstGeom>
                  </pic:spPr>
                </pic:pic>
              </a:graphicData>
            </a:graphic>
          </wp:inline>
        </w:drawing>
      </w:r>
      <w:r>
        <w:rPr>
          <w:rFonts w:hint="eastAsia" w:ascii="宋体" w:hAnsi="宋体" w:eastAsia="宋体" w:cs="宋体"/>
          <w:b w:val="0"/>
          <w:bCs w:val="0"/>
          <w:color w:val="auto"/>
          <w:spacing w:val="0"/>
          <w:highlight w:val="none"/>
          <w:u w:val="none"/>
          <w:lang w:val="en-US" w:eastAsia="zh-CN"/>
        </w:rPr>
        <w:drawing>
          <wp:inline distT="0" distB="0" distL="114300" distR="114300">
            <wp:extent cx="5782945" cy="8180070"/>
            <wp:effectExtent l="0" t="0" r="8255" b="11430"/>
            <wp:docPr id="124" name="图片 124" descr="011-06-2023 河南省中威春雨植物营养有限公司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011-06-2023 河南省中威春雨植物营养有限公司_07"/>
                    <pic:cNvPicPr>
                      <a:picLocks noChangeAspect="1"/>
                    </pic:cNvPicPr>
                  </pic:nvPicPr>
                  <pic:blipFill>
                    <a:blip r:embed="rId45"/>
                    <a:stretch>
                      <a:fillRect/>
                    </a:stretch>
                  </pic:blipFill>
                  <pic:spPr>
                    <a:xfrm>
                      <a:off x="0" y="0"/>
                      <a:ext cx="5782945" cy="8180070"/>
                    </a:xfrm>
                    <a:prstGeom prst="rect">
                      <a:avLst/>
                    </a:prstGeom>
                  </pic:spPr>
                </pic:pic>
              </a:graphicData>
            </a:graphic>
          </wp:inline>
        </w:drawing>
      </w:r>
      <w:r>
        <w:rPr>
          <w:rFonts w:hint="eastAsia" w:ascii="宋体" w:hAnsi="宋体" w:eastAsia="宋体" w:cs="宋体"/>
          <w:b w:val="0"/>
          <w:bCs w:val="0"/>
          <w:color w:val="auto"/>
          <w:spacing w:val="0"/>
          <w:highlight w:val="none"/>
          <w:u w:val="none"/>
          <w:lang w:val="en-US" w:eastAsia="zh-CN"/>
        </w:rPr>
        <w:drawing>
          <wp:inline distT="0" distB="0" distL="114300" distR="114300">
            <wp:extent cx="5823585" cy="8237220"/>
            <wp:effectExtent l="0" t="0" r="5715" b="5080"/>
            <wp:docPr id="123" name="图片 123" descr="011-06-2023 河南省中威春雨植物营养有限公司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011-06-2023 河南省中威春雨植物营养有限公司_08"/>
                    <pic:cNvPicPr>
                      <a:picLocks noChangeAspect="1"/>
                    </pic:cNvPicPr>
                  </pic:nvPicPr>
                  <pic:blipFill>
                    <a:blip r:embed="rId46"/>
                    <a:stretch>
                      <a:fillRect/>
                    </a:stretch>
                  </pic:blipFill>
                  <pic:spPr>
                    <a:xfrm>
                      <a:off x="0" y="0"/>
                      <a:ext cx="5823585" cy="8237220"/>
                    </a:xfrm>
                    <a:prstGeom prst="rect">
                      <a:avLst/>
                    </a:prstGeom>
                  </pic:spPr>
                </pic:pic>
              </a:graphicData>
            </a:graphic>
          </wp:inline>
        </w:drawing>
      </w:r>
      <w:r>
        <w:rPr>
          <w:rFonts w:hint="eastAsia" w:ascii="宋体" w:hAnsi="宋体" w:eastAsia="宋体" w:cs="宋体"/>
          <w:b w:val="0"/>
          <w:bCs w:val="0"/>
          <w:color w:val="auto"/>
          <w:spacing w:val="0"/>
          <w:highlight w:val="none"/>
          <w:u w:val="none"/>
          <w:lang w:val="en-US" w:eastAsia="zh-CN"/>
        </w:rPr>
        <w:drawing>
          <wp:inline distT="0" distB="0" distL="114300" distR="114300">
            <wp:extent cx="5809615" cy="8217535"/>
            <wp:effectExtent l="0" t="0" r="6985" b="12065"/>
            <wp:docPr id="122" name="图片 122" descr="011-06-2023 河南省中威春雨植物营养有限公司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011-06-2023 河南省中威春雨植物营养有限公司_09"/>
                    <pic:cNvPicPr>
                      <a:picLocks noChangeAspect="1"/>
                    </pic:cNvPicPr>
                  </pic:nvPicPr>
                  <pic:blipFill>
                    <a:blip r:embed="rId47"/>
                    <a:stretch>
                      <a:fillRect/>
                    </a:stretch>
                  </pic:blipFill>
                  <pic:spPr>
                    <a:xfrm>
                      <a:off x="0" y="0"/>
                      <a:ext cx="5809615" cy="8217535"/>
                    </a:xfrm>
                    <a:prstGeom prst="rect">
                      <a:avLst/>
                    </a:prstGeom>
                  </pic:spPr>
                </pic:pic>
              </a:graphicData>
            </a:graphic>
          </wp:inline>
        </w:drawing>
      </w:r>
      <w:r>
        <w:rPr>
          <w:rFonts w:hint="eastAsia" w:ascii="宋体" w:hAnsi="宋体" w:eastAsia="宋体" w:cs="宋体"/>
          <w:b w:val="0"/>
          <w:bCs w:val="0"/>
          <w:color w:val="auto"/>
          <w:spacing w:val="0"/>
          <w:highlight w:val="none"/>
          <w:u w:val="none"/>
          <w:lang w:val="en-US" w:eastAsia="zh-CN"/>
        </w:rPr>
        <w:drawing>
          <wp:inline distT="0" distB="0" distL="114300" distR="114300">
            <wp:extent cx="5876925" cy="8312785"/>
            <wp:effectExtent l="0" t="0" r="3175" b="5715"/>
            <wp:docPr id="121" name="图片 121" descr="011-06-2023 河南省中威春雨植物营养有限公司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011-06-2023 河南省中威春雨植物营养有限公司_10"/>
                    <pic:cNvPicPr>
                      <a:picLocks noChangeAspect="1"/>
                    </pic:cNvPicPr>
                  </pic:nvPicPr>
                  <pic:blipFill>
                    <a:blip r:embed="rId48"/>
                    <a:stretch>
                      <a:fillRect/>
                    </a:stretch>
                  </pic:blipFill>
                  <pic:spPr>
                    <a:xfrm>
                      <a:off x="0" y="0"/>
                      <a:ext cx="5876925" cy="8312785"/>
                    </a:xfrm>
                    <a:prstGeom prst="rect">
                      <a:avLst/>
                    </a:prstGeom>
                  </pic:spPr>
                </pic:pic>
              </a:graphicData>
            </a:graphic>
          </wp:inline>
        </w:drawing>
      </w:r>
      <w:r>
        <w:rPr>
          <w:rFonts w:hint="eastAsia" w:ascii="宋体" w:hAnsi="宋体" w:eastAsia="宋体" w:cs="宋体"/>
          <w:b w:val="0"/>
          <w:bCs w:val="0"/>
          <w:color w:val="auto"/>
          <w:spacing w:val="0"/>
          <w:highlight w:val="none"/>
          <w:u w:val="none"/>
          <w:lang w:val="en-US" w:eastAsia="zh-CN"/>
        </w:rPr>
        <w:drawing>
          <wp:inline distT="0" distB="0" distL="114300" distR="114300">
            <wp:extent cx="5850255" cy="8275320"/>
            <wp:effectExtent l="0" t="0" r="4445" b="5080"/>
            <wp:docPr id="119" name="图片 119" descr="011-06-2023 河南省中威春雨植物营养有限公司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011-06-2023 河南省中威春雨植物营养有限公司_11"/>
                    <pic:cNvPicPr>
                      <a:picLocks noChangeAspect="1"/>
                    </pic:cNvPicPr>
                  </pic:nvPicPr>
                  <pic:blipFill>
                    <a:blip r:embed="rId49"/>
                    <a:stretch>
                      <a:fillRect/>
                    </a:stretch>
                  </pic:blipFill>
                  <pic:spPr>
                    <a:xfrm>
                      <a:off x="0" y="0"/>
                      <a:ext cx="5850255" cy="8275320"/>
                    </a:xfrm>
                    <a:prstGeom prst="rect">
                      <a:avLst/>
                    </a:prstGeom>
                  </pic:spPr>
                </pic:pic>
              </a:graphicData>
            </a:graphic>
          </wp:inline>
        </w:drawing>
      </w:r>
    </w:p>
    <w:p>
      <w:pPr>
        <w:spacing w:line="240" w:lineRule="auto"/>
        <w:ind w:left="0" w:leftChars="0" w:firstLine="0" w:firstLineChars="0"/>
        <w:rPr>
          <w:rFonts w:hint="eastAsia"/>
          <w:color w:val="auto"/>
          <w:highlight w:val="none"/>
          <w:lang w:val="en-US" w:eastAsia="zh-CN"/>
        </w:rPr>
      </w:pPr>
    </w:p>
    <w:p>
      <w:pPr>
        <w:outlineLvl w:val="0"/>
        <w:rPr>
          <w:rFonts w:hint="eastAsia" w:ascii="宋体" w:hAnsi="宋体" w:eastAsia="宋体" w:cs="宋体"/>
          <w:b/>
          <w:bCs/>
          <w:sz w:val="24"/>
          <w:szCs w:val="32"/>
          <w:lang w:val="en-US" w:eastAsia="zh-CN"/>
        </w:rPr>
      </w:pPr>
      <w:bookmarkStart w:id="317" w:name="_Toc32392"/>
      <w:bookmarkStart w:id="318" w:name="_Toc28715"/>
      <w:bookmarkStart w:id="319" w:name="_Toc17589"/>
      <w:bookmarkStart w:id="320" w:name="_Toc32055"/>
      <w:bookmarkStart w:id="321" w:name="_Toc12788"/>
      <w:r>
        <w:rPr>
          <w:rFonts w:hint="eastAsia" w:ascii="宋体" w:hAnsi="宋体" w:eastAsia="宋体" w:cs="宋体"/>
          <w:b/>
          <w:bCs/>
          <w:sz w:val="24"/>
          <w:szCs w:val="32"/>
          <w:lang w:val="en-US" w:eastAsia="zh-CN"/>
        </w:rPr>
        <w:t>附件2 检测资质证书、附表</w:t>
      </w:r>
      <w:bookmarkEnd w:id="317"/>
      <w:bookmarkEnd w:id="318"/>
    </w:p>
    <w:p>
      <w:pPr>
        <w:rPr>
          <w:rFonts w:hint="eastAsia" w:ascii="宋体" w:hAnsi="宋体" w:eastAsia="宋体" w:cs="宋体"/>
          <w:sz w:val="21"/>
        </w:rPr>
      </w:pPr>
      <w:r>
        <w:rPr>
          <w:rFonts w:hint="eastAsia" w:ascii="宋体" w:hAnsi="宋体" w:eastAsia="宋体" w:cs="宋体"/>
          <w:sz w:val="21"/>
        </w:rPr>
        <w:drawing>
          <wp:inline distT="0" distB="0" distL="114300" distR="114300">
            <wp:extent cx="5758815" cy="8147685"/>
            <wp:effectExtent l="0" t="0" r="6985" b="5715"/>
            <wp:docPr id="55" name="图片 55" descr="资质附表--达峰检测(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资质附表--达峰检测(1)_00"/>
                    <pic:cNvPicPr>
                      <a:picLocks noChangeAspect="1"/>
                    </pic:cNvPicPr>
                  </pic:nvPicPr>
                  <pic:blipFill>
                    <a:blip r:embed="rId50"/>
                    <a:stretch>
                      <a:fillRect/>
                    </a:stretch>
                  </pic:blipFill>
                  <pic:spPr>
                    <a:xfrm>
                      <a:off x="0" y="0"/>
                      <a:ext cx="5758815" cy="8147685"/>
                    </a:xfrm>
                    <a:prstGeom prst="rect">
                      <a:avLst/>
                    </a:prstGeom>
                  </pic:spPr>
                </pic:pic>
              </a:graphicData>
            </a:graphic>
          </wp:inline>
        </w:drawing>
      </w:r>
      <w:r>
        <w:rPr>
          <w:rFonts w:hint="eastAsia" w:ascii="宋体" w:hAnsi="宋体" w:eastAsia="宋体" w:cs="宋体"/>
          <w:sz w:val="21"/>
        </w:rPr>
        <w:drawing>
          <wp:inline distT="0" distB="0" distL="114300" distR="114300">
            <wp:extent cx="5908040" cy="8359140"/>
            <wp:effectExtent l="0" t="0" r="10160" b="10160"/>
            <wp:docPr id="54" name="图片 54" descr="资质附表--达峰检测(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资质附表--达峰检测(1)_01"/>
                    <pic:cNvPicPr>
                      <a:picLocks noChangeAspect="1"/>
                    </pic:cNvPicPr>
                  </pic:nvPicPr>
                  <pic:blipFill>
                    <a:blip r:embed="rId51"/>
                    <a:stretch>
                      <a:fillRect/>
                    </a:stretch>
                  </pic:blipFill>
                  <pic:spPr>
                    <a:xfrm>
                      <a:off x="0" y="0"/>
                      <a:ext cx="5908040" cy="8359140"/>
                    </a:xfrm>
                    <a:prstGeom prst="rect">
                      <a:avLst/>
                    </a:prstGeom>
                  </pic:spPr>
                </pic:pic>
              </a:graphicData>
            </a:graphic>
          </wp:inline>
        </w:drawing>
      </w:r>
      <w:r>
        <w:rPr>
          <w:rFonts w:hint="eastAsia" w:ascii="宋体" w:hAnsi="宋体" w:eastAsia="宋体" w:cs="宋体"/>
          <w:sz w:val="21"/>
        </w:rPr>
        <w:drawing>
          <wp:inline distT="0" distB="0" distL="114300" distR="114300">
            <wp:extent cx="5893435" cy="8338185"/>
            <wp:effectExtent l="0" t="0" r="12065" b="5715"/>
            <wp:docPr id="53" name="图片 53" descr="资质附表--达峰检测(1)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资质附表--达峰检测(1)_43"/>
                    <pic:cNvPicPr>
                      <a:picLocks noChangeAspect="1"/>
                    </pic:cNvPicPr>
                  </pic:nvPicPr>
                  <pic:blipFill>
                    <a:blip r:embed="rId52"/>
                    <a:stretch>
                      <a:fillRect/>
                    </a:stretch>
                  </pic:blipFill>
                  <pic:spPr>
                    <a:xfrm>
                      <a:off x="0" y="0"/>
                      <a:ext cx="5893435" cy="8338185"/>
                    </a:xfrm>
                    <a:prstGeom prst="rect">
                      <a:avLst/>
                    </a:prstGeom>
                  </pic:spPr>
                </pic:pic>
              </a:graphicData>
            </a:graphic>
          </wp:inline>
        </w:drawing>
      </w:r>
      <w:r>
        <w:rPr>
          <w:rFonts w:hint="eastAsia" w:ascii="宋体" w:hAnsi="宋体" w:eastAsia="宋体" w:cs="宋体"/>
          <w:sz w:val="21"/>
        </w:rPr>
        <w:drawing>
          <wp:inline distT="0" distB="0" distL="114300" distR="114300">
            <wp:extent cx="5893435" cy="8338185"/>
            <wp:effectExtent l="0" t="0" r="12065" b="5715"/>
            <wp:docPr id="52" name="图片 52" descr="资质附表--达峰检测(1)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资质附表--达峰检测(1)_44"/>
                    <pic:cNvPicPr>
                      <a:picLocks noChangeAspect="1"/>
                    </pic:cNvPicPr>
                  </pic:nvPicPr>
                  <pic:blipFill>
                    <a:blip r:embed="rId53"/>
                    <a:stretch>
                      <a:fillRect/>
                    </a:stretch>
                  </pic:blipFill>
                  <pic:spPr>
                    <a:xfrm>
                      <a:off x="0" y="0"/>
                      <a:ext cx="5893435" cy="8338185"/>
                    </a:xfrm>
                    <a:prstGeom prst="rect">
                      <a:avLst/>
                    </a:prstGeom>
                  </pic:spPr>
                </pic:pic>
              </a:graphicData>
            </a:graphic>
          </wp:inline>
        </w:drawing>
      </w:r>
      <w:r>
        <w:rPr>
          <w:rFonts w:hint="eastAsia" w:ascii="宋体" w:hAnsi="宋体" w:eastAsia="宋体" w:cs="宋体"/>
          <w:sz w:val="21"/>
        </w:rPr>
        <w:drawing>
          <wp:inline distT="0" distB="0" distL="114300" distR="114300">
            <wp:extent cx="5922645" cy="8379460"/>
            <wp:effectExtent l="0" t="0" r="8255" b="2540"/>
            <wp:docPr id="51" name="图片 51" descr="资质附表--达峰检测(1)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资质附表--达峰检测(1)_45"/>
                    <pic:cNvPicPr>
                      <a:picLocks noChangeAspect="1"/>
                    </pic:cNvPicPr>
                  </pic:nvPicPr>
                  <pic:blipFill>
                    <a:blip r:embed="rId54"/>
                    <a:stretch>
                      <a:fillRect/>
                    </a:stretch>
                  </pic:blipFill>
                  <pic:spPr>
                    <a:xfrm>
                      <a:off x="0" y="0"/>
                      <a:ext cx="5922645" cy="8379460"/>
                    </a:xfrm>
                    <a:prstGeom prst="rect">
                      <a:avLst/>
                    </a:prstGeom>
                  </pic:spPr>
                </pic:pic>
              </a:graphicData>
            </a:graphic>
          </wp:inline>
        </w:drawing>
      </w:r>
      <w:r>
        <w:rPr>
          <w:rFonts w:hint="eastAsia" w:ascii="宋体" w:hAnsi="宋体" w:eastAsia="宋体" w:cs="宋体"/>
          <w:sz w:val="21"/>
        </w:rPr>
        <w:drawing>
          <wp:inline distT="0" distB="0" distL="114300" distR="114300">
            <wp:extent cx="5908040" cy="8358505"/>
            <wp:effectExtent l="0" t="0" r="10160" b="10795"/>
            <wp:docPr id="50" name="图片 50" descr="资质附表--达峰检测(1)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资质附表--达峰检测(1)_46"/>
                    <pic:cNvPicPr>
                      <a:picLocks noChangeAspect="1"/>
                    </pic:cNvPicPr>
                  </pic:nvPicPr>
                  <pic:blipFill>
                    <a:blip r:embed="rId55"/>
                    <a:stretch>
                      <a:fillRect/>
                    </a:stretch>
                  </pic:blipFill>
                  <pic:spPr>
                    <a:xfrm>
                      <a:off x="0" y="0"/>
                      <a:ext cx="5908040" cy="8358505"/>
                    </a:xfrm>
                    <a:prstGeom prst="rect">
                      <a:avLst/>
                    </a:prstGeom>
                  </pic:spPr>
                </pic:pic>
              </a:graphicData>
            </a:graphic>
          </wp:inline>
        </w:drawing>
      </w:r>
      <w:r>
        <w:rPr>
          <w:rFonts w:hint="eastAsia" w:ascii="宋体" w:hAnsi="宋体" w:eastAsia="宋体" w:cs="宋体"/>
          <w:sz w:val="21"/>
        </w:rPr>
        <w:drawing>
          <wp:inline distT="0" distB="0" distL="114300" distR="114300">
            <wp:extent cx="5892800" cy="8337550"/>
            <wp:effectExtent l="0" t="0" r="0" b="6350"/>
            <wp:docPr id="49" name="图片 49" descr="资质附表--达峰检测(1)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资质附表--达峰检测(1)_47"/>
                    <pic:cNvPicPr>
                      <a:picLocks noChangeAspect="1"/>
                    </pic:cNvPicPr>
                  </pic:nvPicPr>
                  <pic:blipFill>
                    <a:blip r:embed="rId56"/>
                    <a:stretch>
                      <a:fillRect/>
                    </a:stretch>
                  </pic:blipFill>
                  <pic:spPr>
                    <a:xfrm>
                      <a:off x="0" y="0"/>
                      <a:ext cx="5892800" cy="8337550"/>
                    </a:xfrm>
                    <a:prstGeom prst="rect">
                      <a:avLst/>
                    </a:prstGeom>
                  </pic:spPr>
                </pic:pic>
              </a:graphicData>
            </a:graphic>
          </wp:inline>
        </w:drawing>
      </w:r>
      <w:r>
        <w:rPr>
          <w:rFonts w:hint="eastAsia" w:ascii="宋体" w:hAnsi="宋体" w:eastAsia="宋体" w:cs="宋体"/>
          <w:sz w:val="21"/>
        </w:rPr>
        <w:drawing>
          <wp:inline distT="0" distB="0" distL="114300" distR="114300">
            <wp:extent cx="5728970" cy="8105140"/>
            <wp:effectExtent l="0" t="0" r="11430" b="10160"/>
            <wp:docPr id="48" name="图片 48" descr="资质附表--达峰检测(1)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资质附表--达峰检测(1)_48"/>
                    <pic:cNvPicPr>
                      <a:picLocks noChangeAspect="1"/>
                    </pic:cNvPicPr>
                  </pic:nvPicPr>
                  <pic:blipFill>
                    <a:blip r:embed="rId57"/>
                    <a:stretch>
                      <a:fillRect/>
                    </a:stretch>
                  </pic:blipFill>
                  <pic:spPr>
                    <a:xfrm>
                      <a:off x="0" y="0"/>
                      <a:ext cx="5728970" cy="8105140"/>
                    </a:xfrm>
                    <a:prstGeom prst="rect">
                      <a:avLst/>
                    </a:prstGeom>
                  </pic:spPr>
                </pic:pic>
              </a:graphicData>
            </a:graphic>
          </wp:inline>
        </w:drawing>
      </w:r>
      <w:r>
        <w:rPr>
          <w:rFonts w:hint="eastAsia" w:ascii="宋体" w:hAnsi="宋体" w:eastAsia="宋体" w:cs="宋体"/>
          <w:sz w:val="21"/>
        </w:rPr>
        <w:drawing>
          <wp:inline distT="0" distB="0" distL="114300" distR="114300">
            <wp:extent cx="5818505" cy="8232140"/>
            <wp:effectExtent l="0" t="0" r="10795" b="10160"/>
            <wp:docPr id="47" name="图片 47" descr="资质附表--达峰检测(1)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资质附表--达峰检测(1)_49"/>
                    <pic:cNvPicPr>
                      <a:picLocks noChangeAspect="1"/>
                    </pic:cNvPicPr>
                  </pic:nvPicPr>
                  <pic:blipFill>
                    <a:blip r:embed="rId58"/>
                    <a:stretch>
                      <a:fillRect/>
                    </a:stretch>
                  </pic:blipFill>
                  <pic:spPr>
                    <a:xfrm>
                      <a:off x="0" y="0"/>
                      <a:ext cx="5818505" cy="8232140"/>
                    </a:xfrm>
                    <a:prstGeom prst="rect">
                      <a:avLst/>
                    </a:prstGeom>
                  </pic:spPr>
                </pic:pic>
              </a:graphicData>
            </a:graphic>
          </wp:inline>
        </w:drawing>
      </w:r>
      <w:r>
        <w:rPr>
          <w:rFonts w:hint="eastAsia" w:ascii="宋体" w:hAnsi="宋体" w:eastAsia="宋体" w:cs="宋体"/>
          <w:sz w:val="21"/>
        </w:rPr>
        <w:drawing>
          <wp:inline distT="0" distB="0" distL="114300" distR="114300">
            <wp:extent cx="5862955" cy="8295005"/>
            <wp:effectExtent l="0" t="0" r="4445" b="10795"/>
            <wp:docPr id="46" name="图片 46" descr="资质附表--达峰检测(1)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资质附表--达峰检测(1)_50"/>
                    <pic:cNvPicPr>
                      <a:picLocks noChangeAspect="1"/>
                    </pic:cNvPicPr>
                  </pic:nvPicPr>
                  <pic:blipFill>
                    <a:blip r:embed="rId59"/>
                    <a:stretch>
                      <a:fillRect/>
                    </a:stretch>
                  </pic:blipFill>
                  <pic:spPr>
                    <a:xfrm>
                      <a:off x="0" y="0"/>
                      <a:ext cx="5862955" cy="8295005"/>
                    </a:xfrm>
                    <a:prstGeom prst="rect">
                      <a:avLst/>
                    </a:prstGeom>
                  </pic:spPr>
                </pic:pic>
              </a:graphicData>
            </a:graphic>
          </wp:inline>
        </w:drawing>
      </w:r>
      <w:r>
        <w:rPr>
          <w:rFonts w:hint="eastAsia" w:ascii="宋体" w:hAnsi="宋体" w:eastAsia="宋体" w:cs="宋体"/>
          <w:sz w:val="21"/>
        </w:rPr>
        <w:drawing>
          <wp:inline distT="0" distB="0" distL="114300" distR="114300">
            <wp:extent cx="5878195" cy="8316595"/>
            <wp:effectExtent l="0" t="0" r="1905" b="1905"/>
            <wp:docPr id="45" name="图片 45" descr="资质附表--达峰检测(1)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资质附表--达峰检测(1)_51"/>
                    <pic:cNvPicPr>
                      <a:picLocks noChangeAspect="1"/>
                    </pic:cNvPicPr>
                  </pic:nvPicPr>
                  <pic:blipFill>
                    <a:blip r:embed="rId60"/>
                    <a:stretch>
                      <a:fillRect/>
                    </a:stretch>
                  </pic:blipFill>
                  <pic:spPr>
                    <a:xfrm>
                      <a:off x="0" y="0"/>
                      <a:ext cx="5878195" cy="8316595"/>
                    </a:xfrm>
                    <a:prstGeom prst="rect">
                      <a:avLst/>
                    </a:prstGeom>
                  </pic:spPr>
                </pic:pic>
              </a:graphicData>
            </a:graphic>
          </wp:inline>
        </w:drawing>
      </w:r>
      <w:r>
        <w:rPr>
          <w:rFonts w:hint="eastAsia" w:ascii="宋体" w:hAnsi="宋体" w:eastAsia="宋体" w:cs="宋体"/>
          <w:sz w:val="21"/>
        </w:rPr>
        <w:drawing>
          <wp:inline distT="0" distB="0" distL="114300" distR="114300">
            <wp:extent cx="5818505" cy="8232140"/>
            <wp:effectExtent l="0" t="0" r="10795" b="10160"/>
            <wp:docPr id="44" name="图片 44" descr="资质附表--达峰检测(1)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资质附表--达峰检测(1)_52"/>
                    <pic:cNvPicPr>
                      <a:picLocks noChangeAspect="1"/>
                    </pic:cNvPicPr>
                  </pic:nvPicPr>
                  <pic:blipFill>
                    <a:blip r:embed="rId61"/>
                    <a:stretch>
                      <a:fillRect/>
                    </a:stretch>
                  </pic:blipFill>
                  <pic:spPr>
                    <a:xfrm>
                      <a:off x="0" y="0"/>
                      <a:ext cx="5818505" cy="8232140"/>
                    </a:xfrm>
                    <a:prstGeom prst="rect">
                      <a:avLst/>
                    </a:prstGeom>
                  </pic:spPr>
                </pic:pic>
              </a:graphicData>
            </a:graphic>
          </wp:inline>
        </w:drawing>
      </w:r>
      <w:r>
        <w:rPr>
          <w:rFonts w:hint="eastAsia" w:ascii="宋体" w:hAnsi="宋体" w:eastAsia="宋体" w:cs="宋体"/>
          <w:sz w:val="21"/>
        </w:rPr>
        <w:drawing>
          <wp:inline distT="0" distB="0" distL="114300" distR="114300">
            <wp:extent cx="5862955" cy="8295005"/>
            <wp:effectExtent l="0" t="0" r="4445" b="10795"/>
            <wp:docPr id="43" name="图片 43" descr="资质附表--达峰检测(1)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资质附表--达峰检测(1)_53"/>
                    <pic:cNvPicPr>
                      <a:picLocks noChangeAspect="1"/>
                    </pic:cNvPicPr>
                  </pic:nvPicPr>
                  <pic:blipFill>
                    <a:blip r:embed="rId62"/>
                    <a:stretch>
                      <a:fillRect/>
                    </a:stretch>
                  </pic:blipFill>
                  <pic:spPr>
                    <a:xfrm>
                      <a:off x="0" y="0"/>
                      <a:ext cx="5862955" cy="8295005"/>
                    </a:xfrm>
                    <a:prstGeom prst="rect">
                      <a:avLst/>
                    </a:prstGeom>
                  </pic:spPr>
                </pic:pic>
              </a:graphicData>
            </a:graphic>
          </wp:inline>
        </w:drawing>
      </w:r>
      <w:r>
        <w:rPr>
          <w:rFonts w:hint="eastAsia" w:ascii="宋体" w:hAnsi="宋体" w:eastAsia="宋体" w:cs="宋体"/>
          <w:sz w:val="21"/>
        </w:rPr>
        <w:drawing>
          <wp:inline distT="0" distB="0" distL="114300" distR="114300">
            <wp:extent cx="5908040" cy="8358505"/>
            <wp:effectExtent l="0" t="0" r="10160" b="10795"/>
            <wp:docPr id="42" name="图片 42" descr="资质附表--达峰检测(1)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资质附表--达峰检测(1)_54"/>
                    <pic:cNvPicPr>
                      <a:picLocks noChangeAspect="1"/>
                    </pic:cNvPicPr>
                  </pic:nvPicPr>
                  <pic:blipFill>
                    <a:blip r:embed="rId63"/>
                    <a:stretch>
                      <a:fillRect/>
                    </a:stretch>
                  </pic:blipFill>
                  <pic:spPr>
                    <a:xfrm>
                      <a:off x="0" y="0"/>
                      <a:ext cx="5908040" cy="8358505"/>
                    </a:xfrm>
                    <a:prstGeom prst="rect">
                      <a:avLst/>
                    </a:prstGeom>
                  </pic:spPr>
                </pic:pic>
              </a:graphicData>
            </a:graphic>
          </wp:inline>
        </w:drawing>
      </w:r>
      <w:r>
        <w:rPr>
          <w:rFonts w:hint="eastAsia" w:ascii="宋体" w:hAnsi="宋体" w:eastAsia="宋体" w:cs="宋体"/>
          <w:sz w:val="21"/>
        </w:rPr>
        <w:drawing>
          <wp:inline distT="0" distB="0" distL="114300" distR="114300">
            <wp:extent cx="5953125" cy="8422640"/>
            <wp:effectExtent l="0" t="0" r="3175" b="10160"/>
            <wp:docPr id="41" name="图片 41" descr="资质附表--达峰检测(1)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资质附表--达峰检测(1)_55"/>
                    <pic:cNvPicPr>
                      <a:picLocks noChangeAspect="1"/>
                    </pic:cNvPicPr>
                  </pic:nvPicPr>
                  <pic:blipFill>
                    <a:blip r:embed="rId64"/>
                    <a:stretch>
                      <a:fillRect/>
                    </a:stretch>
                  </pic:blipFill>
                  <pic:spPr>
                    <a:xfrm>
                      <a:off x="0" y="0"/>
                      <a:ext cx="5953125" cy="8422640"/>
                    </a:xfrm>
                    <a:prstGeom prst="rect">
                      <a:avLst/>
                    </a:prstGeom>
                  </pic:spPr>
                </pic:pic>
              </a:graphicData>
            </a:graphic>
          </wp:inline>
        </w:drawing>
      </w:r>
      <w:r>
        <w:rPr>
          <w:rFonts w:hint="eastAsia" w:ascii="宋体" w:hAnsi="宋体" w:eastAsia="宋体" w:cs="宋体"/>
          <w:sz w:val="21"/>
        </w:rPr>
        <w:drawing>
          <wp:inline distT="0" distB="0" distL="114300" distR="114300">
            <wp:extent cx="6012815" cy="8507095"/>
            <wp:effectExtent l="0" t="0" r="6985" b="1905"/>
            <wp:docPr id="40" name="图片 40" descr="资质附表--达峰检测(1)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资质附表--达峰检测(1)_56"/>
                    <pic:cNvPicPr>
                      <a:picLocks noChangeAspect="1"/>
                    </pic:cNvPicPr>
                  </pic:nvPicPr>
                  <pic:blipFill>
                    <a:blip r:embed="rId65"/>
                    <a:stretch>
                      <a:fillRect/>
                    </a:stretch>
                  </pic:blipFill>
                  <pic:spPr>
                    <a:xfrm>
                      <a:off x="0" y="0"/>
                      <a:ext cx="6012815" cy="8507095"/>
                    </a:xfrm>
                    <a:prstGeom prst="rect">
                      <a:avLst/>
                    </a:prstGeom>
                  </pic:spPr>
                </pic:pic>
              </a:graphicData>
            </a:graphic>
          </wp:inline>
        </w:drawing>
      </w:r>
    </w:p>
    <w:p>
      <w:pPr>
        <w:pageBreakBefore w:val="0"/>
        <w:numPr>
          <w:ilvl w:val="1"/>
          <w:numId w:val="0"/>
        </w:numPr>
        <w:kinsoku/>
        <w:wordWrap/>
        <w:overflowPunct/>
        <w:topLinePunct w:val="0"/>
        <w:bidi w:val="0"/>
        <w:spacing w:before="0" w:after="0" w:line="360" w:lineRule="auto"/>
        <w:ind w:left="0" w:leftChars="0" w:right="0"/>
        <w:jc w:val="both"/>
        <w:outlineLvl w:val="0"/>
        <w:rPr>
          <w:rFonts w:hint="eastAsia" w:ascii="宋体" w:hAnsi="宋体" w:eastAsia="宋体" w:cs="宋体"/>
          <w:b/>
          <w:bCs/>
          <w:color w:val="auto"/>
          <w:spacing w:val="0"/>
          <w:highlight w:val="none"/>
          <w:u w:val="none"/>
          <w:lang w:val="en-US" w:eastAsia="zh-CN"/>
        </w:rPr>
      </w:pPr>
      <w:bookmarkStart w:id="322" w:name="_Toc18453"/>
      <w:r>
        <w:rPr>
          <w:rFonts w:hint="eastAsia" w:cs="宋体"/>
          <w:b/>
          <w:bCs/>
          <w:color w:val="auto"/>
          <w:spacing w:val="0"/>
          <w:highlight w:val="none"/>
          <w:u w:val="none"/>
          <w:lang w:eastAsia="zh-CN"/>
        </w:rPr>
        <w:t>附件3</w:t>
      </w:r>
      <w:r>
        <w:rPr>
          <w:rFonts w:hint="eastAsia" w:ascii="宋体" w:hAnsi="宋体" w:eastAsia="宋体" w:cs="宋体"/>
          <w:b/>
          <w:bCs/>
          <w:color w:val="auto"/>
          <w:spacing w:val="0"/>
          <w:highlight w:val="none"/>
          <w:u w:val="none"/>
          <w:lang w:val="en-US" w:eastAsia="zh-CN"/>
        </w:rPr>
        <w:t xml:space="preserve"> 岩土工程勘察报告（剖面图、钻孔柱状图）</w:t>
      </w:r>
      <w:bookmarkEnd w:id="319"/>
      <w:bookmarkEnd w:id="320"/>
      <w:bookmarkEnd w:id="321"/>
      <w:bookmarkEnd w:id="322"/>
    </w:p>
    <w:p>
      <w:pPr>
        <w:spacing w:line="240" w:lineRule="auto"/>
        <w:ind w:left="0" w:leftChars="0" w:firstLine="0" w:firstLineChars="0"/>
        <w:outlineLvl w:val="9"/>
        <w:rPr>
          <w:rFonts w:hint="eastAsia" w:ascii="宋体" w:hAnsi="宋体" w:eastAsia="宋体" w:cs="宋体"/>
          <w:color w:val="auto"/>
          <w:spacing w:val="0"/>
          <w:highlight w:val="none"/>
          <w:lang w:val="en-US" w:eastAsia="zh-CN"/>
        </w:rPr>
      </w:pPr>
      <w:r>
        <w:rPr>
          <w:rFonts w:hint="eastAsia" w:ascii="宋体" w:hAnsi="宋体" w:eastAsia="宋体" w:cs="宋体"/>
          <w:color w:val="auto"/>
          <w:spacing w:val="0"/>
          <w:highlight w:val="none"/>
          <w:lang w:val="en-US" w:eastAsia="zh-CN"/>
        </w:rPr>
        <w:drawing>
          <wp:inline distT="0" distB="0" distL="114300" distR="114300">
            <wp:extent cx="7972425" cy="5979160"/>
            <wp:effectExtent l="0" t="0" r="2540" b="3175"/>
            <wp:docPr id="6" name="图片 6" descr="a7fa168279c43277db412a9c8bea302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7fa168279c43277db412a9c8bea302c_"/>
                    <pic:cNvPicPr>
                      <a:picLocks noChangeAspect="1"/>
                    </pic:cNvPicPr>
                  </pic:nvPicPr>
                  <pic:blipFill>
                    <a:blip r:embed="rId66"/>
                    <a:stretch>
                      <a:fillRect/>
                    </a:stretch>
                  </pic:blipFill>
                  <pic:spPr>
                    <a:xfrm rot="16200000">
                      <a:off x="0" y="0"/>
                      <a:ext cx="7972425" cy="5979160"/>
                    </a:xfrm>
                    <a:prstGeom prst="rect">
                      <a:avLst/>
                    </a:prstGeom>
                  </pic:spPr>
                </pic:pic>
              </a:graphicData>
            </a:graphic>
          </wp:inline>
        </w:drawing>
      </w:r>
      <w:r>
        <w:rPr>
          <w:rFonts w:hint="eastAsia" w:ascii="宋体" w:hAnsi="宋体" w:eastAsia="宋体" w:cs="宋体"/>
          <w:color w:val="auto"/>
          <w:spacing w:val="0"/>
          <w:highlight w:val="none"/>
          <w:lang w:val="en-US" w:eastAsia="zh-CN"/>
        </w:rPr>
        <w:br w:type="page"/>
      </w:r>
    </w:p>
    <w:p>
      <w:pPr>
        <w:pageBreakBefore w:val="0"/>
        <w:kinsoku/>
        <w:wordWrap/>
        <w:overflowPunct/>
        <w:topLinePunct w:val="0"/>
        <w:bidi w:val="0"/>
        <w:spacing w:line="240" w:lineRule="auto"/>
        <w:ind w:left="0" w:leftChars="0" w:right="0" w:firstLine="0" w:firstLineChars="0"/>
        <w:rPr>
          <w:rFonts w:hint="eastAsia" w:ascii="宋体" w:hAnsi="宋体" w:eastAsia="宋体" w:cs="宋体"/>
          <w:color w:val="auto"/>
          <w:spacing w:val="0"/>
          <w:highlight w:val="none"/>
          <w:lang w:val="en-US" w:eastAsia="zh-CN"/>
        </w:rPr>
      </w:pPr>
      <w:r>
        <w:rPr>
          <w:rFonts w:hint="eastAsia" w:ascii="宋体" w:hAnsi="宋体" w:eastAsia="宋体" w:cs="宋体"/>
          <w:color w:val="auto"/>
          <w:spacing w:val="0"/>
          <w:highlight w:val="none"/>
          <w:lang w:val="en-US" w:eastAsia="zh-CN"/>
        </w:rPr>
        <w:drawing>
          <wp:inline distT="0" distB="0" distL="114300" distR="114300">
            <wp:extent cx="8305800" cy="6229350"/>
            <wp:effectExtent l="0" t="0" r="6350" b="0"/>
            <wp:docPr id="7" name="图片 7" descr="2738b2b37bf0c7283f74665e342ff9ef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738b2b37bf0c7283f74665e342ff9ef_2(1"/>
                    <pic:cNvPicPr>
                      <a:picLocks noChangeAspect="1"/>
                    </pic:cNvPicPr>
                  </pic:nvPicPr>
                  <pic:blipFill>
                    <a:blip r:embed="rId67"/>
                    <a:stretch>
                      <a:fillRect/>
                    </a:stretch>
                  </pic:blipFill>
                  <pic:spPr>
                    <a:xfrm rot="16200000">
                      <a:off x="0" y="0"/>
                      <a:ext cx="8305800" cy="6229350"/>
                    </a:xfrm>
                    <a:prstGeom prst="rect">
                      <a:avLst/>
                    </a:prstGeom>
                  </pic:spPr>
                </pic:pic>
              </a:graphicData>
            </a:graphic>
          </wp:inline>
        </w:drawing>
      </w:r>
    </w:p>
    <w:p>
      <w:pPr>
        <w:spacing w:line="240" w:lineRule="auto"/>
        <w:ind w:left="0" w:leftChars="0" w:firstLine="0" w:firstLineChars="0"/>
        <w:rPr>
          <w:color w:val="auto"/>
          <w:highlight w:val="none"/>
        </w:rPr>
      </w:pPr>
      <w:r>
        <w:rPr>
          <w:color w:val="auto"/>
          <w:highlight w:val="none"/>
        </w:rPr>
        <w:drawing>
          <wp:inline distT="0" distB="0" distL="114300" distR="114300">
            <wp:extent cx="6177915" cy="8409305"/>
            <wp:effectExtent l="0" t="0" r="6985" b="1079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8"/>
                    <a:stretch>
                      <a:fillRect/>
                    </a:stretch>
                  </pic:blipFill>
                  <pic:spPr>
                    <a:xfrm>
                      <a:off x="0" y="0"/>
                      <a:ext cx="6177915" cy="8409305"/>
                    </a:xfrm>
                    <a:prstGeom prst="rect">
                      <a:avLst/>
                    </a:prstGeom>
                    <a:noFill/>
                    <a:ln>
                      <a:noFill/>
                    </a:ln>
                  </pic:spPr>
                </pic:pic>
              </a:graphicData>
            </a:graphic>
          </wp:inline>
        </w:drawing>
      </w:r>
    </w:p>
    <w:p>
      <w:pPr>
        <w:pStyle w:val="9"/>
        <w:ind w:left="0" w:leftChars="0" w:firstLine="0" w:firstLineChars="0"/>
        <w:rPr>
          <w:rFonts w:hint="eastAsia"/>
          <w:color w:val="auto"/>
          <w:highlight w:val="none"/>
          <w:lang w:val="en-US" w:eastAsia="zh-CN"/>
        </w:rPr>
      </w:pPr>
      <w:r>
        <w:rPr>
          <w:rFonts w:hint="eastAsia"/>
          <w:color w:val="auto"/>
          <w:highlight w:val="none"/>
          <w:lang w:val="en-US" w:eastAsia="zh-CN"/>
        </w:rPr>
        <w:drawing>
          <wp:inline distT="0" distB="0" distL="114300" distR="114300">
            <wp:extent cx="8337550" cy="6253480"/>
            <wp:effectExtent l="0" t="0" r="7620" b="6350"/>
            <wp:docPr id="13" name="图片 13" descr="73935c63ee995dddc1f914c05af5a165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3935c63ee995dddc1f914c05af5a165_2(1"/>
                    <pic:cNvPicPr>
                      <a:picLocks noChangeAspect="1"/>
                    </pic:cNvPicPr>
                  </pic:nvPicPr>
                  <pic:blipFill>
                    <a:blip r:embed="rId69"/>
                    <a:stretch>
                      <a:fillRect/>
                    </a:stretch>
                  </pic:blipFill>
                  <pic:spPr>
                    <a:xfrm rot="16200000">
                      <a:off x="0" y="0"/>
                      <a:ext cx="8337550" cy="6253480"/>
                    </a:xfrm>
                    <a:prstGeom prst="rect">
                      <a:avLst/>
                    </a:prstGeom>
                  </pic:spPr>
                </pic:pic>
              </a:graphicData>
            </a:graphic>
          </wp:inline>
        </w:drawing>
      </w:r>
    </w:p>
    <w:p>
      <w:pPr>
        <w:pStyle w:val="9"/>
        <w:ind w:left="0" w:leftChars="0" w:firstLine="0" w:firstLineChars="0"/>
        <w:rPr>
          <w:rFonts w:hint="eastAsia"/>
          <w:color w:val="auto"/>
          <w:highlight w:val="none"/>
          <w:lang w:val="en-US" w:eastAsia="zh-CN"/>
        </w:rPr>
      </w:pPr>
      <w:r>
        <w:rPr>
          <w:rFonts w:hint="eastAsia"/>
          <w:color w:val="auto"/>
          <w:highlight w:val="none"/>
          <w:lang w:val="en-US" w:eastAsia="zh-CN"/>
        </w:rPr>
        <w:drawing>
          <wp:inline distT="0" distB="0" distL="114300" distR="114300">
            <wp:extent cx="6089015" cy="8119110"/>
            <wp:effectExtent l="0" t="0" r="6985" b="8890"/>
            <wp:docPr id="14" name="图片 14" descr="fdeeb80dbb847fdc5de9e401607555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deeb80dbb847fdc5de9e40160755554_"/>
                    <pic:cNvPicPr>
                      <a:picLocks noChangeAspect="1"/>
                    </pic:cNvPicPr>
                  </pic:nvPicPr>
                  <pic:blipFill>
                    <a:blip r:embed="rId70"/>
                    <a:stretch>
                      <a:fillRect/>
                    </a:stretch>
                  </pic:blipFill>
                  <pic:spPr>
                    <a:xfrm>
                      <a:off x="0" y="0"/>
                      <a:ext cx="6089015" cy="8119110"/>
                    </a:xfrm>
                    <a:prstGeom prst="rect">
                      <a:avLst/>
                    </a:prstGeom>
                  </pic:spPr>
                </pic:pic>
              </a:graphicData>
            </a:graphic>
          </wp:inline>
        </w:drawing>
      </w:r>
    </w:p>
    <w:p>
      <w:pPr>
        <w:spacing w:line="240" w:lineRule="auto"/>
        <w:ind w:left="0" w:leftChars="0" w:firstLine="0" w:firstLineChars="0"/>
        <w:rPr>
          <w:rFonts w:hint="eastAsia"/>
          <w:color w:val="auto"/>
          <w:highlight w:val="none"/>
          <w:lang w:val="en-US" w:eastAsia="zh-CN"/>
        </w:rPr>
        <w:sectPr>
          <w:pgSz w:w="11906" w:h="16838"/>
          <w:pgMar w:top="1701" w:right="1587" w:bottom="1701" w:left="1587" w:header="1077" w:footer="1134" w:gutter="0"/>
          <w:pgBorders>
            <w:top w:val="none" w:sz="0" w:space="0"/>
            <w:left w:val="none" w:sz="0" w:space="0"/>
            <w:bottom w:val="none" w:sz="0" w:space="0"/>
            <w:right w:val="none" w:sz="0" w:space="0"/>
          </w:pgBorders>
          <w:pgNumType w:fmt="decimal"/>
          <w:cols w:space="0" w:num="1"/>
          <w:rtlGutter w:val="0"/>
          <w:docGrid w:type="lines" w:linePitch="396" w:charSpace="0"/>
        </w:sectPr>
      </w:pPr>
    </w:p>
    <w:p>
      <w:pPr>
        <w:spacing w:line="240" w:lineRule="auto"/>
        <w:ind w:left="0" w:leftChars="0" w:firstLine="0" w:firstLineChars="0"/>
        <w:outlineLvl w:val="9"/>
        <w:rPr>
          <w:rFonts w:hint="eastAsia" w:ascii="宋体" w:hAnsi="宋体" w:eastAsia="宋体" w:cs="宋体"/>
        </w:rPr>
      </w:pPr>
      <w:r>
        <w:rPr>
          <w:rFonts w:hint="eastAsia"/>
          <w:color w:val="auto"/>
          <w:highlight w:val="none"/>
          <w:lang w:val="en-US" w:eastAsia="zh-CN"/>
        </w:rPr>
        <w:drawing>
          <wp:anchor distT="0" distB="0" distL="114300" distR="114300" simplePos="0" relativeHeight="251676672" behindDoc="1" locked="0" layoutInCell="1" allowOverlap="1">
            <wp:simplePos x="0" y="0"/>
            <wp:positionH relativeFrom="column">
              <wp:posOffset>398145</wp:posOffset>
            </wp:positionH>
            <wp:positionV relativeFrom="paragraph">
              <wp:posOffset>-132715</wp:posOffset>
            </wp:positionV>
            <wp:extent cx="7757795" cy="5818505"/>
            <wp:effectExtent l="0" t="0" r="14605" b="10795"/>
            <wp:wrapTight wrapText="bothSides">
              <wp:wrapPolygon>
                <wp:start x="21600" y="21600"/>
                <wp:lineTo x="21600" y="101"/>
                <wp:lineTo x="65" y="101"/>
                <wp:lineTo x="65" y="21600"/>
                <wp:lineTo x="21600" y="21600"/>
              </wp:wrapPolygon>
            </wp:wrapTight>
            <wp:docPr id="15" name="图片 15" descr="dd491b55f9a34eab972b948e7ac2915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d491b55f9a34eab972b948e7ac29150_"/>
                    <pic:cNvPicPr>
                      <a:picLocks noChangeAspect="1"/>
                    </pic:cNvPicPr>
                  </pic:nvPicPr>
                  <pic:blipFill>
                    <a:blip r:embed="rId71"/>
                    <a:stretch>
                      <a:fillRect/>
                    </a:stretch>
                  </pic:blipFill>
                  <pic:spPr>
                    <a:xfrm rot="10800000">
                      <a:off x="0" y="0"/>
                      <a:ext cx="7757795" cy="5818505"/>
                    </a:xfrm>
                    <a:prstGeom prst="rect">
                      <a:avLst/>
                    </a:prstGeom>
                  </pic:spPr>
                </pic:pic>
              </a:graphicData>
            </a:graphic>
          </wp:anchor>
        </w:drawing>
      </w:r>
    </w:p>
    <w:sectPr>
      <w:footerReference r:id="rId13" w:type="default"/>
      <w:pgSz w:w="16838" w:h="11905" w:orient="landscape"/>
      <w:pgMar w:top="1587" w:right="1701" w:bottom="1587" w:left="1701" w:header="1077" w:footer="1134" w:gutter="0"/>
      <w:pgNumType w:fmt="decimal"/>
      <w:cols w:space="0" w:num="1"/>
      <w:rtlGutter w:val="0"/>
      <w:docGrid w:type="lines" w:linePitch="4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Gulim">
    <w:panose1 w:val="020B0600000101010101"/>
    <w:charset w:val="81"/>
    <w:family w:val="auto"/>
    <w:pitch w:val="default"/>
    <w:sig w:usb0="B00002AF" w:usb1="69D77CFB" w:usb2="00000030" w:usb3="00000000" w:csb0="4008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Times New Roman" w:hAnsi="Times New Roman"/>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27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24</w:t>
                    </w:r>
                    <w:r>
                      <w:fldChar w:fldCharType="end"/>
                    </w:r>
                  </w:p>
                </w:txbxContent>
              </v:textbox>
            </v:shape>
          </w:pict>
        </mc:Fallback>
      </mc:AlternateContent>
    </w:r>
    <w:r>
      <w:rPr>
        <w:rFonts w:ascii="Times New Roman" w:hAnsi="Times New Roman" w:eastAsia="Times New Roman" w:cs="Times New Roman"/>
        <w:spacing w:val="-1"/>
        <w:sz w:val="18"/>
        <w:szCs w:val="18"/>
      </w:rPr>
      <w:t>26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710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25</w:t>
                    </w:r>
                    <w:r>
                      <w:fldChar w:fldCharType="end"/>
                    </w:r>
                  </w:p>
                </w:txbxContent>
              </v:textbox>
            </v:shape>
          </w:pict>
        </mc:Fallback>
      </mc:AlternateContent>
    </w:r>
    <w:r>
      <w:rPr>
        <w:rFonts w:ascii="Times New Roman" w:hAnsi="Times New Roman" w:eastAsia="Times New Roman" w:cs="Times New Roman"/>
        <w:spacing w:val="-1"/>
        <w:sz w:val="18"/>
        <w:szCs w:val="18"/>
      </w:rPr>
      <w:t>27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Times New Roman" w:hAnsi="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idowControl w:val="0"/>
      <w:rPr>
        <w:rFonts w:ascii="Times New Roman" w:hAnsi="Times New Roman" w:eastAsia="Calibri" w:cs="Times New Roman"/>
        <w:kern w:val="2"/>
        <w:sz w:val="21"/>
        <w:szCs w:val="21"/>
        <w:lang w:val="en-US" w:eastAsia="zh-CN" w:bidi="ar-SA"/>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Times New Roman" w:hAnsi="Times New Roma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62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spacing w:before="0" w:after="0" w:line="14" w:lineRule="auto"/>
      <w:ind w:left="0" w:right="0"/>
      <w:jc w:val="left"/>
      <w:rPr>
        <w:rFonts w:ascii="宋体" w:hAnsi="宋体" w:eastAsia="宋体" w:cs="宋体"/>
        <w:sz w:val="20"/>
        <w:szCs w:val="28"/>
        <w:lang w:val="zh-CN" w:eastAsia="zh-CN" w:bidi="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61FE74"/>
    <w:multiLevelType w:val="multilevel"/>
    <w:tmpl w:val="9B61FE74"/>
    <w:lvl w:ilvl="0" w:tentative="0">
      <w:start w:val="1"/>
      <w:numFmt w:val="chineseCountingThousand"/>
      <w:suff w:val="nothing"/>
      <w:lvlText w:val="第%1章"/>
      <w:lvlJc w:val="left"/>
      <w:pPr>
        <w:ind w:left="0" w:firstLine="0"/>
      </w:pPr>
      <w:rPr>
        <w:rFonts w:hint="eastAsia" w:ascii="黑体" w:hAnsi="黑体" w:eastAsia="黑体"/>
        <w:sz w:val="36"/>
        <w:szCs w:val="36"/>
      </w:rPr>
    </w:lvl>
    <w:lvl w:ilvl="1" w:tentative="0">
      <w:start w:val="1"/>
      <w:numFmt w:val="none"/>
      <w:pStyle w:val="3"/>
      <w:suff w:val="nothing"/>
      <w:lvlText w:val=""/>
      <w:lvlJc w:val="left"/>
      <w:pPr>
        <w:ind w:left="0" w:firstLine="0"/>
      </w:pPr>
      <w:rPr>
        <w:rFonts w:hint="eastAsia"/>
      </w:rPr>
    </w:lvl>
    <w:lvl w:ilvl="2" w:tentative="0">
      <w:start w:val="1"/>
      <w:numFmt w:val="none"/>
      <w:pStyle w:val="4"/>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
    <w:nsid w:val="C643824B"/>
    <w:multiLevelType w:val="singleLevel"/>
    <w:tmpl w:val="C643824B"/>
    <w:lvl w:ilvl="0" w:tentative="0">
      <w:start w:val="1"/>
      <w:numFmt w:val="decimal"/>
      <w:suff w:val="nothing"/>
      <w:lvlText w:val="%1）"/>
      <w:lvlJc w:val="left"/>
    </w:lvl>
  </w:abstractNum>
  <w:abstractNum w:abstractNumId="2">
    <w:nsid w:val="78FDED9E"/>
    <w:multiLevelType w:val="singleLevel"/>
    <w:tmpl w:val="78FDED9E"/>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embedSystemFonts/>
  <w:bordersDoNotSurroundHeader w:val="1"/>
  <w:bordersDoNotSurroundFooter w:val="1"/>
  <w:documentProtection w:enforcement="0"/>
  <w:defaultTabStop w:val="420"/>
  <w:drawingGridVerticalSpacing w:val="208"/>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zMmUwMzk4MWQ5MGEwNDk5NjRiOGY3OWZiMDkyMTMifQ=="/>
  </w:docVars>
  <w:rsids>
    <w:rsidRoot w:val="2CBF0C24"/>
    <w:rsid w:val="0158789D"/>
    <w:rsid w:val="0389073D"/>
    <w:rsid w:val="043203F2"/>
    <w:rsid w:val="054641E6"/>
    <w:rsid w:val="067F3540"/>
    <w:rsid w:val="0C796AFD"/>
    <w:rsid w:val="0D452595"/>
    <w:rsid w:val="0DE501A0"/>
    <w:rsid w:val="0E94470F"/>
    <w:rsid w:val="0FE97737"/>
    <w:rsid w:val="105E23FD"/>
    <w:rsid w:val="130F48A2"/>
    <w:rsid w:val="13B92D06"/>
    <w:rsid w:val="19D62C82"/>
    <w:rsid w:val="19F35022"/>
    <w:rsid w:val="1EF94D20"/>
    <w:rsid w:val="249D274B"/>
    <w:rsid w:val="25371AAD"/>
    <w:rsid w:val="27C052F3"/>
    <w:rsid w:val="28B15B83"/>
    <w:rsid w:val="29A70519"/>
    <w:rsid w:val="2A7F7171"/>
    <w:rsid w:val="2AFB4D84"/>
    <w:rsid w:val="2CBF0C24"/>
    <w:rsid w:val="2D2B6D65"/>
    <w:rsid w:val="2E255A7A"/>
    <w:rsid w:val="308050E6"/>
    <w:rsid w:val="308C0468"/>
    <w:rsid w:val="31D15592"/>
    <w:rsid w:val="33BE302F"/>
    <w:rsid w:val="350C3522"/>
    <w:rsid w:val="35372AA8"/>
    <w:rsid w:val="364F191D"/>
    <w:rsid w:val="376C38F1"/>
    <w:rsid w:val="39B25EC8"/>
    <w:rsid w:val="39DA3B51"/>
    <w:rsid w:val="3CD11D42"/>
    <w:rsid w:val="3F4F77DE"/>
    <w:rsid w:val="41FA01FE"/>
    <w:rsid w:val="42EE4A55"/>
    <w:rsid w:val="44D4074E"/>
    <w:rsid w:val="45D43AD7"/>
    <w:rsid w:val="45F656FE"/>
    <w:rsid w:val="46542C1A"/>
    <w:rsid w:val="486706F8"/>
    <w:rsid w:val="4B42108B"/>
    <w:rsid w:val="4B7847A0"/>
    <w:rsid w:val="4BC43B9E"/>
    <w:rsid w:val="4C376BB6"/>
    <w:rsid w:val="4C697705"/>
    <w:rsid w:val="4CC8759D"/>
    <w:rsid w:val="4ED626AB"/>
    <w:rsid w:val="4F057870"/>
    <w:rsid w:val="50C36A0F"/>
    <w:rsid w:val="521E7F3D"/>
    <w:rsid w:val="53672943"/>
    <w:rsid w:val="54795588"/>
    <w:rsid w:val="55BF2AC6"/>
    <w:rsid w:val="5699022D"/>
    <w:rsid w:val="57AC4467"/>
    <w:rsid w:val="593F1BE0"/>
    <w:rsid w:val="5A7E40BB"/>
    <w:rsid w:val="5D945425"/>
    <w:rsid w:val="5E560CAC"/>
    <w:rsid w:val="60BE3BB6"/>
    <w:rsid w:val="60ED2AF8"/>
    <w:rsid w:val="646075D6"/>
    <w:rsid w:val="657E1006"/>
    <w:rsid w:val="6600417D"/>
    <w:rsid w:val="6716400D"/>
    <w:rsid w:val="69937E32"/>
    <w:rsid w:val="6A620361"/>
    <w:rsid w:val="6B621F16"/>
    <w:rsid w:val="6CFF4B44"/>
    <w:rsid w:val="70835662"/>
    <w:rsid w:val="722B6ABD"/>
    <w:rsid w:val="748A60ED"/>
    <w:rsid w:val="779D426C"/>
    <w:rsid w:val="789906C0"/>
    <w:rsid w:val="7A4A5A80"/>
    <w:rsid w:val="7C120DEF"/>
    <w:rsid w:val="7C2C6987"/>
    <w:rsid w:val="7D367A9E"/>
    <w:rsid w:val="7D6733BC"/>
    <w:rsid w:val="7E093127"/>
    <w:rsid w:val="7E1601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Calibri" w:cs="Times New Roman"/>
      <w:kern w:val="2"/>
      <w:sz w:val="21"/>
      <w:szCs w:val="24"/>
      <w:lang w:val="en-US" w:eastAsia="zh-CN" w:bidi="ar-SA"/>
    </w:rPr>
  </w:style>
  <w:style w:type="paragraph" w:styleId="2">
    <w:name w:val="heading 1"/>
    <w:basedOn w:val="1"/>
    <w:next w:val="1"/>
    <w:qFormat/>
    <w:uiPriority w:val="0"/>
    <w:pPr>
      <w:spacing w:line="520" w:lineRule="exact"/>
      <w:ind w:left="0" w:firstLine="0"/>
      <w:outlineLvl w:val="0"/>
    </w:pPr>
    <w:rPr>
      <w:rFonts w:ascii="宋体" w:hAnsi="宋体" w:eastAsia="宋体" w:cs="宋体"/>
      <w:b/>
      <w:bCs/>
      <w:sz w:val="32"/>
      <w:szCs w:val="32"/>
      <w:lang w:val="zh-CN" w:bidi="zh-CN"/>
    </w:rPr>
  </w:style>
  <w:style w:type="paragraph" w:styleId="3">
    <w:name w:val="heading 2"/>
    <w:basedOn w:val="1"/>
    <w:next w:val="1"/>
    <w:link w:val="41"/>
    <w:unhideWhenUsed/>
    <w:qFormat/>
    <w:uiPriority w:val="0"/>
    <w:pPr>
      <w:keepNext/>
      <w:keepLines/>
      <w:numPr>
        <w:ilvl w:val="1"/>
        <w:numId w:val="1"/>
      </w:numPr>
      <w:spacing w:before="120" w:after="120" w:line="520" w:lineRule="exact"/>
      <w:outlineLvl w:val="1"/>
    </w:pPr>
    <w:rPr>
      <w:rFonts w:ascii="Cambria" w:hAnsi="Cambria" w:eastAsiaTheme="minorEastAsia"/>
      <w:b/>
      <w:bCs/>
      <w:sz w:val="28"/>
      <w:szCs w:val="32"/>
    </w:rPr>
  </w:style>
  <w:style w:type="paragraph" w:styleId="4">
    <w:name w:val="heading 3"/>
    <w:basedOn w:val="1"/>
    <w:next w:val="1"/>
    <w:semiHidden/>
    <w:unhideWhenUsed/>
    <w:qFormat/>
    <w:uiPriority w:val="0"/>
    <w:pPr>
      <w:keepNext/>
      <w:keepLines/>
      <w:numPr>
        <w:ilvl w:val="2"/>
        <w:numId w:val="1"/>
      </w:numPr>
      <w:spacing w:before="260" w:beforeLines="0" w:beforeAutospacing="0" w:after="260" w:afterLines="0" w:afterAutospacing="0" w:line="413" w:lineRule="auto"/>
      <w:outlineLvl w:val="2"/>
    </w:pPr>
    <w:rPr>
      <w:b/>
      <w:sz w:val="32"/>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style>
  <w:style w:type="paragraph" w:styleId="6">
    <w:name w:val="Body Text"/>
    <w:basedOn w:val="1"/>
    <w:next w:val="7"/>
    <w:qFormat/>
    <w:uiPriority w:val="1"/>
    <w:rPr>
      <w:rFonts w:ascii="宋体" w:hAnsi="宋体" w:eastAsia="宋体" w:cs="宋体"/>
      <w:sz w:val="28"/>
      <w:szCs w:val="28"/>
      <w:lang w:val="zh-CN" w:eastAsia="zh-CN" w:bidi="zh-CN"/>
    </w:rPr>
  </w:style>
  <w:style w:type="paragraph" w:styleId="7">
    <w:name w:val="Body Text 2"/>
    <w:basedOn w:val="1"/>
    <w:unhideWhenUsed/>
    <w:qFormat/>
    <w:uiPriority w:val="99"/>
    <w:pPr>
      <w:widowControl w:val="0"/>
      <w:spacing w:line="360" w:lineRule="auto"/>
      <w:ind w:firstLine="200" w:firstLineChars="200"/>
      <w:jc w:val="both"/>
    </w:pPr>
    <w:rPr>
      <w:rFonts w:ascii="Calibri" w:hAnsi="Calibri" w:eastAsia="楷体_GB2312" w:cs="Times New Roman"/>
      <w:kern w:val="2"/>
      <w:sz w:val="32"/>
      <w:szCs w:val="24"/>
      <w:lang w:val="en-US" w:eastAsia="zh-CN" w:bidi="ar-SA"/>
    </w:rPr>
  </w:style>
  <w:style w:type="paragraph" w:styleId="8">
    <w:name w:val="Body Text Indent"/>
    <w:basedOn w:val="1"/>
    <w:unhideWhenUsed/>
    <w:qFormat/>
    <w:uiPriority w:val="99"/>
    <w:pPr>
      <w:spacing w:after="120"/>
      <w:ind w:left="420" w:leftChars="200"/>
    </w:pPr>
  </w:style>
  <w:style w:type="paragraph" w:styleId="9">
    <w:name w:val="Block Text"/>
    <w:basedOn w:val="1"/>
    <w:next w:val="1"/>
    <w:qFormat/>
    <w:uiPriority w:val="0"/>
    <w:pPr>
      <w:snapToGrid w:val="0"/>
      <w:spacing w:line="408" w:lineRule="auto"/>
      <w:ind w:left="-113" w:right="-510" w:firstLine="510"/>
    </w:pPr>
    <w:rPr>
      <w:sz w:val="24"/>
      <w:szCs w:val="20"/>
    </w:rPr>
  </w:style>
  <w:style w:type="paragraph" w:styleId="10">
    <w:name w:val="Plain Text"/>
    <w:basedOn w:val="1"/>
    <w:qFormat/>
    <w:uiPriority w:val="0"/>
    <w:rPr>
      <w:rFonts w:ascii="宋体" w:hAnsi="Courier New"/>
    </w:rPr>
  </w:style>
  <w:style w:type="paragraph" w:styleId="11">
    <w:name w:val="footer"/>
    <w:basedOn w:val="1"/>
    <w:qFormat/>
    <w:uiPriority w:val="99"/>
    <w:pPr>
      <w:tabs>
        <w:tab w:val="center" w:pos="4153"/>
        <w:tab w:val="right" w:pos="8306"/>
      </w:tabs>
      <w:snapToGrid w:val="0"/>
      <w:jc w:val="left"/>
    </w:pPr>
    <w:rPr>
      <w:sz w:val="18"/>
    </w:rPr>
  </w:style>
  <w:style w:type="paragraph" w:styleId="12">
    <w:name w:val="header"/>
    <w:basedOn w:val="1"/>
    <w:unhideWhenUsed/>
    <w:qFormat/>
    <w:uiPriority w:val="99"/>
    <w:pPr>
      <w:pBdr>
        <w:bottom w:val="single" w:color="auto" w:sz="6" w:space="1"/>
      </w:pBdr>
      <w:tabs>
        <w:tab w:val="center" w:pos="4153"/>
        <w:tab w:val="right" w:pos="8306"/>
      </w:tabs>
      <w:spacing w:line="240" w:lineRule="atLeast"/>
      <w:jc w:val="center"/>
    </w:pPr>
    <w:rPr>
      <w:sz w:val="18"/>
      <w:szCs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rPr>
      <w:sz w:val="24"/>
    </w:rPr>
  </w:style>
  <w:style w:type="paragraph" w:styleId="16">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7">
    <w:name w:val="Body Text First Indent"/>
    <w:basedOn w:val="6"/>
    <w:next w:val="18"/>
    <w:qFormat/>
    <w:uiPriority w:val="0"/>
    <w:pPr>
      <w:spacing w:after="0"/>
      <w:ind w:firstLine="420" w:firstLineChars="100"/>
    </w:pPr>
    <w:rPr>
      <w:rFonts w:eastAsia="仿宋_GB2312" w:cs="Times New Roman"/>
      <w:kern w:val="0"/>
      <w:sz w:val="32"/>
      <w:szCs w:val="24"/>
    </w:rPr>
  </w:style>
  <w:style w:type="paragraph" w:styleId="18">
    <w:name w:val="Body Text First Indent 2"/>
    <w:basedOn w:val="8"/>
    <w:next w:val="1"/>
    <w:qFormat/>
    <w:uiPriority w:val="0"/>
    <w:pPr>
      <w:ind w:firstLine="42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paragraph" w:customStyle="1" w:styleId="23">
    <w:name w:val="WPSOffice手动目录 1"/>
    <w:qFormat/>
    <w:uiPriority w:val="0"/>
    <w:rPr>
      <w:rFonts w:ascii="Calibri" w:hAnsi="Calibri" w:eastAsia="Calibri" w:cs="Times New Roman"/>
      <w:lang w:val="en-US" w:eastAsia="zh-CN" w:bidi="ar-SA"/>
    </w:rPr>
  </w:style>
  <w:style w:type="paragraph" w:customStyle="1" w:styleId="24">
    <w:name w:val="WPSOffice手动目录 2"/>
    <w:qFormat/>
    <w:uiPriority w:val="0"/>
    <w:pPr>
      <w:ind w:leftChars="200"/>
    </w:pPr>
    <w:rPr>
      <w:rFonts w:asciiTheme="minorHAnsi" w:hAnsiTheme="minorHAnsi" w:eastAsiaTheme="minorEastAsia" w:cstheme="minorBidi"/>
      <w:sz w:val="20"/>
      <w:szCs w:val="20"/>
    </w:rPr>
  </w:style>
  <w:style w:type="paragraph" w:customStyle="1" w:styleId="25">
    <w:name w:val="brdrw15brsp20 tqctx4153t"/>
    <w:qForma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26">
    <w:name w:val="正文缩进1"/>
    <w:basedOn w:val="1"/>
    <w:qFormat/>
    <w:uiPriority w:val="0"/>
    <w:pPr>
      <w:widowControl/>
      <w:adjustRightInd w:val="0"/>
      <w:snapToGrid w:val="0"/>
      <w:spacing w:line="520" w:lineRule="exact"/>
      <w:ind w:firstLine="200" w:firstLineChars="200"/>
      <w:jc w:val="left"/>
    </w:pPr>
    <w:rPr>
      <w:rFonts w:ascii="Times New Roman" w:hAnsi="Times New Roman"/>
      <w:kern w:val="0"/>
      <w:sz w:val="28"/>
      <w:szCs w:val="22"/>
    </w:rPr>
  </w:style>
  <w:style w:type="table" w:customStyle="1" w:styleId="27">
    <w:name w:val="网格型3"/>
    <w:unhideWhenUsed/>
    <w:qFormat/>
    <w:uiPriority w:val="99"/>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
    <w:name w:val="网格型4"/>
    <w:unhideWhenUsed/>
    <w:qFormat/>
    <w:uiPriority w:val="99"/>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
    <w:name w:val="Table Paragraph"/>
    <w:basedOn w:val="1"/>
    <w:qFormat/>
    <w:uiPriority w:val="1"/>
    <w:pPr>
      <w:jc w:val="center"/>
    </w:pPr>
    <w:rPr>
      <w:rFonts w:ascii="宋体" w:hAnsi="宋体" w:eastAsia="宋体" w:cs="宋体"/>
      <w:lang w:val="zh-CN" w:eastAsia="zh-CN" w:bidi="zh-CN"/>
    </w:rPr>
  </w:style>
  <w:style w:type="paragraph" w:customStyle="1" w:styleId="30">
    <w:name w:val="TableStyle10.5"/>
    <w:basedOn w:val="1"/>
    <w:qFormat/>
    <w:uiPriority w:val="0"/>
    <w:pPr>
      <w:jc w:val="center"/>
    </w:pPr>
    <w:rPr>
      <w:sz w:val="21"/>
    </w:rPr>
  </w:style>
  <w:style w:type="character" w:customStyle="1" w:styleId="31">
    <w:name w:val="font61"/>
    <w:basedOn w:val="21"/>
    <w:qFormat/>
    <w:uiPriority w:val="0"/>
    <w:rPr>
      <w:rFonts w:hint="default" w:ascii="Cambria" w:hAnsi="Cambria" w:eastAsia="Cambria" w:cs="Cambria"/>
      <w:color w:val="000000"/>
      <w:sz w:val="20"/>
      <w:szCs w:val="20"/>
      <w:u w:val="none"/>
    </w:rPr>
  </w:style>
  <w:style w:type="character" w:customStyle="1" w:styleId="32">
    <w:name w:val="font12"/>
    <w:basedOn w:val="21"/>
    <w:qFormat/>
    <w:uiPriority w:val="0"/>
    <w:rPr>
      <w:rFonts w:hint="eastAsia" w:ascii="宋体" w:hAnsi="宋体" w:eastAsia="宋体" w:cs="宋体"/>
      <w:color w:val="000000"/>
      <w:sz w:val="18"/>
      <w:szCs w:val="18"/>
      <w:u w:val="none"/>
    </w:rPr>
  </w:style>
  <w:style w:type="character" w:customStyle="1" w:styleId="33">
    <w:name w:val="font91"/>
    <w:basedOn w:val="21"/>
    <w:qFormat/>
    <w:uiPriority w:val="0"/>
    <w:rPr>
      <w:rFonts w:hint="default" w:ascii="Times New Roman" w:hAnsi="Times New Roman" w:cs="Times New Roman"/>
      <w:color w:val="000000"/>
      <w:sz w:val="22"/>
      <w:szCs w:val="22"/>
      <w:u w:val="none"/>
    </w:rPr>
  </w:style>
  <w:style w:type="paragraph" w:customStyle="1" w:styleId="34">
    <w:name w:val="表格"/>
    <w:basedOn w:val="1"/>
    <w:qFormat/>
    <w:uiPriority w:val="0"/>
    <w:pPr>
      <w:keepNext/>
      <w:widowControl w:val="0"/>
      <w:adjustRightInd w:val="0"/>
      <w:spacing w:line="312" w:lineRule="atLeast"/>
      <w:jc w:val="center"/>
      <w:textAlignment w:val="baseline"/>
    </w:pPr>
    <w:rPr>
      <w:sz w:val="21"/>
    </w:rPr>
  </w:style>
  <w:style w:type="character" w:customStyle="1" w:styleId="35">
    <w:name w:val="font51"/>
    <w:basedOn w:val="21"/>
    <w:qFormat/>
    <w:uiPriority w:val="0"/>
    <w:rPr>
      <w:rFonts w:hint="eastAsia" w:ascii="宋体" w:hAnsi="宋体" w:eastAsia="宋体" w:cs="宋体"/>
      <w:color w:val="000000"/>
      <w:sz w:val="20"/>
      <w:szCs w:val="20"/>
      <w:u w:val="none"/>
    </w:rPr>
  </w:style>
  <w:style w:type="character" w:customStyle="1" w:styleId="36">
    <w:name w:val="font41"/>
    <w:qFormat/>
    <w:uiPriority w:val="0"/>
    <w:rPr>
      <w:rFonts w:hint="default" w:ascii="Times New Roman" w:hAnsi="Times New Roman" w:cs="Times New Roman"/>
      <w:color w:val="000000"/>
      <w:sz w:val="22"/>
      <w:szCs w:val="22"/>
      <w:u w:val="none"/>
    </w:rPr>
  </w:style>
  <w:style w:type="character" w:customStyle="1" w:styleId="37">
    <w:name w:val="font21"/>
    <w:basedOn w:val="21"/>
    <w:qFormat/>
    <w:uiPriority w:val="0"/>
    <w:rPr>
      <w:rFonts w:hint="default" w:ascii="Times New Roman" w:hAnsi="Times New Roman" w:cs="Times New Roman"/>
      <w:color w:val="000000"/>
      <w:sz w:val="22"/>
      <w:szCs w:val="22"/>
      <w:u w:val="none"/>
      <w:vertAlign w:val="superscript"/>
    </w:rPr>
  </w:style>
  <w:style w:type="character" w:customStyle="1" w:styleId="38">
    <w:name w:val="font111"/>
    <w:basedOn w:val="21"/>
    <w:qFormat/>
    <w:uiPriority w:val="0"/>
    <w:rPr>
      <w:rFonts w:hint="default" w:ascii="Times New Roman" w:hAnsi="Times New Roman" w:cs="Times New Roman"/>
      <w:color w:val="000000"/>
      <w:sz w:val="22"/>
      <w:szCs w:val="22"/>
      <w:u w:val="none"/>
      <w:vertAlign w:val="subscript"/>
    </w:rPr>
  </w:style>
  <w:style w:type="character" w:customStyle="1" w:styleId="39">
    <w:name w:val="font101"/>
    <w:qFormat/>
    <w:uiPriority w:val="0"/>
    <w:rPr>
      <w:rFonts w:hint="default" w:ascii="Cambria" w:hAnsi="Cambria" w:eastAsia="Cambria" w:cs="Cambria"/>
      <w:color w:val="000000"/>
      <w:sz w:val="20"/>
      <w:szCs w:val="20"/>
      <w:u w:val="none"/>
      <w:vertAlign w:val="superscript"/>
    </w:rPr>
  </w:style>
  <w:style w:type="paragraph" w:styleId="40">
    <w:name w:val="List Paragraph"/>
    <w:basedOn w:val="1"/>
    <w:qFormat/>
    <w:uiPriority w:val="1"/>
    <w:pPr>
      <w:ind w:left="222" w:firstLine="561"/>
    </w:pPr>
    <w:rPr>
      <w:rFonts w:ascii="宋体" w:hAnsi="宋体" w:eastAsia="宋体" w:cs="宋体"/>
      <w:lang w:val="zh-CN" w:eastAsia="zh-CN" w:bidi="zh-CN"/>
    </w:rPr>
  </w:style>
  <w:style w:type="character" w:customStyle="1" w:styleId="41">
    <w:name w:val=" Char Char12"/>
    <w:basedOn w:val="21"/>
    <w:link w:val="3"/>
    <w:qFormat/>
    <w:uiPriority w:val="9"/>
    <w:rPr>
      <w:rFonts w:ascii="Cambria" w:hAnsi="Cambria" w:eastAsiaTheme="minorEastAsia"/>
      <w:b/>
      <w:bCs/>
      <w:sz w:val="28"/>
      <w:szCs w:val="32"/>
    </w:rPr>
  </w:style>
  <w:style w:type="paragraph" w:customStyle="1" w:styleId="42">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customStyle="1" w:styleId="43">
    <w:name w:val="Table Text"/>
    <w:basedOn w:val="1"/>
    <w:semiHidden/>
    <w:qFormat/>
    <w:uiPriority w:val="0"/>
    <w:rPr>
      <w:rFonts w:ascii="宋体" w:hAnsi="宋体" w:eastAsia="宋体" w:cs="宋体"/>
      <w:sz w:val="21"/>
      <w:szCs w:val="21"/>
      <w:lang w:val="en-US" w:eastAsia="en-US" w:bidi="ar-SA"/>
    </w:rPr>
  </w:style>
  <w:style w:type="table" w:customStyle="1" w:styleId="4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57.jpeg"/><Relationship Id="rId70" Type="http://schemas.openxmlformats.org/officeDocument/2006/relationships/image" Target="media/image56.jpeg"/><Relationship Id="rId7" Type="http://schemas.openxmlformats.org/officeDocument/2006/relationships/header" Target="header3.xml"/><Relationship Id="rId69" Type="http://schemas.openxmlformats.org/officeDocument/2006/relationships/image" Target="media/image55.jpeg"/><Relationship Id="rId68" Type="http://schemas.openxmlformats.org/officeDocument/2006/relationships/image" Target="media/image54.png"/><Relationship Id="rId67" Type="http://schemas.openxmlformats.org/officeDocument/2006/relationships/image" Target="media/image53.jpeg"/><Relationship Id="rId66" Type="http://schemas.openxmlformats.org/officeDocument/2006/relationships/image" Target="media/image52.jpeg"/><Relationship Id="rId65" Type="http://schemas.openxmlformats.org/officeDocument/2006/relationships/image" Target="media/image51.jpeg"/><Relationship Id="rId64" Type="http://schemas.openxmlformats.org/officeDocument/2006/relationships/image" Target="media/image50.jpeg"/><Relationship Id="rId63" Type="http://schemas.openxmlformats.org/officeDocument/2006/relationships/image" Target="media/image49.jpeg"/><Relationship Id="rId62" Type="http://schemas.openxmlformats.org/officeDocument/2006/relationships/image" Target="media/image48.jpeg"/><Relationship Id="rId61" Type="http://schemas.openxmlformats.org/officeDocument/2006/relationships/image" Target="media/image47.jpeg"/><Relationship Id="rId60" Type="http://schemas.openxmlformats.org/officeDocument/2006/relationships/image" Target="media/image46.jpeg"/><Relationship Id="rId6" Type="http://schemas.openxmlformats.org/officeDocument/2006/relationships/footer" Target="footer2.xml"/><Relationship Id="rId59" Type="http://schemas.openxmlformats.org/officeDocument/2006/relationships/image" Target="media/image45.jpeg"/><Relationship Id="rId58" Type="http://schemas.openxmlformats.org/officeDocument/2006/relationships/image" Target="media/image44.jpeg"/><Relationship Id="rId57" Type="http://schemas.openxmlformats.org/officeDocument/2006/relationships/image" Target="media/image43.jpeg"/><Relationship Id="rId56" Type="http://schemas.openxmlformats.org/officeDocument/2006/relationships/image" Target="media/image42.jpeg"/><Relationship Id="rId55" Type="http://schemas.openxmlformats.org/officeDocument/2006/relationships/image" Target="media/image41.jpeg"/><Relationship Id="rId54" Type="http://schemas.openxmlformats.org/officeDocument/2006/relationships/image" Target="media/image40.jpeg"/><Relationship Id="rId53" Type="http://schemas.openxmlformats.org/officeDocument/2006/relationships/image" Target="media/image39.jpeg"/><Relationship Id="rId52" Type="http://schemas.openxmlformats.org/officeDocument/2006/relationships/image" Target="media/image38.jpe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header" Target="header2.xml"/><Relationship Id="rId49" Type="http://schemas.openxmlformats.org/officeDocument/2006/relationships/image" Target="media/image35.jpeg"/><Relationship Id="rId48" Type="http://schemas.openxmlformats.org/officeDocument/2006/relationships/image" Target="media/image34.jpeg"/><Relationship Id="rId47" Type="http://schemas.openxmlformats.org/officeDocument/2006/relationships/image" Target="media/image33.jpe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jpeg"/><Relationship Id="rId43" Type="http://schemas.openxmlformats.org/officeDocument/2006/relationships/image" Target="media/image29.jpeg"/><Relationship Id="rId42" Type="http://schemas.openxmlformats.org/officeDocument/2006/relationships/image" Target="media/image28.jpeg"/><Relationship Id="rId41" Type="http://schemas.openxmlformats.org/officeDocument/2006/relationships/image" Target="media/image27.jpeg"/><Relationship Id="rId40" Type="http://schemas.openxmlformats.org/officeDocument/2006/relationships/image" Target="media/image26.jpeg"/><Relationship Id="rId4" Type="http://schemas.openxmlformats.org/officeDocument/2006/relationships/footer" Target="footer1.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pn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2023-10-28T10:22:00Z</dcterms:created>
  <dc:creator>宁静致远</dc:creator>
  <cp:lastModifiedBy>西瓜</cp:lastModifiedBy>
  <dcterms:modified xsi:type="dcterms:W3CDTF">2023-10-30T08:57:17Z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6384CDBF31FB42C2A4A0130B0BE655A9_11</vt:lpwstr>
  </property>
</Properties>
</file>