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lang w:val="en-US" w:eastAsia="zh-CN"/>
        </w:rPr>
      </w:pPr>
      <w:bookmarkStart w:id="0" w:name="_GoBack"/>
      <w:r>
        <w:rPr>
          <w:rFonts w:hint="eastAsia" w:ascii="微软雅黑" w:hAnsi="微软雅黑" w:eastAsia="微软雅黑" w:cs="微软雅黑"/>
          <w:i w:val="0"/>
          <w:iCs w:val="0"/>
          <w:caps w:val="0"/>
          <w:color w:val="444444"/>
          <w:spacing w:val="0"/>
          <w:sz w:val="24"/>
          <w:szCs w:val="24"/>
          <w:shd w:val="clear" w:color="auto" w:fill="FFFFFF"/>
        </w:rPr>
        <w:t>　</w:t>
      </w: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文化广电和旅游局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信息公开指南</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微软雅黑" w:hAnsi="微软雅黑" w:eastAsia="微软雅黑" w:cs="微软雅黑"/>
          <w:i w:val="0"/>
          <w:caps w:val="0"/>
          <w:color w:val="444444"/>
          <w:spacing w:val="0"/>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根据《中华人民共和国政府信息公开条例》(国务院令第492号公布，国务院令第711号修订，以下简称《条例》)规定，为了更好地为公民、法人和其他组织提供政府信息公开服务，编制本指南。本指南每年更新一次。</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20" w:leftChars="0" w:right="0" w:firstLine="0" w:firstLineChars="0"/>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rPr>
        <w:t>工作机构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eastAsia="微软雅黑"/>
          <w:color w:val="444444"/>
          <w:lang w:eastAsia="zh-CN"/>
        </w:rPr>
      </w:pPr>
      <w:r>
        <w:rPr>
          <w:rFonts w:hint="eastAsia" w:ascii="微软雅黑" w:hAnsi="微软雅黑" w:eastAsia="微软雅黑" w:cs="微软雅黑"/>
          <w:i w:val="0"/>
          <w:caps w:val="0"/>
          <w:color w:val="444444"/>
          <w:spacing w:val="0"/>
          <w:sz w:val="16"/>
          <w:szCs w:val="16"/>
        </w:rPr>
        <w:t>　　办公地址：陕州区</w:t>
      </w:r>
      <w:r>
        <w:rPr>
          <w:rFonts w:hint="eastAsia" w:ascii="微软雅黑" w:hAnsi="微软雅黑" w:eastAsia="微软雅黑" w:cs="微软雅黑"/>
          <w:i w:val="0"/>
          <w:caps w:val="0"/>
          <w:color w:val="444444"/>
          <w:spacing w:val="0"/>
          <w:sz w:val="16"/>
          <w:szCs w:val="16"/>
          <w:lang w:eastAsia="zh-CN"/>
        </w:rPr>
        <w:t>陕州大道中段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微软雅黑" w:hAnsi="微软雅黑" w:eastAsia="微软雅黑" w:cs="微软雅黑"/>
          <w:i w:val="0"/>
          <w:caps w:val="0"/>
          <w:color w:val="444444"/>
          <w:spacing w:val="0"/>
          <w:sz w:val="16"/>
          <w:szCs w:val="16"/>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微软雅黑" w:hAnsi="微软雅黑" w:eastAsia="微软雅黑" w:cs="微软雅黑"/>
          <w:i w:val="0"/>
          <w:caps w:val="0"/>
          <w:color w:val="444444"/>
          <w:spacing w:val="0"/>
          <w:sz w:val="16"/>
          <w:szCs w:val="16"/>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微软雅黑" w:hAnsi="微软雅黑" w:eastAsia="微软雅黑" w:cs="微软雅黑"/>
          <w:i w:val="0"/>
          <w:caps w:val="0"/>
          <w:color w:val="444444"/>
          <w:spacing w:val="0"/>
          <w:sz w:val="16"/>
          <w:szCs w:val="16"/>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default" w:eastAsia="微软雅黑"/>
          <w:color w:val="444444"/>
          <w:lang w:val="en-US" w:eastAsia="zh-CN"/>
        </w:rPr>
      </w:pPr>
      <w:r>
        <w:rPr>
          <w:rFonts w:hint="eastAsia" w:ascii="微软雅黑" w:hAnsi="微软雅黑" w:eastAsia="微软雅黑" w:cs="微软雅黑"/>
          <w:i w:val="0"/>
          <w:caps w:val="0"/>
          <w:color w:val="444444"/>
          <w:spacing w:val="0"/>
          <w:sz w:val="16"/>
          <w:szCs w:val="16"/>
        </w:rPr>
        <w:t>　　联系电话：0398 -383</w:t>
      </w:r>
      <w:r>
        <w:rPr>
          <w:rFonts w:hint="eastAsia" w:ascii="微软雅黑" w:hAnsi="微软雅黑" w:eastAsia="微软雅黑" w:cs="微软雅黑"/>
          <w:i w:val="0"/>
          <w:caps w:val="0"/>
          <w:color w:val="444444"/>
          <w:spacing w:val="0"/>
          <w:sz w:val="16"/>
          <w:szCs w:val="16"/>
          <w:lang w:val="en-US" w:eastAsia="zh-CN"/>
        </w:rPr>
        <w:t>6718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eastAsia="微软雅黑"/>
          <w:color w:val="444444"/>
          <w:lang w:eastAsia="zh-CN"/>
        </w:rPr>
      </w:pPr>
      <w:r>
        <w:rPr>
          <w:rFonts w:hint="eastAsia" w:ascii="微软雅黑" w:hAnsi="微软雅黑" w:eastAsia="微软雅黑" w:cs="微软雅黑"/>
          <w:i w:val="0"/>
          <w:caps w:val="0"/>
          <w:color w:val="444444"/>
          <w:spacing w:val="0"/>
          <w:sz w:val="16"/>
          <w:szCs w:val="16"/>
        </w:rPr>
        <w:t>　　通讯地址：陕州区</w:t>
      </w:r>
      <w:r>
        <w:rPr>
          <w:rFonts w:hint="eastAsia" w:ascii="微软雅黑" w:hAnsi="微软雅黑" w:eastAsia="微软雅黑" w:cs="微软雅黑"/>
          <w:i w:val="0"/>
          <w:caps w:val="0"/>
          <w:color w:val="444444"/>
          <w:spacing w:val="0"/>
          <w:sz w:val="16"/>
          <w:szCs w:val="16"/>
          <w:lang w:eastAsia="zh-CN"/>
        </w:rPr>
        <w:t>陕州大道中段陕州区文广旅局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邮政编码：472100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电子邮箱：sxlyj3687@</w:t>
      </w:r>
      <w:r>
        <w:rPr>
          <w:rFonts w:hint="eastAsia" w:ascii="微软雅黑" w:hAnsi="微软雅黑" w:eastAsia="微软雅黑" w:cs="微软雅黑"/>
          <w:i w:val="0"/>
          <w:caps w:val="0"/>
          <w:color w:val="444444"/>
          <w:spacing w:val="0"/>
          <w:sz w:val="16"/>
          <w:szCs w:val="16"/>
          <w:lang w:val="en-US" w:eastAsia="zh-CN"/>
        </w:rPr>
        <w:t>163</w:t>
      </w:r>
      <w:r>
        <w:rPr>
          <w:rFonts w:hint="eastAsia" w:ascii="微软雅黑" w:hAnsi="微软雅黑" w:eastAsia="微软雅黑" w:cs="微软雅黑"/>
          <w:i w:val="0"/>
          <w:caps w:val="0"/>
          <w:color w:val="444444"/>
          <w:spacing w:val="0"/>
          <w:sz w:val="16"/>
          <w:szCs w:val="16"/>
        </w:rPr>
        <w:t>.com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（一）提出申请</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（1）通过互联网申请：</w:t>
      </w:r>
      <w:r>
        <w:rPr>
          <w:rFonts w:hint="eastAsia" w:ascii="微软雅黑" w:hAnsi="微软雅黑" w:eastAsia="微软雅黑" w:cs="微软雅黑"/>
          <w:i w:val="0"/>
          <w:caps w:val="0"/>
          <w:color w:val="333333"/>
          <w:spacing w:val="0"/>
          <w:sz w:val="16"/>
          <w:szCs w:val="16"/>
          <w:u w:val="none"/>
        </w:rPr>
        <w:fldChar w:fldCharType="begin"/>
      </w:r>
      <w:r>
        <w:rPr>
          <w:rFonts w:hint="eastAsia" w:ascii="微软雅黑" w:hAnsi="微软雅黑" w:eastAsia="微软雅黑" w:cs="微软雅黑"/>
          <w:i w:val="0"/>
          <w:caps w:val="0"/>
          <w:color w:val="333333"/>
          <w:spacing w:val="0"/>
          <w:sz w:val="16"/>
          <w:szCs w:val="16"/>
          <w:u w:val="none"/>
        </w:rPr>
        <w:instrText xml:space="preserve"> HYPERLINK "http://www.shanzhou.gov.cn/index.php?m=infopublic" \t "http://www.shanzhou.gov.cn/_self" </w:instrText>
      </w:r>
      <w:r>
        <w:rPr>
          <w:rFonts w:hint="eastAsia" w:ascii="微软雅黑" w:hAnsi="微软雅黑" w:eastAsia="微软雅黑" w:cs="微软雅黑"/>
          <w:i w:val="0"/>
          <w:caps w:val="0"/>
          <w:color w:val="333333"/>
          <w:spacing w:val="0"/>
          <w:sz w:val="16"/>
          <w:szCs w:val="16"/>
          <w:u w:val="none"/>
        </w:rPr>
        <w:fldChar w:fldCharType="separate"/>
      </w:r>
      <w:r>
        <w:rPr>
          <w:rStyle w:val="6"/>
          <w:rFonts w:hint="eastAsia" w:ascii="微软雅黑" w:hAnsi="微软雅黑" w:eastAsia="微软雅黑" w:cs="微软雅黑"/>
          <w:i w:val="0"/>
          <w:caps w:val="0"/>
          <w:color w:val="333333"/>
          <w:spacing w:val="0"/>
          <w:sz w:val="16"/>
          <w:szCs w:val="16"/>
          <w:u w:val="none"/>
        </w:rPr>
        <w:t>点击进入</w:t>
      </w:r>
      <w:r>
        <w:rPr>
          <w:rFonts w:hint="eastAsia" w:ascii="微软雅黑" w:hAnsi="微软雅黑" w:eastAsia="微软雅黑" w:cs="微软雅黑"/>
          <w:i w:val="0"/>
          <w:caps w:val="0"/>
          <w:color w:val="333333"/>
          <w:spacing w:val="0"/>
          <w:sz w:val="16"/>
          <w:szCs w:val="16"/>
          <w:u w:val="none"/>
        </w:rPr>
        <w:fldChar w:fldCharType="end"/>
      </w:r>
      <w:r>
        <w:rPr>
          <w:rFonts w:hint="eastAsia" w:ascii="微软雅黑" w:hAnsi="微软雅黑" w:eastAsia="微软雅黑" w:cs="微软雅黑"/>
          <w:i w:val="0"/>
          <w:caps w:val="0"/>
          <w:color w:val="444444"/>
          <w:spacing w:val="0"/>
          <w:sz w:val="16"/>
          <w:szCs w:val="16"/>
        </w:rPr>
        <w:t>。</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（2）通过信函申请。通过信函方式提出申请的,应当将《政府信息公开申请表》邮政寄送至受理机构，并在信封左下角注明“政府信息公开申请”字样。</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（3）当面提出申请。申请人到受理机构直接申请。</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（二）申请的办理</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1.所申请公开信息已经主动公开范围的信息，告知申请人可以获取该信息的方式和途径。</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2.所申请公开信息可以公开的，向申请人提供该政府信息，或者告知申请人获取该政府信息的方式、途径和时间。</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3.依据规定不予公开的，告知申请人不予公开并说明理由。</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4.申请公开的政府信息不存在的，告知申请人该政府信息不存在。</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5.不属于本行政机关负责公开的，告知申请并说明理由；能够确定负责公开该政府信息的行政机关的，告知申请人该行政机关的名称、联系方式。</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6.申请公开的信息中含有不应当公开或者不属于政府信息的内容，但是能够作区分处理的，向申请人提供可以公开的政府信息内容，并对不予公开的内容说明理由。</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7.需要行政机关对现有政府信息进行加工、分析的，行政机关可以不予提供。</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8.申请人申请公开政府信息的数量、频次明显超过合理范围，本机关将要求申请人说明理由。对申请理由不合理的，将告知申请人不予处理。</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9.同一申请人向受理机构就同一申请事项重复提出申请的，告知申请人不再重复答复。</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10.申请人以政府信息公开申请的形式进行信访、投诉、举报等活动，将告知申请人不作为政府信息公开申请处理并告知通过相应渠道提出。</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三）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（四）收费标准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收费标准按照《中华人民共和国政府信息公开条例》第四十二条和《国务院办公厅关于印发〈政府信息公开信息处理费管理办法〉的通知》（国办函〔2020〕109号）规定执行。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444444"/>
        </w:rPr>
      </w:pPr>
      <w:r>
        <w:rPr>
          <w:rFonts w:hint="eastAsia" w:ascii="微软雅黑" w:hAnsi="微软雅黑" w:eastAsia="微软雅黑" w:cs="微软雅黑"/>
          <w:i w:val="0"/>
          <w:caps w:val="0"/>
          <w:color w:val="444444"/>
          <w:spacing w:val="0"/>
          <w:sz w:val="16"/>
          <w:szCs w:val="16"/>
        </w:rPr>
        <w:t>　　三、监督保障</w:t>
      </w:r>
      <w:r>
        <w:rPr>
          <w:rFonts w:hint="eastAsia" w:ascii="微软雅黑" w:hAnsi="微软雅黑" w:eastAsia="微软雅黑" w:cs="微软雅黑"/>
          <w:i w:val="0"/>
          <w:caps w:val="0"/>
          <w:color w:val="444444"/>
          <w:spacing w:val="0"/>
          <w:sz w:val="16"/>
          <w:szCs w:val="16"/>
        </w:rPr>
        <w:br w:type="textWrapping"/>
      </w:r>
      <w:r>
        <w:rPr>
          <w:rFonts w:hint="eastAsia" w:ascii="微软雅黑" w:hAnsi="微软雅黑" w:eastAsia="微软雅黑" w:cs="微软雅黑"/>
          <w:i w:val="0"/>
          <w:caps w:val="0"/>
          <w:color w:val="444444"/>
          <w:spacing w:val="0"/>
          <w:sz w:val="16"/>
          <w:szCs w:val="16"/>
        </w:rPr>
        <w:t>　　公民、法人或者其他组织认为行政机关未按照要求主动公开政府信息或者对政府信息公开申请不依法答复处理的，可以向政府信息公开工作主管部门提出。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3350C"/>
    <w:multiLevelType w:val="singleLevel"/>
    <w:tmpl w:val="5D53350C"/>
    <w:lvl w:ilvl="0" w:tentative="0">
      <w:start w:val="1"/>
      <w:numFmt w:val="chineseCounting"/>
      <w:suff w:val="nothing"/>
      <w:lvlText w:val="%1、"/>
      <w:lvlJc w:val="left"/>
      <w:pPr>
        <w:ind w:left="3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F262C"/>
    <w:rsid w:val="4BF974DF"/>
    <w:rsid w:val="5200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天使</cp:lastModifiedBy>
  <dcterms:modified xsi:type="dcterms:W3CDTF">2023-11-11T11:56:43Z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1DDFE8584F2C47FF802B0EC07B8E1BB8_13</vt:lpwstr>
  </property>
</Properties>
</file>