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三门峡市陕州区城市管理局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三门峡市陕州区城市管理局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三门峡市陕州区城市管理局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三门峡市陕州区城市管理局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三门峡市陕州区城市管理局部门（单位）概况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一、三门峡市陕州区城市管理局部门（单位）主要职责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根据《中共三门峡市委办公室、三门峡市人民政府办公室关于印发〈陕州区机构改革方案)的通知》(三办文〔2019] 5号)文件规定，三门峡市陕州区城市管理局为区政府工作部门，主要职责是：</w:t>
        <w:br/>
        <w:t xml:space="preserve">(一)贯彻执行有关城市管理和城市综合执法的法律、法规和政策,拟订我区城市管理和城市综合执法的具体实施办法并组织实施。</w:t>
        <w:br/>
        <w:t xml:space="preserve">(二)负责组织实施城市管理和城市综合执法活动;协调相关部门的城市管理工作,督促检查城市管理工作落实情况。</w:t>
        <w:br/>
        <w:t xml:space="preserve">(三）负责城市市容和环境卫生管理。拟订城市市容和环境卫生事业发展规划并组织实施。监督检查指导全区城市市容和环境卫生管理工作。</w:t>
        <w:br/>
        <w:t xml:space="preserve">(四)负责城区内广场、公共停车场、路灯等市政公用设施的管理工作;负责城市亮化管理工作。</w:t>
        <w:br/>
        <w:t xml:space="preserve">(五)负责城区内户外广告、门头牌匾以及城市建筑物、构筑物和沿街标志的容貌管理工作。</w:t>
        <w:br/>
        <w:t xml:space="preserve">(六)负责对城区夜间进行产生噪声污染的建筑施工作业的审批管理工作。</w:t>
        <w:br/>
        <w:t xml:space="preserve">(七)负责城区内城市洗车场(点)的监督管理。</w:t>
        <w:br/>
        <w:t xml:space="preserve">(八)负责城区内临时使用(占用)城市道路的审批。</w:t>
        <w:br/>
        <w:t xml:space="preserve">(九)负责城区内城市生活垃圾、餐厨垃圾和建筑垃圾(渣土)的收集、清运、处置和管理。</w:t>
        <w:br/>
        <w:t xml:space="preserve">(十)负责城镇污水排入排水管网的审批工作。</w:t>
        <w:br/>
        <w:t xml:space="preserve">(十一)负责城市园林绿化管理工作。贯彻执行国家、省、市有关城市园林绿化的法律、法规及规章;负责制定全区园林行业科技、产业发展规划和年度计划;根据城市总体规划,会同城市规划部门编制城市绿地系统规划和城市绿线的划定,负责落实城市建设中的绿色图章制度;负责城市划区内临时占用绿地、砍伐城市树木的管理工作。</w:t>
        <w:br/>
        <w:t xml:space="preserve">(十二)负责对全区市容环境卫生、城市园林绿化实施行业管理,业务指导。</w:t>
        <w:br/>
        <w:t xml:space="preserve">(十三)负责全区城市市容环境卫生、城市园林绿化、市政公用、环境保护、市场监管、交通管理、文化(新闻出版)、水务管理、城乡建设领域等行业有关城市综合执法工作。集中行使下列行政处罚权:</w:t>
        <w:br/>
        <w:t xml:space="preserve">1、城市市容环境卫生管理方面法律、法规、规章规定的行政处罚权。</w:t>
        <w:br/>
        <w:t xml:space="preserve">2,城市园林绿化管理方面法律、法规、规章规定的行政处罚权。</w:t>
        <w:br/>
        <w:t xml:space="preserve">3,城市市政公用、城市道路管理方面法律、法规、规章规定的与城市管理相关的行政处罚权。</w:t>
        <w:br/>
        <w:t xml:space="preserve">4、城市环境保护管理方面、社会生活噪声污染、建筑施工噪声污染、建筑施工扬尘污染餐饮服务业油烟污染、露天烧烤污染、城市焚烧沥青塑料垃圾等烟尘和恶臭污染、城市露天焚烧秸杆落叶等烟尘污染、燃放烟花爆竹污染等的行政处罚权。</w:t>
        <w:br/>
        <w:t xml:space="preserve">5、城市市场监督管理方面户外公共场所无照经营、违规设置户外广告、户外公共场所食品销售和餐饮摊点无证经营，以及违法回收贩卖药品等的行政处罚权。</w:t>
        <w:br/>
        <w:t xml:space="preserve">6,城市交通管理方面侵占城市道路的行政处罚权。</w:t>
        <w:br/>
        <w:t xml:space="preserve">7、城市文化(新闻出版)管理方面未经批准在店外经营出版物、音像制品以及在街道、广场未取得营业性演出许可举办文化营业性演出行为的行政处罚权。</w:t>
        <w:br/>
        <w:t xml:space="preserve">8,城市水务管理城市河道倾倒度弃物和垃圾及违规取土、城市河道违法建筑物拆除的行政处罚权。</w:t>
        <w:br/>
        <w:t xml:space="preserve">9,区政府确定的其他城市管理相关的行政处罚权。</w:t>
        <w:br/>
        <w:t xml:space="preserve">(十四)负责数字化城市管理工作。</w:t>
        <w:br/>
        <w:t xml:space="preserve">（十五）完成区委、区政府交办的其他任务。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城市管理局内设机构9个,包括：三门峡市陕州区城市管理局（本级）、政策法规科、三门峡市陕州区城市管理综合执法大队、三门峡市陕州区市政设施维修中心、三门峡市陕州区城市园林绿化服务中心、三门峡市陕州区环境卫生服务中心、三门峡市陕州区甘棠公园事务中心、三门峡市陕州区沿黄生态廊道事务中心、三门峡市陕州区仰韶大道事务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三、三门峡市陕州区城市管理局预算单位构成情况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三门峡市陕州区城市管理局部门预算为局机关本级预算，没有设立下属二级预算单位。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三门峡市陕州区城市管理局2024年部门（单位）预算情况说明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增加17.56万元，增长0.87%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人员工资晋级晋档及津贴补贴改革</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增加17.56万元，增长0.87%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人员工资晋级晋档及津贴补贴改革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一般公共预算2041.10万元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基本支出385.10万元，占18.87%；项目支出1656.00万元，占81.13%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增加17.56万元，增长0.87%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人员工资晋级晋档及津贴补贴改革</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本单位近两年无政府性基金收支</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本单位近两年无国有资本经营收支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基本支出385.10万元，占18.87%；项目支出1656.00万元，占81.13%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社会保障和就业支出39.48万元，占1.93%；卫生健康支出21.14万元，占1.04%；城乡社区事务支出1947.56万元，占95.42%；住房保障支出32.92万元，占1.61%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385.10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375.30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97.46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9.80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2.54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3.60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增加0.20万元，增长5.88%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1.00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增加1.00万元，增长0.00%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上年无公务接待费，今年从公务用车运行费分出1万元公务招待</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3.60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2.60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减少0.80万元，下降23.53%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上年无公务接待费，今年从公务用车运行费分出1万元公务招待费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9.80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增加9.80万元，增长0.00%</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2041.10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375.30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9.80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1656.00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1656.00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34</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34</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三门峡市陕州区城市管理局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2,041.10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1,756.10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39.48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21.14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jc w:val="right"/>
            </w:pPr>
            <w:r>
              <w:rPr>
                <w:rFonts w:ascii="宋体" w:eastAsia="宋体" w:hAnsi="宋体" w:cs="宋体"/>
                <w:b w:val="0"/>
                <w:i w:val="0"/>
                <w:color w:val="000000"/>
                <w:sz w:val="27"/>
              </w:rPr>
              <w:t xml:space="preserve">1,947.56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32.92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2,041.10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2,041.10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2,041.10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2,041.10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2,041.10</w:t>
            </w:r>
          </w:p>
        </w:tc>
        <w:tc>
          <w:tcPr>
            <w:tcW w:w="660" w:type="dxa"/>
            <w:tcBorders/>
            <w:vAlign w:val="center"/>
          </w:tcPr>
          <w:p>
            <w:pPr>
              <w:jc w:val="right"/>
            </w:pPr>
            <w:r>
              <w:rPr>
                <w:rFonts w:ascii="宋体" w:eastAsia="宋体" w:hAnsi="宋体" w:cs="宋体"/>
                <w:b w:val="0"/>
                <w:i w:val="0"/>
                <w:color w:val="000000"/>
                <w:sz w:val="8"/>
              </w:rPr>
              <w:t xml:space="preserve">2,041.10</w:t>
            </w:r>
          </w:p>
        </w:tc>
        <w:tc>
          <w:tcPr>
            <w:tcW w:w="600" w:type="dxa"/>
            <w:tcBorders/>
            <w:vAlign w:val="center"/>
          </w:tcPr>
          <w:p>
            <w:pPr>
              <w:jc w:val="right"/>
            </w:pPr>
            <w:r>
              <w:rPr>
                <w:rFonts w:ascii="宋体" w:eastAsia="宋体" w:hAnsi="宋体" w:cs="宋体"/>
                <w:b w:val="0"/>
                <w:i w:val="0"/>
                <w:color w:val="000000"/>
                <w:sz w:val="8"/>
              </w:rPr>
              <w:t xml:space="preserve">2,041.10</w:t>
            </w:r>
          </w:p>
        </w:tc>
        <w:tc>
          <w:tcPr>
            <w:tcW w:w="720" w:type="dxa"/>
            <w:tcBorders/>
            <w:vAlign w:val="center"/>
          </w:tcPr>
          <w:p>
            <w:pPr>
              <w:jc w:val="right"/>
            </w:pPr>
            <w:r>
              <w:rPr>
                <w:rFonts w:ascii="宋体" w:eastAsia="宋体" w:hAnsi="宋体" w:cs="宋体"/>
                <w:b w:val="0"/>
                <w:i w:val="0"/>
                <w:color w:val="000000"/>
                <w:sz w:val="8"/>
              </w:rPr>
              <w:t xml:space="preserve">1,756.10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2,041.10</w:t>
            </w:r>
          </w:p>
        </w:tc>
        <w:tc>
          <w:tcPr>
            <w:tcW w:w="1060" w:type="dxa"/>
            <w:tcBorders/>
            <w:vAlign w:val="center"/>
          </w:tcPr>
          <w:p>
            <w:pPr>
              <w:jc w:val="right"/>
            </w:pPr>
            <w:r>
              <w:rPr>
                <w:rFonts w:ascii="宋体" w:eastAsia="宋体" w:hAnsi="宋体" w:cs="宋体"/>
                <w:b w:val="0"/>
                <w:i w:val="0"/>
                <w:color w:val="000000"/>
                <w:sz w:val="13"/>
              </w:rPr>
              <w:t xml:space="preserve">385.10</w:t>
            </w:r>
          </w:p>
        </w:tc>
        <w:tc>
          <w:tcPr>
            <w:tcW w:w="1140" w:type="dxa"/>
            <w:tcBorders/>
            <w:vAlign w:val="center"/>
          </w:tcPr>
          <w:p>
            <w:pPr>
              <w:jc w:val="right"/>
            </w:pPr>
            <w:r>
              <w:rPr>
                <w:rFonts w:ascii="宋体" w:eastAsia="宋体" w:hAnsi="宋体" w:cs="宋体"/>
                <w:b w:val="0"/>
                <w:i w:val="0"/>
                <w:color w:val="000000"/>
                <w:sz w:val="13"/>
              </w:rPr>
              <w:t xml:space="preserve">373.43</w:t>
            </w:r>
          </w:p>
        </w:tc>
        <w:tc>
          <w:tcPr>
            <w:tcW w:w="1140" w:type="dxa"/>
            <w:tcBorders/>
            <w:vAlign w:val="center"/>
          </w:tcPr>
          <w:p>
            <w:pPr>
              <w:jc w:val="right"/>
            </w:pPr>
            <w:r>
              <w:rPr>
                <w:rFonts w:ascii="宋体" w:eastAsia="宋体" w:hAnsi="宋体" w:cs="宋体"/>
                <w:b w:val="0"/>
                <w:i w:val="0"/>
                <w:color w:val="000000"/>
                <w:sz w:val="13"/>
              </w:rPr>
              <w:t xml:space="preserve">1.87</w:t>
            </w:r>
          </w:p>
        </w:tc>
        <w:tc>
          <w:tcPr>
            <w:tcW w:w="1140" w:type="dxa"/>
            <w:tcBorders/>
            <w:vAlign w:val="center"/>
          </w:tcPr>
          <w:p>
            <w:pPr>
              <w:jc w:val="right"/>
            </w:pPr>
            <w:r>
              <w:rPr>
                <w:rFonts w:ascii="宋体" w:eastAsia="宋体" w:hAnsi="宋体" w:cs="宋体"/>
                <w:b w:val="0"/>
                <w:i w:val="0"/>
                <w:color w:val="000000"/>
                <w:sz w:val="13"/>
              </w:rPr>
              <w:t xml:space="preserve">9.80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1,656.00</w:t>
            </w:r>
          </w:p>
        </w:tc>
        <w:tc>
          <w:tcPr>
            <w:tcW w:w="1140" w:type="dxa"/>
            <w:tcBorders/>
            <w:vAlign w:val="center"/>
          </w:tcPr>
          <w:p>
            <w:pPr>
              <w:jc w:val="right"/>
            </w:pPr>
            <w:r>
              <w:rPr>
                <w:rFonts w:ascii="宋体" w:eastAsia="宋体" w:hAnsi="宋体" w:cs="宋体"/>
                <w:b w:val="0"/>
                <w:i w:val="0"/>
                <w:color w:val="000000"/>
                <w:sz w:val="13"/>
              </w:rPr>
              <w:t xml:space="preserve">1,656.00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1380" w:type="dxa"/>
            <w:tcBorders/>
            <w:vAlign w:val="center"/>
          </w:tcPr>
          <w:p>
            <w:pPr>
              <w:jc w:val="right"/>
            </w:pPr>
            <w:r>
              <w:rPr>
                <w:rFonts w:ascii="宋体" w:eastAsia="宋体" w:hAnsi="宋体" w:cs="宋体"/>
                <w:b w:val="0"/>
                <w:i w:val="0"/>
                <w:color w:val="000000"/>
                <w:sz w:val="16"/>
              </w:rPr>
              <w:t xml:space="preserve">1,756.10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1,756.10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39.48</w:t>
            </w:r>
          </w:p>
        </w:tc>
        <w:tc>
          <w:tcPr>
            <w:tcW w:w="1380" w:type="dxa"/>
            <w:tcBorders/>
            <w:vAlign w:val="center"/>
          </w:tcPr>
          <w:p>
            <w:pPr>
              <w:jc w:val="right"/>
            </w:pPr>
            <w:r>
              <w:rPr>
                <w:rFonts w:ascii="宋体" w:eastAsia="宋体" w:hAnsi="宋体" w:cs="宋体"/>
                <w:b w:val="0"/>
                <w:i w:val="0"/>
                <w:color w:val="000000"/>
                <w:sz w:val="16"/>
              </w:rPr>
              <w:t xml:space="preserve">39.48</w:t>
            </w:r>
          </w:p>
        </w:tc>
        <w:tc>
          <w:tcPr>
            <w:tcW w:w="1380" w:type="dxa"/>
            <w:tcBorders/>
            <w:vAlign w:val="center"/>
          </w:tcPr>
          <w:p>
            <w:pPr>
              <w:jc w:val="right"/>
            </w:pPr>
            <w:r>
              <w:rPr>
                <w:rFonts w:ascii="宋体" w:eastAsia="宋体" w:hAnsi="宋体" w:cs="宋体"/>
                <w:b w:val="0"/>
                <w:i w:val="0"/>
                <w:color w:val="000000"/>
                <w:sz w:val="16"/>
              </w:rPr>
              <w:t xml:space="preserve">39.48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21.14</w:t>
            </w:r>
          </w:p>
        </w:tc>
        <w:tc>
          <w:tcPr>
            <w:tcW w:w="1380" w:type="dxa"/>
            <w:tcBorders/>
            <w:vAlign w:val="center"/>
          </w:tcPr>
          <w:p>
            <w:pPr>
              <w:jc w:val="right"/>
            </w:pPr>
            <w:r>
              <w:rPr>
                <w:rFonts w:ascii="宋体" w:eastAsia="宋体" w:hAnsi="宋体" w:cs="宋体"/>
                <w:b w:val="0"/>
                <w:i w:val="0"/>
                <w:color w:val="000000"/>
                <w:sz w:val="16"/>
              </w:rPr>
              <w:t xml:space="preserve">21.14</w:t>
            </w:r>
          </w:p>
        </w:tc>
        <w:tc>
          <w:tcPr>
            <w:tcW w:w="1380" w:type="dxa"/>
            <w:tcBorders/>
            <w:vAlign w:val="center"/>
          </w:tcPr>
          <w:p>
            <w:pPr>
              <w:jc w:val="right"/>
            </w:pPr>
            <w:r>
              <w:rPr>
                <w:rFonts w:ascii="宋体" w:eastAsia="宋体" w:hAnsi="宋体" w:cs="宋体"/>
                <w:b w:val="0"/>
                <w:i w:val="0"/>
                <w:color w:val="000000"/>
                <w:sz w:val="16"/>
              </w:rPr>
              <w:t xml:space="preserve">21.14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jc w:val="right"/>
            </w:pPr>
            <w:r>
              <w:rPr>
                <w:rFonts w:ascii="宋体" w:eastAsia="宋体" w:hAnsi="宋体" w:cs="宋体"/>
                <w:b w:val="0"/>
                <w:i w:val="0"/>
                <w:color w:val="000000"/>
                <w:sz w:val="16"/>
              </w:rPr>
              <w:t xml:space="preserve">1,947.56</w:t>
            </w:r>
          </w:p>
        </w:tc>
        <w:tc>
          <w:tcPr>
            <w:tcW w:w="1380" w:type="dxa"/>
            <w:tcBorders/>
            <w:vAlign w:val="center"/>
          </w:tcPr>
          <w:p>
            <w:pPr>
              <w:jc w:val="right"/>
            </w:pPr>
            <w:r>
              <w:rPr>
                <w:rFonts w:ascii="宋体" w:eastAsia="宋体" w:hAnsi="宋体" w:cs="宋体"/>
                <w:b w:val="0"/>
                <w:i w:val="0"/>
                <w:color w:val="000000"/>
                <w:sz w:val="16"/>
              </w:rPr>
              <w:t xml:space="preserve">1,947.56</w:t>
            </w:r>
          </w:p>
        </w:tc>
        <w:tc>
          <w:tcPr>
            <w:tcW w:w="1380" w:type="dxa"/>
            <w:tcBorders/>
            <w:vAlign w:val="center"/>
          </w:tcPr>
          <w:p>
            <w:pPr>
              <w:jc w:val="right"/>
            </w:pPr>
            <w:r>
              <w:rPr>
                <w:rFonts w:ascii="宋体" w:eastAsia="宋体" w:hAnsi="宋体" w:cs="宋体"/>
                <w:b w:val="0"/>
                <w:i w:val="0"/>
                <w:color w:val="000000"/>
                <w:sz w:val="16"/>
              </w:rPr>
              <w:t xml:space="preserve">1,662.56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32.92</w:t>
            </w:r>
          </w:p>
        </w:tc>
        <w:tc>
          <w:tcPr>
            <w:tcW w:w="1380" w:type="dxa"/>
            <w:tcBorders/>
            <w:vAlign w:val="center"/>
          </w:tcPr>
          <w:p>
            <w:pPr>
              <w:jc w:val="right"/>
            </w:pPr>
            <w:r>
              <w:rPr>
                <w:rFonts w:ascii="宋体" w:eastAsia="宋体" w:hAnsi="宋体" w:cs="宋体"/>
                <w:b w:val="0"/>
                <w:i w:val="0"/>
                <w:color w:val="000000"/>
                <w:sz w:val="16"/>
              </w:rPr>
              <w:t xml:space="preserve">32.92</w:t>
            </w:r>
          </w:p>
        </w:tc>
        <w:tc>
          <w:tcPr>
            <w:tcW w:w="1380" w:type="dxa"/>
            <w:tcBorders/>
            <w:vAlign w:val="center"/>
          </w:tcPr>
          <w:p>
            <w:pPr>
              <w:jc w:val="right"/>
            </w:pPr>
            <w:r>
              <w:rPr>
                <w:rFonts w:ascii="宋体" w:eastAsia="宋体" w:hAnsi="宋体" w:cs="宋体"/>
                <w:b w:val="0"/>
                <w:i w:val="0"/>
                <w:color w:val="000000"/>
                <w:sz w:val="16"/>
              </w:rPr>
              <w:t xml:space="preserve">32.92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1380" w:type="dxa"/>
            <w:tcBorders/>
            <w:vAlign w:val="center"/>
          </w:tcPr>
          <w:p>
            <w:pPr>
              <w:jc w:val="right"/>
            </w:pPr>
            <w:r>
              <w:rPr>
                <w:rFonts w:ascii="宋体" w:eastAsia="宋体" w:hAnsi="宋体" w:cs="宋体"/>
                <w:b w:val="0"/>
                <w:i w:val="0"/>
                <w:color w:val="000000"/>
                <w:sz w:val="16"/>
              </w:rPr>
              <w:t xml:space="preserve">2,041.10</w:t>
            </w:r>
          </w:p>
        </w:tc>
        <w:tc>
          <w:tcPr>
            <w:tcW w:w="1380" w:type="dxa"/>
            <w:tcBorders/>
            <w:vAlign w:val="center"/>
          </w:tcPr>
          <w:p>
            <w:pPr>
              <w:jc w:val="right"/>
            </w:pPr>
            <w:r>
              <w:rPr>
                <w:rFonts w:ascii="宋体" w:eastAsia="宋体" w:hAnsi="宋体" w:cs="宋体"/>
                <w:b w:val="0"/>
                <w:i w:val="0"/>
                <w:color w:val="000000"/>
                <w:sz w:val="16"/>
              </w:rPr>
              <w:t xml:space="preserve">1,756.10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2,041.10</w:t>
            </w:r>
          </w:p>
        </w:tc>
        <w:tc>
          <w:tcPr>
            <w:tcW w:w="1160" w:type="dxa"/>
            <w:tcBorders/>
            <w:vAlign w:val="center"/>
          </w:tcPr>
          <w:p>
            <w:pPr>
              <w:jc w:val="right"/>
            </w:pPr>
            <w:r>
              <w:rPr>
                <w:rFonts w:ascii="宋体" w:eastAsia="宋体" w:hAnsi="宋体" w:cs="宋体"/>
                <w:b w:val="0"/>
                <w:i w:val="0"/>
                <w:color w:val="000000"/>
                <w:sz w:val="14"/>
              </w:rPr>
              <w:t xml:space="preserve">385.10</w:t>
            </w:r>
          </w:p>
        </w:tc>
        <w:tc>
          <w:tcPr>
            <w:tcW w:w="1160" w:type="dxa"/>
            <w:tcBorders/>
            <w:vAlign w:val="center"/>
          </w:tcPr>
          <w:p>
            <w:pPr>
              <w:jc w:val="right"/>
            </w:pPr>
            <w:r>
              <w:rPr>
                <w:rFonts w:ascii="宋体" w:eastAsia="宋体" w:hAnsi="宋体" w:cs="宋体"/>
                <w:b w:val="0"/>
                <w:i w:val="0"/>
                <w:color w:val="000000"/>
                <w:sz w:val="14"/>
              </w:rPr>
              <w:t xml:space="preserve">373.43</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9.80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1,656.00</w:t>
            </w:r>
          </w:p>
        </w:tc>
        <w:tc>
          <w:tcPr>
            <w:tcW w:w="1160" w:type="dxa"/>
            <w:tcBorders/>
            <w:vAlign w:val="center"/>
          </w:tcPr>
          <w:p>
            <w:pPr>
              <w:jc w:val="right"/>
            </w:pPr>
            <w:r>
              <w:rPr>
                <w:rFonts w:ascii="宋体" w:eastAsia="宋体" w:hAnsi="宋体" w:cs="宋体"/>
                <w:b w:val="0"/>
                <w:i w:val="0"/>
                <w:color w:val="000000"/>
                <w:sz w:val="14"/>
              </w:rPr>
              <w:t xml:space="preserve">1,656.00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385.10</w:t>
            </w:r>
          </w:p>
        </w:tc>
        <w:tc>
          <w:tcPr>
            <w:tcW w:w="1440" w:type="dxa"/>
            <w:tcBorders/>
            <w:vAlign w:val="center"/>
          </w:tcPr>
          <w:p>
            <w:pPr>
              <w:jc w:val="right"/>
            </w:pPr>
            <w:r>
              <w:rPr>
                <w:rFonts w:ascii="宋体" w:eastAsia="宋体" w:hAnsi="宋体" w:cs="宋体"/>
                <w:b w:val="0"/>
                <w:i w:val="0"/>
                <w:color w:val="000000"/>
                <w:sz w:val="17"/>
              </w:rPr>
              <w:t xml:space="preserve">375.30</w:t>
            </w:r>
          </w:p>
        </w:tc>
        <w:tc>
          <w:tcPr>
            <w:tcW w:w="1478" w:type="dxa"/>
            <w:tcBorders/>
            <w:vAlign w:val="center"/>
          </w:tcPr>
          <w:p>
            <w:pPr>
              <w:jc w:val="right"/>
            </w:pPr>
            <w:r>
              <w:rPr>
                <w:rFonts w:ascii="宋体" w:eastAsia="宋体" w:hAnsi="宋体" w:cs="宋体"/>
                <w:b w:val="0"/>
                <w:i w:val="0"/>
                <w:color w:val="000000"/>
                <w:sz w:val="17"/>
              </w:rPr>
              <w:t xml:space="preserve">9.80</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2,041.10</w:t>
            </w:r>
          </w:p>
        </w:tc>
        <w:tc>
          <w:tcPr>
            <w:tcW w:w="920" w:type="dxa"/>
            <w:tcBorders/>
            <w:vAlign w:val="center"/>
          </w:tcPr>
          <w:p>
            <w:pPr>
              <w:jc w:val="right"/>
            </w:pPr>
            <w:r>
              <w:rPr>
                <w:rFonts w:ascii="宋体" w:eastAsia="宋体" w:hAnsi="宋体" w:cs="宋体"/>
                <w:b w:val="0"/>
                <w:i w:val="0"/>
                <w:color w:val="000000"/>
                <w:sz w:val="11"/>
              </w:rPr>
              <w:t xml:space="preserve">2,041.10</w:t>
            </w:r>
          </w:p>
        </w:tc>
        <w:tc>
          <w:tcPr>
            <w:tcW w:w="920" w:type="dxa"/>
            <w:tcBorders/>
            <w:vAlign w:val="center"/>
          </w:tcPr>
          <w:p>
            <w:pPr>
              <w:jc w:val="right"/>
            </w:pPr>
            <w:r>
              <w:rPr>
                <w:rFonts w:ascii="宋体" w:eastAsia="宋体" w:hAnsi="宋体" w:cs="宋体"/>
                <w:b w:val="0"/>
                <w:i w:val="0"/>
                <w:color w:val="000000"/>
                <w:sz w:val="11"/>
              </w:rPr>
              <w:t xml:space="preserve">1,756.10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3.60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3.60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2.60</w:t>
            </w:r>
          </w:p>
        </w:tc>
        <w:tc>
          <w:tcPr>
            <w:tcW w:w="2358" w:type="dxa"/>
            <w:tcBorders/>
            <w:vAlign w:val="center"/>
          </w:tcPr>
          <w:p>
            <w:pPr>
              <w:jc w:val="right"/>
            </w:pPr>
            <w:r>
              <w:rPr>
                <w:rFonts w:ascii="宋体" w:eastAsia="宋体" w:hAnsi="宋体" w:cs="宋体"/>
                <w:b w:val="0"/>
                <w:i w:val="0"/>
                <w:color w:val="000000"/>
                <w:sz w:val="27"/>
              </w:rPr>
              <w:t xml:space="preserve">1.00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1,656.00</w:t>
            </w:r>
          </w:p>
        </w:tc>
        <w:tc>
          <w:tcPr>
            <w:tcW w:w="1160" w:type="dxa"/>
            <w:tcBorders/>
            <w:vAlign w:val="center"/>
          </w:tcPr>
          <w:p>
            <w:pPr>
              <w:jc w:val="right"/>
            </w:pPr>
            <w:r>
              <w:rPr>
                <w:rFonts w:ascii="宋体" w:eastAsia="宋体" w:hAnsi="宋体" w:cs="宋体"/>
                <w:b w:val="0"/>
                <w:i w:val="0"/>
                <w:color w:val="000000"/>
                <w:sz w:val="14"/>
              </w:rPr>
              <w:t xml:space="preserve">1,656.00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部门：三门峡市陕州区城市管理局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9.80</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18611" w:type="dxa"/>
        <w:tblInd w:w="-713" w:type="dxa"/>
        <w:tblLayout w:type="fixed"/>
        <w:tblCellMar>
          <w:top w:w="0" w:type="dxa"/>
          <w:left w:w="108" w:type="dxa"/>
          <w:bottom w:w="0" w:type="dxa"/>
          <w:right w:w="108" w:type="dxa"/>
        </w:tblCellMar>
        <w:tblLook w:val="0000" w:firstRow="0" w:lastRow="0" w:firstColumn="0" w:lastColumn="0" w:noHBand="0" w:noVBand="0"/>
      </w:tblPr>
      <w:tblGrid>
        <w:gridCol w:w="1460"/>
        <w:gridCol w:w="1810"/>
        <w:gridCol w:w="2180"/>
        <w:gridCol w:w="1210"/>
        <w:gridCol w:w="11951"/>
      </w:tblGrid>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年度履职目标</w:t>
            </w:r>
          </w:p>
        </w:tc>
        <w:tc>
          <w:tcPr>
            <w:tcW w:w="17151" w:type="dxa"/>
            <w:gridSpan w:val="4"/>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落实党建工作，加强法制培训，做好城区管理工作。</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D4D4D4"/>
              <w:right w:val="single" w:sz="4" w:space="0" w:color="000000"/>
            </w:tcBorders>
            <w:shd w:val="clear" w:color="auto" w:fill="FFFFFF"/>
            <w:noWrap w:val="0"/>
            <w:vAlign w:val="center"/>
          </w:tcPr>
          <w:p>
            <w:pPr>
              <w:pStyle w:val="Normal_d1528aaa-b916-4281-84ba-c7203db97b00"/>
              <w:jc w:val="center"/>
              <w:rPr>
                <w:rFonts w:ascii="宋体" w:eastAsia="宋体" w:hAnsi="宋体" w:cs="宋体" w:hint="eastAsia"/>
                <w:i w:val="0"/>
                <w:iCs w:val="0"/>
                <w:color w:val="494949"/>
                <w:sz w:val="22"/>
                <w:szCs w:val="22"/>
                <w:u w:val="none"/>
              </w:rPr>
            </w:pP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任务名称</w:t>
            </w:r>
          </w:p>
        </w:tc>
        <w:tc>
          <w:tcPr>
            <w:tcW w:w="13161"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主要内容</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3990"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城区绿化养护</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完成城</w:t>
            </w:r>
            <w:r>
              <w:rPr>
                <w:rFonts w:ascii="宋体" w:eastAsia="宋体" w:hAnsi="宋体" w:cs="宋体" w:hint="eastAsia"/>
                <w:i w:val="0"/>
                <w:iCs w:val="0"/>
                <w:color w:val="000000"/>
                <w:kern w:val="0"/>
                <w:sz w:val="22"/>
                <w:szCs w:val="22"/>
                <w:u w:val="none"/>
                <w:bdr w:val="none" w:sz="0" w:space="0" w:color="auto"/>
                <w:lang w:val="en-US" w:eastAsia="zh-CN" w:bidi="zh-HK"/>
              </w:rPr>
              <w:t xml:space="preserve">区</w:t>
            </w:r>
            <w:r>
              <w:rPr>
                <w:rFonts w:ascii="宋体" w:eastAsia="宋体" w:hAnsi="宋体" w:cs="宋体" w:hint="eastAsia"/>
                <w:i w:val="0"/>
                <w:iCs w:val="0"/>
                <w:color w:val="000000"/>
                <w:kern w:val="0"/>
                <w:sz w:val="22"/>
                <w:szCs w:val="22"/>
                <w:u w:val="none"/>
                <w:bdr w:val="none" w:sz="0" w:space="0" w:color="auto"/>
                <w:lang w:val="en-US" w:eastAsia="zh-CN" w:bidi="zh-HK"/>
              </w:rPr>
              <w:t xml:space="preserve">2</w:t>
            </w:r>
            <w:r>
              <w:rPr>
                <w:rFonts w:ascii="宋体" w:eastAsia="宋体" w:hAnsi="宋体" w:cs="宋体" w:hint="eastAsia"/>
                <w:i w:val="0"/>
                <w:iCs w:val="0"/>
                <w:color w:val="000000"/>
                <w:kern w:val="0"/>
                <w:sz w:val="22"/>
                <w:szCs w:val="22"/>
                <w:u w:val="none"/>
                <w:bdr w:val="none" w:sz="0" w:space="0" w:color="auto"/>
                <w:lang w:val="en-US" w:eastAsia="zh-CN" w:bidi="zh-HK"/>
              </w:rPr>
              <w:t xml:space="preserve">7</w:t>
            </w:r>
            <w:r>
              <w:rPr>
                <w:rFonts w:ascii="宋体" w:eastAsia="宋体" w:hAnsi="宋体" w:cs="宋体" w:hint="eastAsia"/>
                <w:i w:val="0"/>
                <w:iCs w:val="0"/>
                <w:color w:val="000000"/>
                <w:kern w:val="0"/>
                <w:sz w:val="22"/>
                <w:szCs w:val="22"/>
                <w:u w:val="none"/>
                <w:bdr w:val="none" w:sz="0" w:space="0" w:color="auto"/>
                <w:lang w:val="en-US" w:eastAsia="zh-CN" w:bidi="zh-HK"/>
              </w:rPr>
              <w:t xml:space="preserve">条道路</w:t>
            </w: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1</w:t>
            </w:r>
            <w:r>
              <w:rPr>
                <w:rFonts w:ascii="宋体" w:eastAsia="宋体" w:hAnsi="宋体" w:cs="宋体" w:hint="eastAsia"/>
                <w:i w:val="0"/>
                <w:iCs w:val="0"/>
                <w:color w:val="000000"/>
                <w:kern w:val="0"/>
                <w:sz w:val="22"/>
                <w:szCs w:val="22"/>
                <w:u w:val="none"/>
                <w:bdr w:val="none" w:sz="0" w:space="0" w:color="auto"/>
                <w:lang w:val="en-US" w:eastAsia="zh-CN" w:bidi="zh-HK"/>
              </w:rPr>
              <w:t xml:space="preserve">2</w:t>
            </w:r>
            <w:r>
              <w:rPr>
                <w:rFonts w:ascii="宋体" w:eastAsia="宋体" w:hAnsi="宋体" w:cs="宋体" w:hint="eastAsia"/>
                <w:i w:val="0"/>
                <w:iCs w:val="0"/>
                <w:color w:val="000000"/>
                <w:kern w:val="0"/>
                <w:sz w:val="22"/>
                <w:szCs w:val="22"/>
                <w:u w:val="none"/>
                <w:bdr w:val="none" w:sz="0" w:space="0" w:color="auto"/>
                <w:lang w:val="en-US" w:eastAsia="zh-CN" w:bidi="zh-HK"/>
              </w:rPr>
              <w:t xml:space="preserve">个广场游园绿化管理工作。</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3990"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路灯亮化</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完成全城区现有</w:t>
            </w:r>
            <w:r>
              <w:rPr>
                <w:rFonts w:ascii="宋体" w:eastAsia="宋体" w:hAnsi="宋体" w:cs="宋体" w:hint="eastAsia"/>
                <w:i w:val="0"/>
                <w:iCs w:val="0"/>
                <w:color w:val="000000"/>
                <w:kern w:val="0"/>
                <w:sz w:val="22"/>
                <w:szCs w:val="22"/>
                <w:u w:val="none"/>
                <w:bdr w:val="none" w:sz="0" w:space="0" w:color="auto"/>
                <w:lang w:val="en-US" w:eastAsia="zh-CN" w:bidi="zh-HK"/>
              </w:rPr>
              <w:t xml:space="preserve">的</w:t>
            </w:r>
            <w:r>
              <w:rPr>
                <w:rFonts w:ascii="宋体" w:eastAsia="宋体" w:hAnsi="宋体" w:cs="宋体" w:hint="eastAsia"/>
                <w:i w:val="0"/>
                <w:iCs w:val="0"/>
                <w:color w:val="000000"/>
                <w:kern w:val="0"/>
                <w:sz w:val="22"/>
                <w:szCs w:val="22"/>
                <w:u w:val="none"/>
                <w:bdr w:val="none" w:sz="0" w:space="0" w:color="auto"/>
                <w:lang w:val="en-US" w:eastAsia="zh-CN" w:bidi="zh-HK"/>
              </w:rPr>
              <w:t xml:space="preserve">2</w:t>
            </w:r>
            <w:r>
              <w:rPr>
                <w:rFonts w:ascii="宋体" w:eastAsia="宋体" w:hAnsi="宋体" w:cs="宋体" w:hint="eastAsia"/>
                <w:i w:val="0"/>
                <w:iCs w:val="0"/>
                <w:color w:val="000000"/>
                <w:kern w:val="0"/>
                <w:sz w:val="22"/>
                <w:szCs w:val="22"/>
                <w:u w:val="none"/>
                <w:bdr w:val="none" w:sz="0" w:space="0" w:color="auto"/>
                <w:lang w:val="en-US" w:eastAsia="zh-CN" w:bidi="zh-HK"/>
              </w:rPr>
              <w:t xml:space="preserve">9</w:t>
            </w:r>
            <w:r>
              <w:rPr>
                <w:rFonts w:ascii="宋体" w:eastAsia="宋体" w:hAnsi="宋体" w:cs="宋体" w:hint="eastAsia"/>
                <w:i w:val="0"/>
                <w:iCs w:val="0"/>
                <w:color w:val="000000"/>
                <w:kern w:val="0"/>
                <w:sz w:val="22"/>
                <w:szCs w:val="22"/>
                <w:u w:val="none"/>
                <w:bdr w:val="none" w:sz="0" w:space="0" w:color="auto"/>
                <w:lang w:val="en-US" w:eastAsia="zh-CN" w:bidi="zh-HK"/>
              </w:rPr>
              <w:t xml:space="preserve">条道路</w:t>
            </w: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2</w:t>
            </w:r>
            <w:r>
              <w:rPr>
                <w:rFonts w:ascii="宋体" w:eastAsia="宋体" w:hAnsi="宋体" w:cs="宋体" w:hint="eastAsia"/>
                <w:i w:val="0"/>
                <w:iCs w:val="0"/>
                <w:color w:val="000000"/>
                <w:kern w:val="0"/>
                <w:sz w:val="22"/>
                <w:szCs w:val="22"/>
                <w:u w:val="none"/>
                <w:bdr w:val="none" w:sz="0" w:space="0" w:color="auto"/>
                <w:lang w:val="en-US" w:eastAsia="zh-CN" w:bidi="zh-HK"/>
              </w:rPr>
              <w:t xml:space="preserve">千余杆路灯</w:t>
            </w: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8</w:t>
            </w:r>
            <w:r>
              <w:rPr>
                <w:rFonts w:ascii="宋体" w:eastAsia="宋体" w:hAnsi="宋体" w:cs="宋体" w:hint="eastAsia"/>
                <w:i w:val="0"/>
                <w:iCs w:val="0"/>
                <w:color w:val="000000"/>
                <w:kern w:val="0"/>
                <w:sz w:val="22"/>
                <w:szCs w:val="22"/>
                <w:u w:val="none"/>
                <w:bdr w:val="none" w:sz="0" w:space="0" w:color="auto"/>
                <w:lang w:val="en-US" w:eastAsia="zh-CN" w:bidi="zh-HK"/>
              </w:rPr>
              <w:t xml:space="preserve">千余盏光源等路灯设施维护维修管理工作</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3990"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公园养护</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公园绿化及基础设施维护</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vMerge w:val="restart"/>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预算情</w:t>
            </w:r>
            <w:r>
              <w:rPr>
                <w:rFonts w:ascii="宋体" w:eastAsia="宋体" w:hAnsi="宋体" w:cs="宋体" w:hint="eastAsia"/>
                <w:i w:val="0"/>
                <w:iCs w:val="0"/>
                <w:color w:val="494949"/>
                <w:kern w:val="0"/>
                <w:sz w:val="22"/>
                <w:szCs w:val="22"/>
                <w:u w:val="none"/>
                <w:bdr w:val="none" w:sz="0" w:space="0" w:color="auto"/>
                <w:lang w:val="en-US" w:eastAsia="zh-CN" w:bidi="zh-HK"/>
              </w:rPr>
              <w:t xml:space="preserve">况</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部门预算总额（万元）</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2,041.10</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jc w:val="center"/>
              <w:rPr>
                <w:rFonts w:ascii="宋体" w:eastAsia="宋体" w:hAnsi="宋体" w:cs="宋体" w:hint="eastAsia"/>
                <w:i w:val="0"/>
                <w:iCs w:val="0"/>
                <w:color w:val="494949"/>
                <w:sz w:val="22"/>
                <w:szCs w:val="22"/>
                <w:u w:val="none"/>
              </w:rPr>
            </w:pP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1</w:t>
            </w:r>
            <w:r>
              <w:rPr>
                <w:rFonts w:ascii="宋体" w:eastAsia="宋体" w:hAnsi="宋体" w:cs="宋体" w:hint="eastAsia"/>
                <w:i w:val="0"/>
                <w:iCs w:val="0"/>
                <w:color w:val="494949"/>
                <w:kern w:val="0"/>
                <w:sz w:val="22"/>
                <w:szCs w:val="22"/>
                <w:u w:val="none"/>
                <w:bdr w:val="none" w:sz="0" w:space="0" w:color="auto"/>
                <w:lang w:val="en-US" w:eastAsia="zh-CN" w:bidi="zh-HK"/>
              </w:rPr>
              <w:t xml:space="preserve">、资金来源：</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1</w:t>
            </w:r>
            <w:r>
              <w:rPr>
                <w:rFonts w:ascii="宋体" w:eastAsia="宋体" w:hAnsi="宋体" w:cs="宋体" w:hint="eastAsia"/>
                <w:i w:val="0"/>
                <w:iCs w:val="0"/>
                <w:color w:val="494949"/>
                <w:kern w:val="0"/>
                <w:sz w:val="22"/>
                <w:szCs w:val="22"/>
                <w:u w:val="none"/>
                <w:bdr w:val="none" w:sz="0" w:space="0" w:color="auto"/>
                <w:lang w:val="en-US" w:eastAsia="zh-CN" w:bidi="zh-HK"/>
              </w:rPr>
              <w:t xml:space="preserve">）政府预算资金</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2,041.10</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jc w:val="center"/>
              <w:rPr>
                <w:rFonts w:ascii="宋体" w:eastAsia="宋体" w:hAnsi="宋体" w:cs="宋体" w:hint="eastAsia"/>
                <w:i w:val="0"/>
                <w:iCs w:val="0"/>
                <w:color w:val="494949"/>
                <w:sz w:val="22"/>
                <w:szCs w:val="22"/>
                <w:u w:val="none"/>
              </w:rPr>
            </w:pP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2</w:t>
            </w:r>
            <w:r>
              <w:rPr>
                <w:rFonts w:ascii="宋体" w:eastAsia="宋体" w:hAnsi="宋体" w:cs="宋体" w:hint="eastAsia"/>
                <w:i w:val="0"/>
                <w:iCs w:val="0"/>
                <w:color w:val="494949"/>
                <w:kern w:val="0"/>
                <w:sz w:val="22"/>
                <w:szCs w:val="22"/>
                <w:u w:val="none"/>
                <w:bdr w:val="none" w:sz="0" w:space="0" w:color="auto"/>
                <w:lang w:val="en-US" w:eastAsia="zh-CN" w:bidi="zh-HK"/>
              </w:rPr>
              <w:t xml:space="preserve">）财政专户管理资金</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jc w:val="right"/>
              <w:rPr>
                <w:rFonts w:ascii="宋体" w:eastAsia="宋体" w:hAnsi="宋体" w:cs="宋体" w:hint="eastAsia"/>
                <w:i w:val="0"/>
                <w:iCs w:val="0"/>
                <w:color w:val="000000"/>
                <w:sz w:val="22"/>
                <w:szCs w:val="22"/>
                <w:u w:val="none"/>
              </w:rPr>
            </w:pP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jc w:val="center"/>
              <w:rPr>
                <w:rFonts w:ascii="宋体" w:eastAsia="宋体" w:hAnsi="宋体" w:cs="宋体" w:hint="eastAsia"/>
                <w:i w:val="0"/>
                <w:iCs w:val="0"/>
                <w:color w:val="494949"/>
                <w:sz w:val="22"/>
                <w:szCs w:val="22"/>
                <w:u w:val="none"/>
              </w:rPr>
            </w:pP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3</w:t>
            </w:r>
            <w:r>
              <w:rPr>
                <w:rFonts w:ascii="宋体" w:eastAsia="宋体" w:hAnsi="宋体" w:cs="宋体" w:hint="eastAsia"/>
                <w:i w:val="0"/>
                <w:iCs w:val="0"/>
                <w:color w:val="494949"/>
                <w:kern w:val="0"/>
                <w:sz w:val="22"/>
                <w:szCs w:val="22"/>
                <w:u w:val="none"/>
                <w:bdr w:val="none" w:sz="0" w:space="0" w:color="auto"/>
                <w:lang w:val="en-US" w:eastAsia="zh-CN" w:bidi="zh-HK"/>
              </w:rPr>
              <w:t xml:space="preserve">）单位资金</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jc w:val="right"/>
              <w:rPr>
                <w:rFonts w:ascii="宋体" w:eastAsia="宋体" w:hAnsi="宋体" w:cs="宋体" w:hint="eastAsia"/>
                <w:i w:val="0"/>
                <w:iCs w:val="0"/>
                <w:color w:val="000000"/>
                <w:sz w:val="22"/>
                <w:szCs w:val="22"/>
                <w:u w:val="none"/>
              </w:rPr>
            </w:pP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jc w:val="center"/>
              <w:rPr>
                <w:rFonts w:ascii="宋体" w:eastAsia="宋体" w:hAnsi="宋体" w:cs="宋体" w:hint="eastAsia"/>
                <w:i w:val="0"/>
                <w:iCs w:val="0"/>
                <w:color w:val="494949"/>
                <w:sz w:val="22"/>
                <w:szCs w:val="22"/>
                <w:u w:val="none"/>
              </w:rPr>
            </w:pP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2</w:t>
            </w:r>
            <w:r>
              <w:rPr>
                <w:rFonts w:ascii="宋体" w:eastAsia="宋体" w:hAnsi="宋体" w:cs="宋体" w:hint="eastAsia"/>
                <w:i w:val="0"/>
                <w:iCs w:val="0"/>
                <w:color w:val="494949"/>
                <w:kern w:val="0"/>
                <w:sz w:val="22"/>
                <w:szCs w:val="22"/>
                <w:u w:val="none"/>
                <w:bdr w:val="none" w:sz="0" w:space="0" w:color="auto"/>
                <w:lang w:val="en-US" w:eastAsia="zh-CN" w:bidi="zh-HK"/>
              </w:rPr>
              <w:t xml:space="preserve">、资金结构：</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1</w:t>
            </w:r>
            <w:r>
              <w:rPr>
                <w:rFonts w:ascii="宋体" w:eastAsia="宋体" w:hAnsi="宋体" w:cs="宋体" w:hint="eastAsia"/>
                <w:i w:val="0"/>
                <w:iCs w:val="0"/>
                <w:color w:val="494949"/>
                <w:kern w:val="0"/>
                <w:sz w:val="22"/>
                <w:szCs w:val="22"/>
                <w:u w:val="none"/>
                <w:bdr w:val="none" w:sz="0" w:space="0" w:color="auto"/>
                <w:lang w:val="en-US" w:eastAsia="zh-CN" w:bidi="zh-HK"/>
              </w:rPr>
              <w:t xml:space="preserve">）基本支出</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385.10</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jc w:val="center"/>
              <w:rPr>
                <w:rFonts w:ascii="宋体" w:eastAsia="宋体" w:hAnsi="宋体" w:cs="宋体" w:hint="eastAsia"/>
                <w:i w:val="0"/>
                <w:iCs w:val="0"/>
                <w:color w:val="494949"/>
                <w:sz w:val="22"/>
                <w:szCs w:val="22"/>
                <w:u w:val="none"/>
              </w:rPr>
            </w:pPr>
          </w:p>
        </w:tc>
        <w:tc>
          <w:tcPr>
            <w:tcW w:w="3990"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2</w:t>
            </w:r>
            <w:r>
              <w:rPr>
                <w:rFonts w:ascii="宋体" w:eastAsia="宋体" w:hAnsi="宋体" w:cs="宋体" w:hint="eastAsia"/>
                <w:i w:val="0"/>
                <w:iCs w:val="0"/>
                <w:color w:val="494949"/>
                <w:kern w:val="0"/>
                <w:sz w:val="22"/>
                <w:szCs w:val="22"/>
                <w:u w:val="none"/>
                <w:bdr w:val="none" w:sz="0" w:space="0" w:color="auto"/>
                <w:lang w:val="en-US" w:eastAsia="zh-CN" w:bidi="zh-HK"/>
              </w:rPr>
              <w:t xml:space="preserve">）项目支出</w:t>
            </w:r>
          </w:p>
        </w:tc>
        <w:tc>
          <w:tcPr>
            <w:tcW w:w="13161" w:type="dxa"/>
            <w:gridSpan w:val="2"/>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1,656.00</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一级指标</w:t>
            </w:r>
          </w:p>
        </w:tc>
        <w:tc>
          <w:tcPr>
            <w:tcW w:w="1810"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二级指标</w:t>
            </w:r>
          </w:p>
        </w:tc>
        <w:tc>
          <w:tcPr>
            <w:tcW w:w="2180"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1210"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11951"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指标值说明</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投入管理指标</w:t>
            </w: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工作目标管理</w:t>
            </w: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年度履职目标相关性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工作任务和项目预算安排是否合理</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工作任务科学性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工作任务有明确的绩效目标，绩效目标与部门年度履职目标一致，能体现工作任务的产出和效果；</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绩效指标合理性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工作任务、预算项目绩效指标设置反映部门绩效完成情况</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投入管理指标</w:t>
            </w: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预算和财务管理</w:t>
            </w: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预算编制完整性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部门所有收入全部纳入部门预算</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专项资金细化率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细化到具体市县和承担单位的资金数</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预算执行率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预算数指财政部门批复的本年度部门的（调整）预算数。</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预算调整率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部门在本年度内涉及预算的追加、追减或结构调整的资金总和</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结转结余率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财政批复的本年度部门的（调整）预算数。</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三公经</w:t>
            </w:r>
            <w:r>
              <w:rPr>
                <w:rFonts w:ascii="宋体" w:eastAsia="宋体" w:hAnsi="宋体" w:cs="宋体" w:hint="eastAsia"/>
                <w:i w:val="0"/>
                <w:iCs w:val="0"/>
                <w:color w:val="000000"/>
                <w:kern w:val="0"/>
                <w:sz w:val="22"/>
                <w:szCs w:val="22"/>
                <w:u w:val="none"/>
                <w:bdr w:val="none" w:sz="0" w:space="0" w:color="auto"/>
                <w:lang w:val="en-US" w:eastAsia="zh-CN" w:bidi="zh-HK"/>
              </w:rPr>
              <w:t xml:space="preserve">费</w:t>
            </w: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控制率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按照三公经费执行</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政府采购执行率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经过规定程序批准的年度政府采购计划</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决算真实性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决算编制数据与账表一致</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资金使用合规性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按照相关法律法规以及资金管理办法规定的用途使用预算资金</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管理制度健全性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加强预算管理，管理制度健全完整</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预决算信息公开性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按规定公开部门预算、执行、决算、监督、绩效等相关预决算信息</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资产管理规范性</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资产配置、使用合规，处置规范，收入及时足额上缴。</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投入管理指标</w:t>
            </w: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绩效管理</w:t>
            </w: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绩效目标编制完成率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按要求编制绩效目标</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绩效监控完成率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按要求实施绩效监控的项目数量</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绩效自评完成率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按要求实施绩效自评</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部门绩效评价完成率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重点绩效评价项目评价完成情况</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评价结果应用率</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95%</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绩效监控、单位自评、部门绩效评价、财政重点绩效评价结果应用情况</w:t>
            </w: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产出指标</w:t>
            </w: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重点工作任务完成</w:t>
            </w: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城区管理（绿化、环卫、市政、路灯）</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46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效益指标</w:t>
            </w:r>
          </w:p>
        </w:tc>
        <w:tc>
          <w:tcPr>
            <w:tcW w:w="18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满意度</w:t>
            </w:r>
          </w:p>
        </w:tc>
        <w:tc>
          <w:tcPr>
            <w:tcW w:w="218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城区群众满意度</w:t>
            </w:r>
          </w:p>
        </w:tc>
        <w:tc>
          <w:tcPr>
            <w:tcW w:w="1210"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90%</w:t>
            </w:r>
          </w:p>
        </w:tc>
        <w:tc>
          <w:tcPr>
            <w:tcW w:w="11951" w:type="dxa"/>
            <w:tcBorders>
              <w:top w:val="nil"/>
              <w:left w:val="nil"/>
              <w:bottom w:val="single" w:sz="4" w:space="0" w:color="000000"/>
              <w:right w:val="single" w:sz="4" w:space="0" w:color="000000"/>
            </w:tcBorders>
            <w:shd w:val="clear" w:color="auto" w:fill="FFFFFF"/>
            <w:noWrap w:val="1"/>
            <w:vAlign w:val="center"/>
          </w:tcPr>
          <w:p>
            <w:pPr>
              <w:pStyle w:val="Normal_d1528aaa-b916-4281-84ba-c7203db97b00"/>
              <w:rPr>
                <w:rFonts w:ascii="宋体" w:eastAsia="宋体" w:hAnsi="宋体" w:cs="宋体" w:hint="eastAsia"/>
                <w:i w:val="0"/>
                <w:iCs w:val="0"/>
                <w:color w:val="000000"/>
                <w:sz w:val="22"/>
                <w:szCs w:val="22"/>
                <w:u w:val="none"/>
              </w:rPr>
            </w:pPr>
          </w:p>
        </w:tc>
      </w:tr>
      <w:tr>
        <w:tblPrEx>
          <w:tblW w:w="18611"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0"/>
        </w:trPr>
        <w:tc>
          <w:tcPr>
            <w:tcW w:w="1460" w:type="dxa"/>
            <w:tcBorders>
              <w:top w:val="nil"/>
              <w:left w:val="nil"/>
              <w:bottom w:val="nil"/>
              <w:right w:val="nil"/>
            </w:tcBorders>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810" w:type="dxa"/>
            <w:tcBorders>
              <w:top w:val="nil"/>
              <w:left w:val="nil"/>
              <w:bottom w:val="nil"/>
              <w:right w:val="nil"/>
            </w:tcBorders>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2180" w:type="dxa"/>
            <w:tcBorders>
              <w:top w:val="nil"/>
              <w:left w:val="nil"/>
              <w:bottom w:val="nil"/>
              <w:right w:val="nil"/>
            </w:tcBorders>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210" w:type="dxa"/>
            <w:tcBorders>
              <w:top w:val="nil"/>
              <w:left w:val="nil"/>
              <w:bottom w:val="nil"/>
              <w:right w:val="nil"/>
            </w:tcBorders>
            <w:noWrap w:val="1"/>
            <w:vAlign w:val="center"/>
          </w:tcPr>
          <w:p>
            <w:pPr>
              <w:pStyle w:val="Normal_d1528aaa-b916-4281-84ba-c7203db97b00"/>
              <w:rPr>
                <w:rFonts w:ascii="宋体" w:eastAsia="宋体" w:hAnsi="宋体" w:cs="宋体" w:hint="eastAsia"/>
                <w:i w:val="0"/>
                <w:iCs w:val="0"/>
                <w:color w:val="000000"/>
                <w:sz w:val="22"/>
                <w:szCs w:val="22"/>
                <w:u w:val="none"/>
              </w:rPr>
            </w:pPr>
          </w:p>
        </w:tc>
        <w:tc>
          <w:tcPr>
            <w:tcW w:w="11951" w:type="dxa"/>
            <w:tcBorders>
              <w:top w:val="nil"/>
              <w:left w:val="nil"/>
              <w:bottom w:val="nil"/>
              <w:right w:val="nil"/>
            </w:tcBorders>
            <w:noWrap w:val="1"/>
            <w:vAlign w:val="center"/>
          </w:tcPr>
          <w:p>
            <w:pPr>
              <w:pStyle w:val="Normal_d1528aaa-b916-4281-84ba-c7203db97b00"/>
              <w:rPr>
                <w:rFonts w:ascii="宋体" w:eastAsia="宋体" w:hAnsi="宋体" w:cs="宋体" w:hint="eastAsia"/>
                <w:i w:val="0"/>
                <w:iCs w:val="0"/>
                <w:color w:val="000000"/>
                <w:sz w:val="22"/>
                <w:szCs w:val="22"/>
                <w:u w:val="none"/>
              </w:rPr>
            </w:pPr>
          </w:p>
        </w:tc>
      </w:tr>
    </w:tbl>
    <w:p>
      <w:pPr>
        <w:pStyle w:val="Normal_d1528aaa-b916-4281-84ba-c7203db97b00"/>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pPr w:leftFromText="180" w:rightFromText="180" w:vertAnchor="page" w:horzAnchor="page" w:tblpX="1147" w:tblpY="1927"/>
        <w:tblOverlap w:val="never"/>
        <w:tblW w:w="14500" w:type="dxa"/>
        <w:tblInd w:w="0" w:type="dxa"/>
        <w:tblLayout w:type="fixed"/>
        <w:tblCellMar>
          <w:top w:w="0" w:type="dxa"/>
          <w:left w:w="108" w:type="dxa"/>
          <w:bottom w:w="0" w:type="dxa"/>
          <w:right w:w="108" w:type="dxa"/>
        </w:tblCellMar>
        <w:tblLook w:val="0000" w:firstRow="0" w:lastRow="0" w:firstColumn="0" w:lastColumn="0" w:noHBand="0" w:noVBand="0"/>
      </w:tblPr>
      <w:tblGrid>
        <w:gridCol w:w="1035"/>
        <w:gridCol w:w="1127"/>
        <w:gridCol w:w="1255"/>
        <w:gridCol w:w="1036"/>
        <w:gridCol w:w="1100"/>
        <w:gridCol w:w="791"/>
        <w:gridCol w:w="991"/>
        <w:gridCol w:w="1136"/>
        <w:gridCol w:w="1264"/>
        <w:gridCol w:w="1182"/>
        <w:gridCol w:w="873"/>
        <w:gridCol w:w="1036"/>
        <w:gridCol w:w="727"/>
        <w:gridCol w:w="947"/>
      </w:tblGrid>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55"/>
        </w:trPr>
        <w:tc>
          <w:tcPr>
            <w:tcW w:w="1035" w:type="dxa"/>
            <w:vMerge w:val="restart"/>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单位编码（项目编码）</w:t>
            </w:r>
          </w:p>
        </w:tc>
        <w:tc>
          <w:tcPr>
            <w:tcW w:w="1127" w:type="dxa"/>
            <w:vMerge w:val="restart"/>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项目单</w:t>
            </w:r>
            <w:r>
              <w:rPr>
                <w:rFonts w:ascii="宋体" w:eastAsia="宋体" w:hAnsi="宋体" w:cs="宋体" w:hint="eastAsia"/>
                <w:i w:val="0"/>
                <w:iCs w:val="0"/>
                <w:color w:val="000000"/>
                <w:kern w:val="0"/>
                <w:sz w:val="22"/>
                <w:szCs w:val="22"/>
                <w:u w:val="none"/>
                <w:bdr w:val="none" w:sz="0" w:space="0" w:color="auto"/>
                <w:lang w:val="en-US" w:eastAsia="zh-CN" w:bidi="zh-HK"/>
              </w:rPr>
              <w:t xml:space="preserve">位</w:t>
            </w:r>
            <w:r>
              <w:rPr>
                <w:rFonts w:ascii="宋体" w:eastAsia="宋体" w:hAnsi="宋体" w:cs="宋体" w:hint="eastAsia"/>
                <w:i w:val="0"/>
                <w:iCs w:val="0"/>
                <w:color w:val="000000"/>
                <w:kern w:val="0"/>
                <w:sz w:val="22"/>
                <w:szCs w:val="22"/>
                <w:u w:val="none"/>
                <w:bdr w:val="none" w:sz="0" w:space="0" w:color="auto"/>
                <w:lang w:val="en-US" w:eastAsia="zh-CN" w:bidi="zh-HK"/>
              </w:rPr>
              <w:t xml:space="preserve"> </w:t>
            </w:r>
            <w:r>
              <w:rPr>
                <w:rFonts w:ascii="宋体" w:eastAsia="宋体" w:hAnsi="宋体" w:cs="宋体" w:hint="eastAsia"/>
                <w:i w:val="0"/>
                <w:iCs w:val="0"/>
                <w:color w:val="000000"/>
                <w:kern w:val="0"/>
                <w:sz w:val="22"/>
                <w:szCs w:val="22"/>
                <w:u w:val="none"/>
                <w:bdr w:val="none" w:sz="0" w:space="0" w:color="auto"/>
                <w:lang w:val="en-US" w:eastAsia="zh-CN" w:bidi="zh-HK"/>
              </w:rPr>
              <w:t xml:space="preserve">（项目名称）</w:t>
            </w:r>
          </w:p>
        </w:tc>
        <w:tc>
          <w:tcPr>
            <w:tcW w:w="4182" w:type="dxa"/>
            <w:gridSpan w:val="4"/>
            <w:vMerge w:val="restart"/>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项目金额（万元）</w:t>
            </w:r>
          </w:p>
        </w:tc>
        <w:tc>
          <w:tcPr>
            <w:tcW w:w="8156" w:type="dxa"/>
            <w:gridSpan w:val="8"/>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绩效目标</w:t>
            </w:r>
          </w:p>
        </w:tc>
      </w:tr>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035"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1127"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framePr w:vAnchor="text" w:hAnchor="margin" w:x="1147" w:y="1927"/>
              <w:jc w:val="center"/>
              <w:rPr>
                <w:rFonts w:ascii="宋体" w:eastAsia="宋体" w:hAnsi="宋体" w:cs="宋体" w:hint="eastAsia"/>
                <w:i w:val="0"/>
                <w:iCs w:val="0"/>
                <w:color w:val="000000"/>
                <w:sz w:val="22"/>
                <w:szCs w:val="22"/>
                <w:u w:val="none"/>
              </w:rPr>
            </w:pPr>
          </w:p>
        </w:tc>
        <w:tc>
          <w:tcPr>
            <w:tcW w:w="4182" w:type="dxa"/>
            <w:gridSpan w:val="4"/>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2127"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成本指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2446"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产出指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1909"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效益指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1674" w:type="dxa"/>
            <w:gridSpan w:val="2"/>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满意度指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r>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00"/>
        </w:trPr>
        <w:tc>
          <w:tcPr>
            <w:tcW w:w="1035"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1127" w:type="dxa"/>
            <w:vMerge/>
            <w:tcBorders>
              <w:top w:val="nil"/>
              <w:left w:val="nil"/>
              <w:bottom w:val="single" w:sz="4" w:space="0" w:color="000000"/>
              <w:right w:val="single" w:sz="4" w:space="0" w:color="000000"/>
            </w:tcBorders>
            <w:shd w:val="clear" w:color="auto" w:fill="F1F1F1"/>
            <w:noWrap w:val="0"/>
            <w:vAlign w:val="center"/>
          </w:tcPr>
          <w:p>
            <w:pPr>
              <w:pStyle w:val="Normal_d1528aaa-b916-4281-84ba-c7203db97b00"/>
              <w:framePr w:vAnchor="text" w:hAnchor="margin" w:x="1147" w:y="1927"/>
              <w:jc w:val="center"/>
              <w:rPr>
                <w:rFonts w:ascii="宋体" w:eastAsia="宋体" w:hAnsi="宋体" w:cs="宋体" w:hint="eastAsia"/>
                <w:i w:val="0"/>
                <w:iCs w:val="0"/>
                <w:color w:val="000000"/>
                <w:sz w:val="22"/>
                <w:szCs w:val="22"/>
                <w:u w:val="none"/>
              </w:rPr>
            </w:pPr>
          </w:p>
        </w:tc>
        <w:tc>
          <w:tcPr>
            <w:tcW w:w="1255"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资金总额</w:t>
            </w:r>
          </w:p>
        </w:tc>
        <w:tc>
          <w:tcPr>
            <w:tcW w:w="1036"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政府预算资金</w:t>
            </w:r>
          </w:p>
        </w:tc>
        <w:tc>
          <w:tcPr>
            <w:tcW w:w="1100"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财政专户管理资金</w:t>
            </w:r>
          </w:p>
        </w:tc>
        <w:tc>
          <w:tcPr>
            <w:tcW w:w="791"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单位资金</w:t>
            </w:r>
          </w:p>
        </w:tc>
        <w:tc>
          <w:tcPr>
            <w:tcW w:w="991"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1136"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1264"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1182"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873"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1036"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727"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947" w:type="dxa"/>
            <w:tcBorders>
              <w:top w:val="nil"/>
              <w:left w:val="nil"/>
              <w:bottom w:val="single" w:sz="4" w:space="0" w:color="000000"/>
              <w:right w:val="single" w:sz="4" w:space="0" w:color="000000"/>
            </w:tcBorders>
            <w:shd w:val="clear" w:color="auto" w:fill="F1F1F1"/>
            <w:noWrap w:val="0"/>
            <w:vAlign w:val="center"/>
          </w:tcPr>
          <w:p>
            <w:pPr>
              <w:pStyle w:val="Normal_d1528aaa-b916-4281-84ba-c7203db97b00"/>
              <w:keepNext w:val="0"/>
              <w:keepLines w:val="0"/>
              <w:framePr w:vAnchor="text" w:hAnchor="margin" w:x="1147" w:y="1927"/>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r>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103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left"/>
              <w:rPr>
                <w:rFonts w:ascii="宋体" w:eastAsia="宋体" w:hAnsi="宋体" w:cs="宋体" w:hint="eastAsia"/>
                <w:i w:val="0"/>
                <w:iCs w:val="0"/>
                <w:color w:val="494949"/>
                <w:sz w:val="22"/>
                <w:szCs w:val="22"/>
                <w:u w:val="none"/>
              </w:rPr>
            </w:pPr>
          </w:p>
        </w:tc>
        <w:tc>
          <w:tcPr>
            <w:tcW w:w="11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left"/>
              <w:rPr>
                <w:rFonts w:ascii="宋体" w:eastAsia="宋体" w:hAnsi="宋体" w:cs="宋体" w:hint="eastAsia"/>
                <w:i w:val="0"/>
                <w:iCs w:val="0"/>
                <w:color w:val="494949"/>
                <w:sz w:val="22"/>
                <w:szCs w:val="22"/>
                <w:u w:val="none"/>
              </w:rPr>
            </w:pPr>
          </w:p>
        </w:tc>
        <w:tc>
          <w:tcPr>
            <w:tcW w:w="125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1,656.00</w:t>
            </w: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1,656.00</w:t>
            </w:r>
          </w:p>
        </w:tc>
        <w:tc>
          <w:tcPr>
            <w:tcW w:w="1100"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7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9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11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1264"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1182"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873"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7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c>
          <w:tcPr>
            <w:tcW w:w="94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center"/>
              <w:rPr>
                <w:rFonts w:ascii="宋体" w:eastAsia="宋体" w:hAnsi="宋体" w:cs="宋体" w:hint="eastAsia"/>
                <w:i w:val="0"/>
                <w:iCs w:val="0"/>
                <w:color w:val="494949"/>
                <w:sz w:val="22"/>
                <w:szCs w:val="22"/>
                <w:u w:val="none"/>
              </w:rPr>
            </w:pPr>
          </w:p>
        </w:tc>
      </w:tr>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320"/>
        </w:trPr>
        <w:tc>
          <w:tcPr>
            <w:tcW w:w="103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511001</w:t>
            </w:r>
          </w:p>
        </w:tc>
        <w:tc>
          <w:tcPr>
            <w:tcW w:w="11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三门峡市陕州区城市管理局</w:t>
            </w:r>
          </w:p>
        </w:tc>
        <w:tc>
          <w:tcPr>
            <w:tcW w:w="125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1,656.00</w:t>
            </w: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1,656.00</w:t>
            </w:r>
          </w:p>
        </w:tc>
        <w:tc>
          <w:tcPr>
            <w:tcW w:w="1100"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7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9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11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1264"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1182"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873"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7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94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r>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100"/>
        </w:trPr>
        <w:tc>
          <w:tcPr>
            <w:tcW w:w="103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411203240000000013637</w:t>
            </w:r>
          </w:p>
        </w:tc>
        <w:tc>
          <w:tcPr>
            <w:tcW w:w="11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年城市管理费</w:t>
            </w:r>
          </w:p>
        </w:tc>
        <w:tc>
          <w:tcPr>
            <w:tcW w:w="125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1,356.00</w:t>
            </w: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1,356.00</w:t>
            </w:r>
          </w:p>
        </w:tc>
        <w:tc>
          <w:tcPr>
            <w:tcW w:w="1100"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7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9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人员工资、养护农药、化肥及维修使用建材等</w:t>
            </w:r>
          </w:p>
        </w:tc>
        <w:tc>
          <w:tcPr>
            <w:tcW w:w="11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135</w:t>
            </w:r>
            <w:r>
              <w:rPr>
                <w:rFonts w:ascii="宋体" w:eastAsia="宋体" w:hAnsi="宋体" w:cs="宋体" w:hint="eastAsia"/>
                <w:i w:val="0"/>
                <w:iCs w:val="0"/>
                <w:color w:val="000000"/>
                <w:kern w:val="0"/>
                <w:sz w:val="22"/>
                <w:szCs w:val="22"/>
                <w:u w:val="none"/>
                <w:bdr w:val="none" w:sz="0" w:space="0" w:color="auto"/>
                <w:lang w:val="en-US" w:eastAsia="zh-CN" w:bidi="zh-HK"/>
              </w:rPr>
              <w:t xml:space="preserve">6</w:t>
            </w:r>
            <w:r>
              <w:rPr>
                <w:rFonts w:ascii="宋体" w:eastAsia="宋体" w:hAnsi="宋体" w:cs="宋体" w:hint="eastAsia"/>
                <w:i w:val="0"/>
                <w:iCs w:val="0"/>
                <w:color w:val="000000"/>
                <w:kern w:val="0"/>
                <w:sz w:val="22"/>
                <w:szCs w:val="22"/>
                <w:u w:val="none"/>
                <w:bdr w:val="none" w:sz="0" w:space="0" w:color="auto"/>
                <w:lang w:val="en-US" w:eastAsia="zh-CN" w:bidi="zh-HK"/>
              </w:rPr>
              <w:t xml:space="preserve">万元</w:t>
            </w:r>
          </w:p>
        </w:tc>
        <w:tc>
          <w:tcPr>
            <w:tcW w:w="1264"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城区绿化养护、路灯照明及景观灯照明及维护管理</w:t>
            </w:r>
          </w:p>
        </w:tc>
        <w:tc>
          <w:tcPr>
            <w:tcW w:w="1182"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绿化面</w:t>
            </w:r>
            <w:r>
              <w:rPr>
                <w:rFonts w:ascii="宋体" w:eastAsia="宋体" w:hAnsi="宋体" w:cs="宋体" w:hint="eastAsia"/>
                <w:i w:val="0"/>
                <w:iCs w:val="0"/>
                <w:color w:val="000000"/>
                <w:kern w:val="0"/>
                <w:sz w:val="22"/>
                <w:szCs w:val="22"/>
                <w:u w:val="none"/>
                <w:bdr w:val="none" w:sz="0" w:space="0" w:color="auto"/>
                <w:lang w:val="en-US" w:eastAsia="zh-CN" w:bidi="zh-HK"/>
              </w:rPr>
              <w:t xml:space="preserve">积</w:t>
            </w:r>
            <w:r>
              <w:rPr>
                <w:rFonts w:ascii="宋体" w:eastAsia="宋体" w:hAnsi="宋体" w:cs="宋体" w:hint="eastAsia"/>
                <w:i w:val="0"/>
                <w:iCs w:val="0"/>
                <w:color w:val="000000"/>
                <w:kern w:val="0"/>
                <w:sz w:val="22"/>
                <w:szCs w:val="22"/>
                <w:u w:val="none"/>
                <w:bdr w:val="none" w:sz="0" w:space="0" w:color="auto"/>
                <w:lang w:val="en-US" w:eastAsia="zh-CN" w:bidi="zh-HK"/>
              </w:rPr>
              <w:t xml:space="preserve">20</w:t>
            </w:r>
            <w:r>
              <w:rPr>
                <w:rFonts w:ascii="宋体" w:eastAsia="宋体" w:hAnsi="宋体" w:cs="宋体" w:hint="eastAsia"/>
                <w:i w:val="0"/>
                <w:iCs w:val="0"/>
                <w:color w:val="000000"/>
                <w:kern w:val="0"/>
                <w:sz w:val="22"/>
                <w:szCs w:val="22"/>
                <w:u w:val="none"/>
                <w:bdr w:val="none" w:sz="0" w:space="0" w:color="auto"/>
                <w:lang w:val="en-US" w:eastAsia="zh-CN" w:bidi="zh-HK"/>
              </w:rPr>
              <w:t xml:space="preserve">0</w:t>
            </w:r>
            <w:r>
              <w:rPr>
                <w:rFonts w:ascii="宋体" w:eastAsia="宋体" w:hAnsi="宋体" w:cs="宋体" w:hint="eastAsia"/>
                <w:i w:val="0"/>
                <w:iCs w:val="0"/>
                <w:color w:val="000000"/>
                <w:kern w:val="0"/>
                <w:sz w:val="22"/>
                <w:szCs w:val="22"/>
                <w:u w:val="none"/>
                <w:bdr w:val="none" w:sz="0" w:space="0" w:color="auto"/>
                <w:lang w:val="en-US" w:eastAsia="zh-CN" w:bidi="zh-HK"/>
              </w:rPr>
              <w:t xml:space="preserve">万余平方米、亮</w:t>
            </w:r>
            <w:r>
              <w:rPr>
                <w:rFonts w:ascii="宋体" w:eastAsia="宋体" w:hAnsi="宋体" w:cs="宋体" w:hint="eastAsia"/>
                <w:i w:val="0"/>
                <w:iCs w:val="0"/>
                <w:color w:val="000000"/>
                <w:kern w:val="0"/>
                <w:sz w:val="22"/>
                <w:szCs w:val="22"/>
                <w:u w:val="none"/>
                <w:bdr w:val="none" w:sz="0" w:space="0" w:color="auto"/>
                <w:lang w:val="en-US" w:eastAsia="zh-CN" w:bidi="zh-HK"/>
              </w:rPr>
              <w:t xml:space="preserve">化</w:t>
            </w:r>
            <w:r>
              <w:rPr>
                <w:rFonts w:ascii="宋体" w:eastAsia="宋体" w:hAnsi="宋体" w:cs="宋体" w:hint="eastAsia"/>
                <w:i w:val="0"/>
                <w:iCs w:val="0"/>
                <w:color w:val="000000"/>
                <w:kern w:val="0"/>
                <w:sz w:val="22"/>
                <w:szCs w:val="22"/>
                <w:u w:val="none"/>
                <w:bdr w:val="none" w:sz="0" w:space="0" w:color="auto"/>
                <w:lang w:val="en-US" w:eastAsia="zh-CN" w:bidi="zh-HK"/>
              </w:rPr>
              <w:t xml:space="preserve">2</w:t>
            </w:r>
            <w:r>
              <w:rPr>
                <w:rFonts w:ascii="宋体" w:eastAsia="宋体" w:hAnsi="宋体" w:cs="宋体" w:hint="eastAsia"/>
                <w:i w:val="0"/>
                <w:iCs w:val="0"/>
                <w:color w:val="000000"/>
                <w:kern w:val="0"/>
                <w:sz w:val="22"/>
                <w:szCs w:val="22"/>
                <w:u w:val="none"/>
                <w:bdr w:val="none" w:sz="0" w:space="0" w:color="auto"/>
                <w:lang w:val="en-US" w:eastAsia="zh-CN" w:bidi="zh-HK"/>
              </w:rPr>
              <w:t xml:space="preserve">9</w:t>
            </w:r>
            <w:r>
              <w:rPr>
                <w:rFonts w:ascii="宋体" w:eastAsia="宋体" w:hAnsi="宋体" w:cs="宋体" w:hint="eastAsia"/>
                <w:i w:val="0"/>
                <w:iCs w:val="0"/>
                <w:color w:val="000000"/>
                <w:kern w:val="0"/>
                <w:sz w:val="22"/>
                <w:szCs w:val="22"/>
                <w:u w:val="none"/>
                <w:bdr w:val="none" w:sz="0" w:space="0" w:color="auto"/>
                <w:lang w:val="en-US" w:eastAsia="zh-CN" w:bidi="zh-HK"/>
              </w:rPr>
              <w:t xml:space="preserve">条道路</w:t>
            </w:r>
          </w:p>
        </w:tc>
        <w:tc>
          <w:tcPr>
            <w:tcW w:w="873"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改善市民生活环境</w:t>
            </w: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城区居民满意度</w:t>
            </w:r>
            <w:r>
              <w:rPr>
                <w:rFonts w:ascii="宋体" w:eastAsia="宋体" w:hAnsi="宋体" w:cs="宋体" w:hint="eastAsia"/>
                <w:i w:val="0"/>
                <w:iCs w:val="0"/>
                <w:color w:val="000000"/>
                <w:kern w:val="0"/>
                <w:sz w:val="22"/>
                <w:szCs w:val="22"/>
                <w:u w:val="none"/>
                <w:bdr w:val="none" w:sz="0" w:space="0" w:color="auto"/>
                <w:lang w:val="en-US" w:eastAsia="zh-CN" w:bidi="zh-HK"/>
              </w:rPr>
              <w:t xml:space="preserve">达</w:t>
            </w:r>
            <w:r>
              <w:rPr>
                <w:rFonts w:ascii="宋体" w:eastAsia="宋体" w:hAnsi="宋体" w:cs="宋体" w:hint="eastAsia"/>
                <w:i w:val="0"/>
                <w:iCs w:val="0"/>
                <w:color w:val="000000"/>
                <w:kern w:val="0"/>
                <w:sz w:val="22"/>
                <w:szCs w:val="22"/>
                <w:u w:val="none"/>
                <w:bdr w:val="none" w:sz="0" w:space="0" w:color="auto"/>
                <w:lang w:val="en-US" w:eastAsia="zh-CN" w:bidi="zh-HK"/>
              </w:rPr>
              <w:t xml:space="preserve">90%</w:t>
            </w:r>
          </w:p>
        </w:tc>
        <w:tc>
          <w:tcPr>
            <w:tcW w:w="7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城区居民满意度</w:t>
            </w:r>
          </w:p>
        </w:tc>
        <w:tc>
          <w:tcPr>
            <w:tcW w:w="94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w:t>
            </w:r>
            <w:r>
              <w:rPr>
                <w:rFonts w:ascii="宋体" w:eastAsia="宋体" w:hAnsi="宋体" w:cs="宋体" w:hint="eastAsia"/>
                <w:i w:val="0"/>
                <w:iCs w:val="0"/>
                <w:color w:val="000000"/>
                <w:kern w:val="0"/>
                <w:sz w:val="22"/>
                <w:szCs w:val="22"/>
                <w:u w:val="none"/>
                <w:bdr w:val="none" w:sz="0" w:space="0" w:color="auto"/>
                <w:lang w:val="en-US" w:eastAsia="zh-CN" w:bidi="zh-HK"/>
              </w:rPr>
              <w:t xml:space="preserve">90%</w:t>
            </w:r>
          </w:p>
        </w:tc>
      </w:tr>
      <w:tr>
        <w:tblPrEx>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100"/>
        </w:trPr>
        <w:tc>
          <w:tcPr>
            <w:tcW w:w="103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411203240000000052808</w:t>
            </w:r>
          </w:p>
        </w:tc>
        <w:tc>
          <w:tcPr>
            <w:tcW w:w="11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年人员及经费</w:t>
            </w:r>
          </w:p>
        </w:tc>
        <w:tc>
          <w:tcPr>
            <w:tcW w:w="1255"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300.00</w:t>
            </w: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300.00</w:t>
            </w:r>
          </w:p>
        </w:tc>
        <w:tc>
          <w:tcPr>
            <w:tcW w:w="1100"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7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jc w:val="right"/>
              <w:rPr>
                <w:rFonts w:ascii="宋体" w:eastAsia="宋体" w:hAnsi="宋体" w:cs="宋体" w:hint="eastAsia"/>
                <w:i w:val="0"/>
                <w:iCs w:val="0"/>
                <w:color w:val="000000"/>
                <w:sz w:val="22"/>
                <w:szCs w:val="22"/>
                <w:u w:val="none"/>
              </w:rPr>
            </w:pPr>
          </w:p>
        </w:tc>
        <w:tc>
          <w:tcPr>
            <w:tcW w:w="991"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自收自支人员工资</w:t>
            </w:r>
          </w:p>
        </w:tc>
        <w:tc>
          <w:tcPr>
            <w:tcW w:w="11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=30</w:t>
            </w:r>
            <w:r>
              <w:rPr>
                <w:rFonts w:ascii="宋体" w:eastAsia="宋体" w:hAnsi="宋体" w:cs="宋体" w:hint="eastAsia"/>
                <w:i w:val="0"/>
                <w:iCs w:val="0"/>
                <w:color w:val="000000"/>
                <w:kern w:val="0"/>
                <w:sz w:val="22"/>
                <w:szCs w:val="22"/>
                <w:u w:val="none"/>
                <w:bdr w:val="none" w:sz="0" w:space="0" w:color="auto"/>
                <w:lang w:val="en-US" w:eastAsia="zh-CN" w:bidi="zh-HK"/>
              </w:rPr>
              <w:t xml:space="preserve">0</w:t>
            </w:r>
            <w:r>
              <w:rPr>
                <w:rFonts w:ascii="宋体" w:eastAsia="宋体" w:hAnsi="宋体" w:cs="宋体" w:hint="eastAsia"/>
                <w:i w:val="0"/>
                <w:iCs w:val="0"/>
                <w:color w:val="000000"/>
                <w:kern w:val="0"/>
                <w:sz w:val="22"/>
                <w:szCs w:val="22"/>
                <w:u w:val="none"/>
                <w:bdr w:val="none" w:sz="0" w:space="0" w:color="auto"/>
                <w:lang w:val="en-US" w:eastAsia="zh-CN" w:bidi="zh-HK"/>
              </w:rPr>
              <w:t xml:space="preserve">万元</w:t>
            </w:r>
          </w:p>
        </w:tc>
        <w:tc>
          <w:tcPr>
            <w:tcW w:w="1264"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陕州区城区管理工作</w:t>
            </w:r>
          </w:p>
        </w:tc>
        <w:tc>
          <w:tcPr>
            <w:tcW w:w="1182"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6</w:t>
            </w:r>
            <w:r>
              <w:rPr>
                <w:rFonts w:ascii="宋体" w:eastAsia="宋体" w:hAnsi="宋体" w:cs="宋体" w:hint="eastAsia"/>
                <w:i w:val="0"/>
                <w:iCs w:val="0"/>
                <w:color w:val="000000"/>
                <w:kern w:val="0"/>
                <w:sz w:val="22"/>
                <w:szCs w:val="22"/>
                <w:u w:val="none"/>
                <w:bdr w:val="none" w:sz="0" w:space="0" w:color="auto"/>
                <w:lang w:val="en-US" w:eastAsia="zh-CN" w:bidi="zh-HK"/>
              </w:rPr>
              <w:t xml:space="preserve">0</w:t>
            </w:r>
            <w:r>
              <w:rPr>
                <w:rFonts w:ascii="宋体" w:eastAsia="宋体" w:hAnsi="宋体" w:cs="宋体" w:hint="eastAsia"/>
                <w:i w:val="0"/>
                <w:iCs w:val="0"/>
                <w:color w:val="000000"/>
                <w:kern w:val="0"/>
                <w:sz w:val="22"/>
                <w:szCs w:val="22"/>
                <w:u w:val="none"/>
                <w:bdr w:val="none" w:sz="0" w:space="0" w:color="auto"/>
                <w:lang w:val="en-US" w:eastAsia="zh-CN" w:bidi="zh-HK"/>
              </w:rPr>
              <w:t xml:space="preserve">人</w:t>
            </w:r>
          </w:p>
        </w:tc>
        <w:tc>
          <w:tcPr>
            <w:tcW w:w="873"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改善市民生活</w:t>
            </w:r>
          </w:p>
        </w:tc>
        <w:tc>
          <w:tcPr>
            <w:tcW w:w="1036"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keepNext w:val="0"/>
              <w:keepLines w:val="0"/>
              <w:framePr w:vAnchor="text" w:hAnchor="margin" w:x="1147" w:y="1927"/>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城区居民满意度</w:t>
            </w:r>
            <w:r>
              <w:rPr>
                <w:rFonts w:ascii="宋体" w:eastAsia="宋体" w:hAnsi="宋体" w:cs="宋体" w:hint="eastAsia"/>
                <w:i w:val="0"/>
                <w:iCs w:val="0"/>
                <w:color w:val="000000"/>
                <w:kern w:val="0"/>
                <w:sz w:val="22"/>
                <w:szCs w:val="22"/>
                <w:u w:val="none"/>
                <w:bdr w:val="none" w:sz="0" w:space="0" w:color="auto"/>
                <w:lang w:val="en-US" w:eastAsia="zh-CN" w:bidi="zh-HK"/>
              </w:rPr>
              <w:t xml:space="preserve">达</w:t>
            </w:r>
            <w:r>
              <w:rPr>
                <w:rFonts w:ascii="宋体" w:eastAsia="宋体" w:hAnsi="宋体" w:cs="宋体" w:hint="eastAsia"/>
                <w:i w:val="0"/>
                <w:iCs w:val="0"/>
                <w:color w:val="000000"/>
                <w:kern w:val="0"/>
                <w:sz w:val="22"/>
                <w:szCs w:val="22"/>
                <w:u w:val="none"/>
                <w:bdr w:val="none" w:sz="0" w:space="0" w:color="auto"/>
                <w:lang w:val="en-US" w:eastAsia="zh-CN" w:bidi="zh-HK"/>
              </w:rPr>
              <w:t xml:space="preserve">90%</w:t>
            </w:r>
          </w:p>
        </w:tc>
        <w:tc>
          <w:tcPr>
            <w:tcW w:w="72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c>
          <w:tcPr>
            <w:tcW w:w="947" w:type="dxa"/>
            <w:tcBorders>
              <w:top w:val="nil"/>
              <w:left w:val="nil"/>
              <w:bottom w:val="single" w:sz="4" w:space="0" w:color="000000"/>
              <w:right w:val="single" w:sz="4" w:space="0" w:color="000000"/>
            </w:tcBorders>
            <w:shd w:val="clear" w:color="auto" w:fill="FFFFFF"/>
            <w:noWrap w:val="0"/>
            <w:vAlign w:val="center"/>
          </w:tcPr>
          <w:p>
            <w:pPr>
              <w:pStyle w:val="Normal_d1528aaa-b916-4281-84ba-c7203db97b00"/>
              <w:framePr w:vAnchor="text" w:hAnchor="margin" w:x="1147" w:y="1927"/>
              <w:rPr>
                <w:rFonts w:ascii="宋体" w:eastAsia="宋体" w:hAnsi="宋体" w:cs="宋体" w:hint="eastAsia"/>
                <w:i w:val="0"/>
                <w:iCs w:val="0"/>
                <w:color w:val="000000"/>
                <w:sz w:val="22"/>
                <w:szCs w:val="22"/>
                <w:u w:val="none"/>
              </w:rPr>
            </w:pPr>
          </w:p>
        </w:tc>
      </w:tr>
    </w:tbl>
    <w:p>
      <w:pPr>
        <w:pStyle w:val="Normal_d1528aaa-b916-4281-84ba-c7203db97b00"/>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d1528aaa-b916-4281-84ba-c7203db97b00">
    <w:name w:val="Normal_d1528aaa-b916-4281-84ba-c7203db97b00"/>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