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b/>
          <w:bCs/>
          <w:sz w:val="44"/>
          <w:szCs w:val="44"/>
          <w:lang w:val="en-US" w:eastAsia="zh-CN"/>
        </w:rPr>
      </w:pPr>
    </w:p>
    <w:p>
      <w:pPr>
        <w:jc w:val="center"/>
        <w:rPr>
          <w:rFonts w:hint="eastAsia"/>
          <w:b/>
          <w:bCs/>
          <w:sz w:val="44"/>
          <w:szCs w:val="44"/>
          <w:lang w:val="en-US" w:eastAsia="zh-CN"/>
        </w:rPr>
      </w:pPr>
      <w:r>
        <w:rPr>
          <w:rFonts w:hint="eastAsia"/>
          <w:b/>
          <w:bCs/>
          <w:sz w:val="44"/>
          <w:szCs w:val="44"/>
          <w:lang w:val="en-US" w:eastAsia="zh-CN"/>
        </w:rPr>
        <w:t>陕州区2024年高素质农民培育工作</w:t>
      </w:r>
    </w:p>
    <w:p>
      <w:pPr>
        <w:ind w:firstLine="643" w:firstLineChars="200"/>
        <w:rPr>
          <w:rFonts w:hint="eastAsia" w:ascii="仿宋" w:hAnsi="仿宋" w:eastAsia="仿宋" w:cs="仿宋"/>
          <w:b/>
          <w:bCs/>
          <w:color w:val="auto"/>
          <w:sz w:val="32"/>
          <w:szCs w:val="32"/>
          <w:highlight w:val="none"/>
          <w:lang w:eastAsia="zh-CN"/>
        </w:rPr>
      </w:pPr>
    </w:p>
    <w:p>
      <w:pPr>
        <w:ind w:firstLine="643" w:firstLineChars="200"/>
        <w:rPr>
          <w:rFonts w:hint="eastAsia" w:ascii="仿宋" w:hAnsi="仿宋" w:eastAsia="仿宋" w:cs="仿宋"/>
          <w:b/>
          <w:bCs/>
          <w:color w:val="auto"/>
          <w:sz w:val="32"/>
          <w:szCs w:val="32"/>
          <w:highlight w:val="none"/>
          <w:lang w:eastAsia="zh-CN"/>
        </w:rPr>
      </w:pPr>
      <w:r>
        <w:rPr>
          <w:rFonts w:hint="eastAsia" w:ascii="仿宋" w:hAnsi="仿宋" w:eastAsia="仿宋" w:cs="仿宋"/>
          <w:b/>
          <w:bCs/>
          <w:color w:val="auto"/>
          <w:sz w:val="32"/>
          <w:szCs w:val="32"/>
          <w:highlight w:val="none"/>
          <w:lang w:eastAsia="zh-CN"/>
        </w:rPr>
        <w:t>一、政策依据</w:t>
      </w:r>
    </w:p>
    <w:p>
      <w:pPr>
        <w:overflowPunct w:val="0"/>
        <w:spacing w:line="600" w:lineRule="exact"/>
        <w:ind w:firstLine="640" w:firstLineChars="200"/>
        <w:jc w:val="left"/>
        <w:rPr>
          <w:rFonts w:hint="eastAsia" w:ascii="仿宋" w:hAnsi="仿宋" w:eastAsia="仿宋" w:cs="仿宋"/>
          <w:b/>
          <w:bCs/>
          <w:sz w:val="32"/>
          <w:szCs w:val="32"/>
          <w:lang w:eastAsia="zh-CN"/>
        </w:rPr>
      </w:pPr>
      <w:r>
        <w:rPr>
          <w:rFonts w:hint="eastAsia" w:ascii="仿宋" w:hAnsi="仿宋" w:eastAsia="仿宋" w:cs="仿宋"/>
          <w:kern w:val="0"/>
          <w:sz w:val="32"/>
          <w:szCs w:val="32"/>
          <w:lang w:val="en-US" w:eastAsia="zh-CN" w:bidi="ar"/>
        </w:rPr>
        <w:t>《三门峡市陕州区2024年高素质农民培育工作实施方案》</w:t>
      </w:r>
      <w:r>
        <w:rPr>
          <w:rFonts w:hint="eastAsia" w:ascii="仿宋" w:hAnsi="仿宋" w:eastAsia="仿宋"/>
          <w:sz w:val="32"/>
          <w:szCs w:val="32"/>
          <w:lang w:eastAsia="zh-CN"/>
        </w:rPr>
        <w:t>（</w:t>
      </w:r>
      <w:r>
        <w:rPr>
          <w:rFonts w:hint="eastAsia" w:ascii="仿宋" w:hAnsi="仿宋" w:eastAsia="仿宋"/>
          <w:sz w:val="32"/>
          <w:szCs w:val="32"/>
        </w:rPr>
        <w:t>三陕农[20</w:t>
      </w:r>
      <w:r>
        <w:rPr>
          <w:rFonts w:hint="default" w:ascii="仿宋" w:hAnsi="仿宋" w:eastAsia="仿宋"/>
          <w:sz w:val="32"/>
          <w:szCs w:val="32"/>
          <w:lang w:val="en-US"/>
        </w:rPr>
        <w:t>2</w:t>
      </w:r>
      <w:r>
        <w:rPr>
          <w:rFonts w:hint="eastAsia" w:ascii="仿宋" w:hAnsi="仿宋" w:eastAsia="仿宋"/>
          <w:sz w:val="32"/>
          <w:szCs w:val="32"/>
          <w:lang w:val="en-US" w:eastAsia="zh-CN"/>
        </w:rPr>
        <w:t>4</w:t>
      </w:r>
      <w:r>
        <w:rPr>
          <w:rFonts w:hint="eastAsia" w:ascii="仿宋" w:hAnsi="仿宋" w:eastAsia="仿宋"/>
          <w:sz w:val="32"/>
          <w:szCs w:val="32"/>
        </w:rPr>
        <w:t>]</w:t>
      </w:r>
      <w:r>
        <w:rPr>
          <w:rFonts w:hint="eastAsia" w:ascii="仿宋" w:hAnsi="仿宋" w:eastAsia="仿宋"/>
          <w:sz w:val="32"/>
          <w:szCs w:val="32"/>
          <w:lang w:val="en-US" w:eastAsia="zh-CN"/>
        </w:rPr>
        <w:t>147</w:t>
      </w:r>
      <w:r>
        <w:rPr>
          <w:rFonts w:hint="eastAsia" w:ascii="仿宋" w:hAnsi="仿宋" w:eastAsia="仿宋"/>
          <w:sz w:val="32"/>
          <w:szCs w:val="32"/>
        </w:rPr>
        <w:t>号</w:t>
      </w:r>
      <w:r>
        <w:rPr>
          <w:rFonts w:hint="eastAsia" w:ascii="仿宋" w:hAnsi="仿宋" w:eastAsia="仿宋"/>
          <w:sz w:val="32"/>
          <w:szCs w:val="32"/>
          <w:lang w:eastAsia="zh-CN"/>
        </w:rPr>
        <w:t>）</w:t>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tabs>
          <w:tab w:val="left" w:pos="6142"/>
        </w:tabs>
        <w:spacing w:before="0" w:beforeAutospacing="0" w:after="0" w:afterAutospacing="0" w:line="600" w:lineRule="atLeast"/>
        <w:ind w:right="0" w:rightChars="0"/>
        <w:rPr>
          <w:rFonts w:hint="eastAsia" w:ascii="仿宋" w:hAnsi="仿宋" w:eastAsia="仿宋" w:cs="仿宋"/>
          <w:color w:val="auto"/>
          <w:sz w:val="32"/>
          <w:szCs w:val="32"/>
          <w:highlight w:val="none"/>
          <w:lang w:eastAsia="zh-CN"/>
        </w:rPr>
      </w:pPr>
      <w:r>
        <w:rPr>
          <w:rFonts w:hint="eastAsia" w:ascii="仿宋" w:hAnsi="仿宋" w:eastAsia="仿宋" w:cs="仿宋"/>
          <w:b/>
          <w:bCs/>
          <w:sz w:val="32"/>
          <w:szCs w:val="32"/>
          <w:lang w:eastAsia="zh-CN"/>
        </w:rPr>
        <w:t>　　二、适用对象</w:t>
      </w:r>
      <w:r>
        <w:rPr>
          <w:rFonts w:hint="eastAsia" w:ascii="仿宋" w:hAnsi="仿宋" w:eastAsia="仿宋" w:cs="仿宋"/>
          <w:b/>
          <w:bCs/>
          <w:sz w:val="32"/>
          <w:szCs w:val="32"/>
          <w:lang w:eastAsia="zh-CN"/>
        </w:rPr>
        <w:tab/>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315"/>
        <w:rPr>
          <w:rFonts w:hint="eastAsia" w:ascii="Times New Roman" w:hAnsi="Times New Roman" w:eastAsia="仿宋" w:cs="Times New Roman"/>
          <w:i w:val="0"/>
          <w:iCs w:val="0"/>
          <w:caps w:val="0"/>
          <w:color w:val="444444"/>
          <w:spacing w:val="0"/>
          <w:sz w:val="31"/>
          <w:szCs w:val="31"/>
          <w:shd w:val="clear" w:fill="FFFFFF"/>
          <w:lang w:eastAsia="zh-CN"/>
        </w:rPr>
      </w:pPr>
      <w:r>
        <w:rPr>
          <w:rFonts w:hint="eastAsia" w:ascii="Times New Roman" w:hAnsi="Times New Roman" w:eastAsia="宋体" w:cs="Times New Roman"/>
          <w:i w:val="0"/>
          <w:iCs w:val="0"/>
          <w:caps w:val="0"/>
          <w:color w:val="444444"/>
          <w:spacing w:val="0"/>
          <w:sz w:val="31"/>
          <w:szCs w:val="31"/>
          <w:shd w:val="clear" w:fill="FFFFFF"/>
          <w:lang w:eastAsia="zh-CN"/>
        </w:rPr>
        <w:t>　</w:t>
      </w:r>
      <w:r>
        <w:rPr>
          <w:rFonts w:hint="eastAsia" w:ascii="仿宋" w:hAnsi="仿宋" w:eastAsia="仿宋" w:cs="仿宋"/>
          <w:sz w:val="32"/>
          <w:szCs w:val="32"/>
        </w:rPr>
        <w:t>家庭农场、农民合作社、农业企业、专业型社会化服务企业和农村集体经济组织等主体带头人</w:t>
      </w:r>
      <w:r>
        <w:rPr>
          <w:rFonts w:hint="eastAsia" w:ascii="仿宋" w:hAnsi="仿宋" w:eastAsia="仿宋" w:cs="仿宋"/>
          <w:sz w:val="32"/>
          <w:szCs w:val="32"/>
          <w:lang w:eastAsia="zh-CN"/>
        </w:rPr>
        <w:t>。</w:t>
      </w:r>
    </w:p>
    <w:p>
      <w:pPr>
        <w:numPr>
          <w:ilvl w:val="0"/>
          <w:numId w:val="0"/>
        </w:numPr>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　　三、支持措施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文星仿宋" w:hAnsi="文星仿宋" w:eastAsia="文星仿宋" w:cs="文星仿宋"/>
          <w:i w:val="0"/>
          <w:iCs w:val="0"/>
          <w:caps w:val="0"/>
          <w:color w:val="444444"/>
          <w:spacing w:val="0"/>
          <w:sz w:val="31"/>
          <w:szCs w:val="31"/>
          <w:shd w:val="clear" w:fill="FFFFFF"/>
          <w:lang w:eastAsia="zh-CN"/>
        </w:rPr>
      </w:pPr>
      <w:r>
        <w:rPr>
          <w:rFonts w:hint="eastAsia" w:ascii="仿宋" w:hAnsi="仿宋" w:eastAsia="仿宋" w:cs="仿宋"/>
          <w:sz w:val="32"/>
          <w:szCs w:val="32"/>
          <w:lang w:eastAsia="zh-CN"/>
        </w:rPr>
        <w:t>进行</w:t>
      </w:r>
      <w:r>
        <w:rPr>
          <w:rFonts w:hint="eastAsia" w:ascii="仿宋" w:hAnsi="仿宋" w:eastAsia="仿宋" w:cs="仿宋"/>
          <w:sz w:val="32"/>
          <w:szCs w:val="32"/>
        </w:rPr>
        <w:t>新型农业经营服务主体带头人能力提升培训，年度线下累计培训时间</w:t>
      </w:r>
      <w:r>
        <w:rPr>
          <w:rFonts w:hint="eastAsia" w:ascii="仿宋" w:hAnsi="仿宋" w:eastAsia="仿宋" w:cs="仿宋"/>
          <w:sz w:val="32"/>
          <w:szCs w:val="32"/>
          <w:lang w:val="en-US" w:eastAsia="zh-CN"/>
        </w:rPr>
        <w:t>10</w:t>
      </w:r>
      <w:r>
        <w:rPr>
          <w:rFonts w:hint="eastAsia" w:ascii="仿宋" w:hAnsi="仿宋" w:eastAsia="仿宋" w:cs="仿宋"/>
          <w:sz w:val="32"/>
          <w:szCs w:val="32"/>
        </w:rPr>
        <w:t>天，全年跟踪服务，资金补助标准为人均4000元左右</w:t>
      </w:r>
      <w:r>
        <w:rPr>
          <w:rFonts w:hint="eastAsia" w:ascii="仿宋" w:hAnsi="仿宋" w:eastAsia="仿宋" w:cs="仿宋"/>
          <w:sz w:val="32"/>
          <w:szCs w:val="32"/>
          <w:lang w:eastAsia="zh-CN"/>
        </w:rPr>
        <w:t>，</w:t>
      </w:r>
      <w:r>
        <w:rPr>
          <w:rFonts w:hint="eastAsia" w:ascii="仿宋" w:hAnsi="仿宋" w:eastAsia="仿宋" w:cs="仿宋"/>
          <w:sz w:val="32"/>
          <w:szCs w:val="32"/>
        </w:rPr>
        <w:t>培训费用根据实际需求支出。新型农业经营服务主体带头人能力提升线上学习时数不高于总学习时数的30%。</w:t>
      </w:r>
    </w:p>
    <w:p>
      <w:pPr>
        <w:numPr>
          <w:ilvl w:val="0"/>
          <w:numId w:val="0"/>
        </w:numPr>
        <w:ind w:left="630" w:leftChars="0"/>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四、实施部门</w:t>
      </w:r>
      <w:bookmarkStart w:id="0" w:name="_GoBack"/>
      <w:bookmarkEnd w:id="0"/>
    </w:p>
    <w:p>
      <w:pPr>
        <w:numPr>
          <w:ilvl w:val="0"/>
          <w:numId w:val="0"/>
        </w:numPr>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三门峡市陕州区农业农村局</w:t>
      </w:r>
    </w:p>
    <w:p>
      <w:pPr>
        <w:numPr>
          <w:ilvl w:val="0"/>
          <w:numId w:val="0"/>
        </w:numPr>
        <w:ind w:left="642" w:leftChars="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五、咨询电话</w:t>
      </w:r>
    </w:p>
    <w:p>
      <w:pPr>
        <w:pStyle w:val="2"/>
        <w:numPr>
          <w:ilvl w:val="0"/>
          <w:numId w:val="0"/>
        </w:numPr>
        <w:ind w:firstLine="640" w:firstLineChars="200"/>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科技教育科　王婷　　13525850209</w:t>
      </w:r>
    </w:p>
    <w:p>
      <w:pPr>
        <w:rPr>
          <w:rFonts w:hint="default" w:ascii="仿宋" w:hAnsi="仿宋" w:eastAsia="仿宋" w:cs="仿宋"/>
          <w:kern w:val="2"/>
          <w:sz w:val="32"/>
          <w:szCs w:val="32"/>
          <w:lang w:val="en-US" w:eastAsia="zh-CN" w:bidi="ar-SA"/>
        </w:rPr>
      </w:pPr>
    </w:p>
    <w:p>
      <w:pPr>
        <w:pStyle w:val="2"/>
        <w:rPr>
          <w:rFonts w:hint="default" w:ascii="仿宋" w:hAnsi="仿宋" w:eastAsia="仿宋" w:cs="仿宋"/>
          <w:kern w:val="2"/>
          <w:sz w:val="32"/>
          <w:szCs w:val="32"/>
          <w:lang w:val="en-US" w:eastAsia="zh-CN" w:bidi="ar-SA"/>
        </w:rPr>
      </w:pPr>
    </w:p>
    <w:p>
      <w:pPr>
        <w:pStyle w:val="2"/>
        <w:rPr>
          <w:rFonts w:hint="eastAsia" w:ascii="宋体" w:hAnsi="宋体" w:eastAsia="宋体" w:cs="宋体"/>
          <w:b/>
          <w:bCs/>
          <w:color w:val="000000"/>
          <w:spacing w:val="-8"/>
          <w:kern w:val="0"/>
          <w:sz w:val="44"/>
          <w:szCs w:val="44"/>
        </w:rPr>
      </w:pPr>
    </w:p>
    <w:p>
      <w:pPr>
        <w:pStyle w:val="2"/>
        <w:rPr>
          <w:rFonts w:hint="eastAsia" w:ascii="宋体" w:hAnsi="宋体" w:eastAsia="宋体" w:cs="宋体"/>
          <w:b/>
          <w:bCs/>
          <w:color w:val="000000"/>
          <w:spacing w:val="-8"/>
          <w:kern w:val="0"/>
          <w:sz w:val="44"/>
          <w:szCs w:val="44"/>
        </w:rPr>
      </w:pPr>
    </w:p>
    <w:p>
      <w:pPr>
        <w:pStyle w:val="2"/>
        <w:rPr>
          <w:rFonts w:hint="eastAsia" w:ascii="宋体" w:hAnsi="宋体" w:eastAsia="宋体" w:cs="宋体"/>
          <w:b/>
          <w:bCs/>
          <w:color w:val="000000"/>
          <w:spacing w:val="-8"/>
          <w:kern w:val="0"/>
          <w:sz w:val="44"/>
          <w:szCs w:val="44"/>
        </w:rPr>
      </w:pPr>
    </w:p>
    <w:p>
      <w:pPr>
        <w:pStyle w:val="2"/>
        <w:rPr>
          <w:rFonts w:hint="eastAsia" w:ascii="宋体" w:hAnsi="宋体" w:eastAsia="宋体" w:cs="宋体"/>
          <w:b/>
          <w:bCs/>
          <w:color w:val="000000"/>
          <w:spacing w:val="-8"/>
          <w:kern w:val="0"/>
          <w:sz w:val="44"/>
          <w:szCs w:val="44"/>
        </w:rPr>
      </w:pPr>
    </w:p>
    <w:p>
      <w:pPr>
        <w:pStyle w:val="2"/>
        <w:rPr>
          <w:rFonts w:hint="eastAsia" w:ascii="宋体" w:hAnsi="宋体" w:eastAsia="宋体" w:cs="宋体"/>
          <w:b/>
          <w:bCs/>
          <w:color w:val="000000"/>
          <w:spacing w:val="-8"/>
          <w:kern w:val="0"/>
          <w:sz w:val="44"/>
          <w:szCs w:val="44"/>
        </w:rPr>
      </w:pPr>
    </w:p>
    <w:p>
      <w:pPr>
        <w:pStyle w:val="2"/>
        <w:rPr>
          <w:rFonts w:hint="default" w:ascii="仿宋" w:hAnsi="仿宋" w:eastAsia="仿宋" w:cs="仿宋"/>
          <w:b/>
          <w:bCs/>
          <w:color w:val="auto"/>
          <w:kern w:val="2"/>
          <w:sz w:val="32"/>
          <w:szCs w:val="32"/>
          <w:highlight w:val="none"/>
          <w:lang w:val="en-US" w:eastAsia="zh-CN" w:bidi="ar-SA"/>
        </w:rPr>
      </w:pPr>
    </w:p>
    <w:sectPr>
      <w:pgSz w:w="11906" w:h="16838"/>
      <w:pgMar w:top="1270" w:right="1134" w:bottom="115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文星仿宋">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926C6B"/>
    <w:rsid w:val="0B0855AE"/>
    <w:rsid w:val="0DEA35E6"/>
    <w:rsid w:val="11464821"/>
    <w:rsid w:val="16506016"/>
    <w:rsid w:val="18DF79A7"/>
    <w:rsid w:val="20CD6FAD"/>
    <w:rsid w:val="2A2E2822"/>
    <w:rsid w:val="32926C6B"/>
    <w:rsid w:val="345A4CB6"/>
    <w:rsid w:val="35E954D4"/>
    <w:rsid w:val="3982167C"/>
    <w:rsid w:val="4B8D3551"/>
    <w:rsid w:val="624C0B21"/>
    <w:rsid w:val="640F75B7"/>
    <w:rsid w:val="67954455"/>
    <w:rsid w:val="6C9961D2"/>
    <w:rsid w:val="6CB2088D"/>
    <w:rsid w:val="6FD4602C"/>
    <w:rsid w:val="73D55945"/>
    <w:rsid w:val="74753163"/>
    <w:rsid w:val="75BC248D"/>
    <w:rsid w:val="7B033D5A"/>
    <w:rsid w:val="7D8A0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无间隔1"/>
    <w:basedOn w:val="1"/>
    <w:qFormat/>
    <w:uiPriority w:val="99"/>
    <w:pPr>
      <w:spacing w:line="400" w:lineRule="exact"/>
    </w:pPr>
    <w:rPr>
      <w:sz w:val="24"/>
    </w:r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Office_11.8.2.12011_F1E327BC-269C-435d-A152-05C5408002CA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2024-05-13T08:02:00Z</dcterms:created>
  <dc:creator>Administrator</dc:creator>
  <cp:lastModifiedBy>碧水蓝天</cp:lastModifiedBy>
  <cp:lastPrinted>2024-11-26T06:47:00Z</cp:lastPrinted>
  <dcterms:modified xsi:type="dcterms:W3CDTF">2024-12-04T00:56:56Z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2052-11.8.2.12011</vt:lpwstr>
  </property>
  <property fmtid="{D5CDD505-2E9C-101B-9397-08002B2CF9AE}" pid="3" name="ICV">
    <vt:lpwstr>7525FA25735641D2961921A9AE47B74D</vt:lpwstr>
  </property>
</Properties>
</file>